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jc w:val="center"/>
        <w:ind w:left="3820" w:right="940" w:hanging="2872"/>
        <w:spacing w:after="0" w:line="438" w:lineRule="auto"/>
        <w:tabs>
          <w:tab w:leader="none" w:pos="116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98"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100" w:type="dxa"/>
            <w:vAlign w:val="bottom"/>
            <w:gridSpan w:val="5"/>
          </w:tcPr>
          <w:p>
            <w:pPr>
              <w:ind w:left="3940"/>
              <w:spacing w:after="0"/>
              <w:rPr>
                <w:sz w:val="20"/>
                <w:szCs w:val="20"/>
                <w:color w:val="auto"/>
              </w:rPr>
            </w:pPr>
            <w:r>
              <w:rPr>
                <w:rFonts w:ascii="Arial" w:cs="Arial" w:eastAsia="Arial" w:hAnsi="Arial"/>
                <w:sz w:val="18"/>
                <w:szCs w:val="18"/>
                <w:b w:val="1"/>
                <w:bCs w:val="1"/>
                <w:color w:val="auto"/>
              </w:rPr>
              <w:t>For the transition period from</w:t>
            </w:r>
          </w:p>
        </w:tc>
        <w:tc>
          <w:tcPr>
            <w:tcW w:w="4140" w:type="dxa"/>
            <w:vAlign w:val="bottom"/>
          </w:tcPr>
          <w:p>
            <w:pPr>
              <w:ind w:left="60"/>
              <w:spacing w:after="0"/>
              <w:rPr>
                <w:sz w:val="20"/>
                <w:szCs w:val="20"/>
                <w:color w:val="auto"/>
              </w:rPr>
            </w:pPr>
            <w:r>
              <w:rPr>
                <w:rFonts w:ascii="Arial" w:cs="Arial" w:eastAsia="Arial" w:hAnsi="Arial"/>
                <w:sz w:val="18"/>
                <w:szCs w:val="18"/>
                <w:b w:val="1"/>
                <w:bCs w:val="1"/>
                <w:color w:val="auto"/>
              </w:rPr>
              <w:t>to</w:t>
            </w:r>
          </w:p>
        </w:tc>
      </w:tr>
      <w:tr>
        <w:trPr>
          <w:trHeight w:val="310"/>
        </w:trPr>
        <w:tc>
          <w:tcPr>
            <w:tcW w:w="7100" w:type="dxa"/>
            <w:vAlign w:val="bottom"/>
            <w:gridSpan w:val="5"/>
          </w:tcPr>
          <w:p>
            <w:pPr>
              <w:jc w:val="center"/>
              <w:ind w:left="4068"/>
              <w:spacing w:after="0"/>
              <w:rPr>
                <w:sz w:val="20"/>
                <w:szCs w:val="20"/>
                <w:color w:val="auto"/>
              </w:rPr>
            </w:pPr>
            <w:r>
              <w:rPr>
                <w:rFonts w:ascii="Arial" w:cs="Arial" w:eastAsia="Arial" w:hAnsi="Arial"/>
                <w:sz w:val="18"/>
                <w:szCs w:val="18"/>
                <w:b w:val="1"/>
                <w:bCs w:val="1"/>
                <w:color w:val="auto"/>
                <w:w w:val="91"/>
              </w:rPr>
              <w:t>Commission File Number: 001-39128</w:t>
            </w:r>
          </w:p>
        </w:tc>
        <w:tc>
          <w:tcPr>
            <w:tcW w:w="4140" w:type="dxa"/>
            <w:vAlign w:val="bottom"/>
          </w:tcPr>
          <w:p>
            <w:pPr>
              <w:spacing w:after="0"/>
              <w:rPr>
                <w:sz w:val="24"/>
                <w:szCs w:val="24"/>
                <w:color w:val="auto"/>
              </w:rPr>
            </w:pPr>
          </w:p>
        </w:tc>
      </w:tr>
      <w:tr>
        <w:trPr>
          <w:trHeight w:val="20"/>
        </w:trPr>
        <w:tc>
          <w:tcPr>
            <w:tcW w:w="6280" w:type="dxa"/>
            <w:vAlign w:val="bottom"/>
            <w:gridSpan w:val="3"/>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84"/>
        </w:trPr>
        <w:tc>
          <w:tcPr>
            <w:tcW w:w="7100" w:type="dxa"/>
            <w:vAlign w:val="bottom"/>
            <w:gridSpan w:val="5"/>
          </w:tcPr>
          <w:p>
            <w:pPr>
              <w:jc w:val="center"/>
              <w:ind w:left="4068"/>
              <w:spacing w:after="0"/>
              <w:rPr>
                <w:sz w:val="20"/>
                <w:szCs w:val="20"/>
                <w:color w:val="auto"/>
              </w:rPr>
            </w:pPr>
            <w:r>
              <w:rPr>
                <w:rFonts w:ascii="Arial" w:cs="Arial" w:eastAsia="Arial" w:hAnsi="Arial"/>
                <w:sz w:val="22"/>
                <w:szCs w:val="22"/>
                <w:b w:val="1"/>
                <w:bCs w:val="1"/>
                <w:color w:val="auto"/>
                <w:w w:val="89"/>
              </w:rPr>
              <w:t>Stable Road Acquisition Corp.</w:t>
            </w:r>
          </w:p>
        </w:tc>
        <w:tc>
          <w:tcPr>
            <w:tcW w:w="4140" w:type="dxa"/>
            <w:vAlign w:val="bottom"/>
          </w:tcPr>
          <w:p>
            <w:pPr>
              <w:spacing w:after="0"/>
              <w:rPr>
                <w:sz w:val="24"/>
                <w:szCs w:val="24"/>
                <w:color w:val="auto"/>
              </w:rPr>
            </w:pPr>
          </w:p>
        </w:tc>
      </w:tr>
      <w:tr>
        <w:trPr>
          <w:trHeight w:val="230"/>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72"/>
        </w:trPr>
        <w:tc>
          <w:tcPr>
            <w:tcW w:w="7100" w:type="dxa"/>
            <w:vAlign w:val="bottom"/>
            <w:gridSpan w:val="5"/>
          </w:tcPr>
          <w:p>
            <w:pPr>
              <w:jc w:val="center"/>
              <w:ind w:right="158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tcPr>
          <w:p>
            <w:pPr>
              <w:jc w:val="right"/>
              <w:ind w:right="2230"/>
              <w:spacing w:after="0"/>
              <w:rPr>
                <w:sz w:val="20"/>
                <w:szCs w:val="20"/>
                <w:color w:val="auto"/>
              </w:rPr>
            </w:pPr>
            <w:r>
              <w:rPr>
                <w:rFonts w:ascii="Arial" w:cs="Arial" w:eastAsia="Arial" w:hAnsi="Arial"/>
                <w:sz w:val="18"/>
                <w:szCs w:val="18"/>
                <w:b w:val="1"/>
                <w:bCs w:val="1"/>
                <w:color w:val="auto"/>
              </w:rPr>
              <w:t>84-1905538</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140" w:type="dxa"/>
            <w:vAlign w:val="bottom"/>
            <w:tcBorders>
              <w:top w:val="single" w:sz="8" w:color="auto"/>
            </w:tcBorders>
          </w:tcPr>
          <w:p>
            <w:pPr>
              <w:jc w:val="center"/>
              <w:ind w:right="12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100" w:type="dxa"/>
            <w:vAlign w:val="bottom"/>
            <w:gridSpan w:val="5"/>
          </w:tcPr>
          <w:p>
            <w:pPr>
              <w:jc w:val="center"/>
              <w:ind w:right="1580"/>
              <w:spacing w:after="0"/>
              <w:rPr>
                <w:sz w:val="20"/>
                <w:szCs w:val="20"/>
                <w:color w:val="auto"/>
              </w:rPr>
            </w:pPr>
            <w:r>
              <w:rPr>
                <w:rFonts w:ascii="Arial" w:cs="Arial" w:eastAsia="Arial" w:hAnsi="Arial"/>
                <w:sz w:val="18"/>
                <w:szCs w:val="18"/>
                <w:color w:val="auto"/>
                <w:w w:val="92"/>
              </w:rPr>
              <w:t>incorporation or organization)</w:t>
            </w:r>
          </w:p>
        </w:tc>
        <w:tc>
          <w:tcPr>
            <w:tcW w:w="4140" w:type="dxa"/>
            <w:vAlign w:val="bottom"/>
          </w:tcPr>
          <w:p>
            <w:pPr>
              <w:jc w:val="center"/>
              <w:ind w:right="1270"/>
              <w:spacing w:after="0"/>
              <w:rPr>
                <w:sz w:val="20"/>
                <w:szCs w:val="20"/>
                <w:color w:val="auto"/>
              </w:rPr>
            </w:pPr>
            <w:r>
              <w:rPr>
                <w:rFonts w:ascii="Arial" w:cs="Arial" w:eastAsia="Arial" w:hAnsi="Arial"/>
                <w:sz w:val="18"/>
                <w:szCs w:val="18"/>
                <w:color w:val="auto"/>
                <w:w w:val="95"/>
              </w:rPr>
              <w:t>Identification No.)</w:t>
            </w:r>
          </w:p>
        </w:tc>
      </w:tr>
      <w:tr>
        <w:trPr>
          <w:trHeight w:val="333"/>
        </w:trPr>
        <w:tc>
          <w:tcPr>
            <w:tcW w:w="7100" w:type="dxa"/>
            <w:vAlign w:val="bottom"/>
            <w:gridSpan w:val="5"/>
          </w:tcPr>
          <w:p>
            <w:pPr>
              <w:jc w:val="center"/>
              <w:ind w:right="1580"/>
              <w:spacing w:after="0"/>
              <w:rPr>
                <w:sz w:val="20"/>
                <w:szCs w:val="20"/>
                <w:color w:val="auto"/>
              </w:rPr>
            </w:pPr>
            <w:r>
              <w:rPr>
                <w:rFonts w:ascii="Arial" w:cs="Arial" w:eastAsia="Arial" w:hAnsi="Arial"/>
                <w:sz w:val="18"/>
                <w:szCs w:val="18"/>
                <w:b w:val="1"/>
                <w:bCs w:val="1"/>
                <w:color w:val="auto"/>
                <w:w w:val="90"/>
              </w:rPr>
              <w:t>1345 Abbot Kinney Blvd.</w:t>
            </w:r>
          </w:p>
        </w:tc>
        <w:tc>
          <w:tcPr>
            <w:tcW w:w="4140" w:type="dxa"/>
            <w:vAlign w:val="bottom"/>
          </w:tcPr>
          <w:p>
            <w:pPr>
              <w:spacing w:after="0"/>
              <w:rPr>
                <w:sz w:val="24"/>
                <w:szCs w:val="24"/>
                <w:color w:val="auto"/>
              </w:rPr>
            </w:pPr>
          </w:p>
        </w:tc>
      </w:tr>
      <w:tr>
        <w:trPr>
          <w:trHeight w:val="241"/>
        </w:trPr>
        <w:tc>
          <w:tcPr>
            <w:tcW w:w="7100" w:type="dxa"/>
            <w:vAlign w:val="bottom"/>
            <w:gridSpan w:val="5"/>
          </w:tcPr>
          <w:p>
            <w:pPr>
              <w:jc w:val="center"/>
              <w:ind w:right="1560"/>
              <w:spacing w:after="0"/>
              <w:rPr>
                <w:sz w:val="20"/>
                <w:szCs w:val="20"/>
                <w:color w:val="auto"/>
              </w:rPr>
            </w:pPr>
            <w:r>
              <w:rPr>
                <w:rFonts w:ascii="Arial" w:cs="Arial" w:eastAsia="Arial" w:hAnsi="Arial"/>
                <w:sz w:val="18"/>
                <w:szCs w:val="18"/>
                <w:b w:val="1"/>
                <w:bCs w:val="1"/>
                <w:color w:val="auto"/>
                <w:w w:val="91"/>
              </w:rPr>
              <w:t>Venice, California</w:t>
            </w:r>
          </w:p>
        </w:tc>
        <w:tc>
          <w:tcPr>
            <w:tcW w:w="4140" w:type="dxa"/>
            <w:vAlign w:val="bottom"/>
          </w:tcPr>
          <w:p>
            <w:pPr>
              <w:jc w:val="right"/>
              <w:ind w:right="2430"/>
              <w:spacing w:after="0"/>
              <w:rPr>
                <w:sz w:val="20"/>
                <w:szCs w:val="20"/>
                <w:color w:val="auto"/>
              </w:rPr>
            </w:pPr>
            <w:r>
              <w:rPr>
                <w:rFonts w:ascii="Arial" w:cs="Arial" w:eastAsia="Arial" w:hAnsi="Arial"/>
                <w:sz w:val="18"/>
                <w:szCs w:val="18"/>
                <w:b w:val="1"/>
                <w:bCs w:val="1"/>
                <w:color w:val="auto"/>
              </w:rPr>
              <w:t>90291</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140" w:type="dxa"/>
            <w:vAlign w:val="bottom"/>
            <w:tcBorders>
              <w:top w:val="single" w:sz="8" w:color="auto"/>
            </w:tcBorders>
          </w:tcPr>
          <w:p>
            <w:pPr>
              <w:jc w:val="center"/>
              <w:ind w:right="1270"/>
              <w:spacing w:after="0"/>
              <w:rPr>
                <w:sz w:val="20"/>
                <w:szCs w:val="20"/>
                <w:color w:val="auto"/>
              </w:rPr>
            </w:pPr>
            <w:r>
              <w:rPr>
                <w:rFonts w:ascii="Arial" w:cs="Arial" w:eastAsia="Arial" w:hAnsi="Arial"/>
                <w:sz w:val="18"/>
                <w:szCs w:val="18"/>
                <w:color w:val="auto"/>
                <w:w w:val="91"/>
              </w:rPr>
              <w:t>(Zip Code)</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(883) 478-2253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2"/>
        </w:trPr>
        <w:tc>
          <w:tcPr>
            <w:tcW w:w="3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Units, each consisting of one share of Class A</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Arial" w:cs="Arial" w:eastAsia="Arial" w:hAnsi="Arial"/>
                <w:sz w:val="18"/>
                <w:szCs w:val="18"/>
                <w:color w:val="auto"/>
                <w:w w:val="89"/>
              </w:rPr>
              <w:t>Common Stock and one-half of one Redeemable</w:t>
            </w:r>
          </w:p>
        </w:tc>
        <w:tc>
          <w:tcPr>
            <w:tcW w:w="310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5"/>
              </w:rPr>
              <w:t>SRACU</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4540" w:type="dxa"/>
            <w:vAlign w:val="bottom"/>
            <w:gridSpan w:val="3"/>
            <w:shd w:val="clear" w:color="auto" w:fill="CCEEFF"/>
          </w:tcPr>
          <w:p>
            <w:pPr>
              <w:jc w:val="center"/>
              <w:ind w:right="920"/>
              <w:spacing w:after="0"/>
              <w:rPr>
                <w:sz w:val="20"/>
                <w:szCs w:val="20"/>
                <w:color w:val="auto"/>
              </w:rPr>
            </w:pPr>
            <w:r>
              <w:rPr>
                <w:rFonts w:ascii="Arial" w:cs="Arial" w:eastAsia="Arial" w:hAnsi="Arial"/>
                <w:sz w:val="18"/>
                <w:szCs w:val="18"/>
                <w:color w:val="auto"/>
                <w:w w:val="90"/>
              </w:rPr>
              <w:t>Warrant</w:t>
            </w:r>
          </w:p>
        </w:tc>
        <w:tc>
          <w:tcPr>
            <w:tcW w:w="2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40" w:type="dxa"/>
            <w:vAlign w:val="bottom"/>
            <w:gridSpan w:val="3"/>
          </w:tcPr>
          <w:p>
            <w:pPr>
              <w:jc w:val="center"/>
              <w:ind w:right="920"/>
              <w:spacing w:after="0" w:line="201" w:lineRule="exact"/>
              <w:rPr>
                <w:sz w:val="20"/>
                <w:szCs w:val="20"/>
                <w:color w:val="auto"/>
              </w:rPr>
            </w:pPr>
            <w:r>
              <w:rPr>
                <w:rFonts w:ascii="Arial" w:cs="Arial" w:eastAsia="Arial" w:hAnsi="Arial"/>
                <w:sz w:val="18"/>
                <w:szCs w:val="18"/>
                <w:color w:val="auto"/>
                <w:w w:val="90"/>
              </w:rPr>
              <w:t>Class A Common Stock, par value $0.0001 per</w:t>
            </w:r>
          </w:p>
        </w:tc>
        <w:tc>
          <w:tcPr>
            <w:tcW w:w="3100" w:type="dxa"/>
            <w:vAlign w:val="bottom"/>
            <w:gridSpan w:val="2"/>
            <w:vMerge w:val="restart"/>
          </w:tcPr>
          <w:p>
            <w:pPr>
              <w:jc w:val="center"/>
              <w:ind w:right="900"/>
              <w:spacing w:after="0"/>
              <w:rPr>
                <w:sz w:val="20"/>
                <w:szCs w:val="20"/>
                <w:color w:val="auto"/>
              </w:rPr>
            </w:pPr>
            <w:r>
              <w:rPr>
                <w:rFonts w:ascii="Arial" w:cs="Arial" w:eastAsia="Arial" w:hAnsi="Arial"/>
                <w:sz w:val="18"/>
                <w:szCs w:val="18"/>
                <w:color w:val="auto"/>
                <w:w w:val="95"/>
              </w:rPr>
              <w:t>SRAC</w:t>
            </w:r>
          </w:p>
        </w:tc>
        <w:tc>
          <w:tcPr>
            <w:tcW w:w="3600" w:type="dxa"/>
            <w:vAlign w:val="bottom"/>
            <w:vMerge w:val="restart"/>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122"/>
        </w:trPr>
        <w:tc>
          <w:tcPr>
            <w:tcW w:w="4540" w:type="dxa"/>
            <w:vAlign w:val="bottom"/>
            <w:gridSpan w:val="3"/>
            <w:vMerge w:val="restart"/>
          </w:tcPr>
          <w:p>
            <w:pPr>
              <w:jc w:val="center"/>
              <w:ind w:right="920"/>
              <w:spacing w:after="0"/>
              <w:rPr>
                <w:sz w:val="20"/>
                <w:szCs w:val="20"/>
                <w:color w:val="auto"/>
              </w:rPr>
            </w:pPr>
            <w:r>
              <w:rPr>
                <w:rFonts w:ascii="Arial" w:cs="Arial" w:eastAsia="Arial" w:hAnsi="Arial"/>
                <w:sz w:val="18"/>
                <w:szCs w:val="18"/>
                <w:color w:val="auto"/>
                <w:w w:val="84"/>
              </w:rPr>
              <w:t>share</w:t>
            </w:r>
          </w:p>
        </w:tc>
        <w:tc>
          <w:tcPr>
            <w:tcW w:w="3100" w:type="dxa"/>
            <w:vAlign w:val="bottom"/>
            <w:gridSpan w:val="2"/>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40" w:type="dxa"/>
            <w:vAlign w:val="bottom"/>
            <w:gridSpan w:val="3"/>
            <w:vMerge w:val="continue"/>
          </w:tcPr>
          <w:p>
            <w:pPr>
              <w:spacing w:after="0"/>
              <w:rPr>
                <w:sz w:val="9"/>
                <w:szCs w:val="9"/>
                <w:color w:val="auto"/>
              </w:rPr>
            </w:pPr>
          </w:p>
        </w:tc>
        <w:tc>
          <w:tcPr>
            <w:tcW w:w="2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540" w:type="dxa"/>
            <w:vAlign w:val="bottom"/>
            <w:gridSpan w:val="3"/>
            <w:shd w:val="clear" w:color="auto" w:fill="CCEEFF"/>
          </w:tcPr>
          <w:p>
            <w:pPr>
              <w:jc w:val="center"/>
              <w:ind w:right="920"/>
              <w:spacing w:after="0" w:line="201" w:lineRule="exact"/>
              <w:rPr>
                <w:sz w:val="20"/>
                <w:szCs w:val="20"/>
                <w:color w:val="auto"/>
              </w:rPr>
            </w:pPr>
            <w:r>
              <w:rPr>
                <w:rFonts w:ascii="Arial" w:cs="Arial" w:eastAsia="Arial" w:hAnsi="Arial"/>
                <w:sz w:val="18"/>
                <w:szCs w:val="18"/>
                <w:color w:val="auto"/>
                <w:w w:val="88"/>
              </w:rPr>
              <w:t>Redeemable Warrants, each whole warrant</w:t>
            </w: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Arial" w:cs="Arial" w:eastAsia="Arial" w:hAnsi="Arial"/>
                <w:sz w:val="18"/>
                <w:szCs w:val="18"/>
                <w:color w:val="auto"/>
                <w:w w:val="89"/>
              </w:rPr>
              <w:t>exercisable for one share of Class A Common</w:t>
            </w:r>
          </w:p>
        </w:tc>
        <w:tc>
          <w:tcPr>
            <w:tcW w:w="310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5"/>
              </w:rPr>
              <w:t>SRACW</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4540" w:type="dxa"/>
            <w:vAlign w:val="bottom"/>
            <w:gridSpan w:val="3"/>
            <w:shd w:val="clear" w:color="auto" w:fill="CCEEFF"/>
          </w:tcPr>
          <w:p>
            <w:pPr>
              <w:jc w:val="center"/>
              <w:ind w:right="920"/>
              <w:spacing w:after="0"/>
              <w:rPr>
                <w:sz w:val="20"/>
                <w:szCs w:val="20"/>
                <w:color w:val="auto"/>
              </w:rPr>
            </w:pPr>
            <w:r>
              <w:rPr>
                <w:rFonts w:ascii="Arial" w:cs="Arial" w:eastAsia="Arial" w:hAnsi="Arial"/>
                <w:sz w:val="18"/>
                <w:szCs w:val="18"/>
                <w:color w:val="auto"/>
                <w:w w:val="90"/>
              </w:rPr>
              <w:t>Stock at an exercise price of $11.50</w:t>
            </w:r>
          </w:p>
        </w:tc>
        <w:tc>
          <w:tcPr>
            <w:tcW w:w="2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40" w:type="dxa"/>
            <w:vAlign w:val="bottom"/>
          </w:tcPr>
          <w:p>
            <w:pPr>
              <w:ind w:left="78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As of May 11, 2020, there were 17,795,000 shares of Class A common stock and 4,312,500 shares of Class B common stock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120" w:type="dxa"/>
            <w:vAlign w:val="bottom"/>
          </w:tcPr>
          <w:p>
            <w:pPr>
              <w:jc w:val="center"/>
              <w:ind w:left="1030"/>
              <w:spacing w:after="0"/>
              <w:rPr>
                <w:sz w:val="20"/>
                <w:szCs w:val="20"/>
                <w:color w:val="auto"/>
              </w:rPr>
            </w:pPr>
            <w:r>
              <w:rPr>
                <w:rFonts w:ascii="Arial" w:cs="Arial" w:eastAsia="Arial" w:hAnsi="Arial"/>
                <w:sz w:val="18"/>
                <w:szCs w:val="18"/>
                <w:b w:val="1"/>
                <w:bCs w:val="1"/>
                <w:color w:val="auto"/>
                <w:w w:val="99"/>
              </w:rPr>
              <w:t>STABLE ROAD ACQUISITION CORP.</w:t>
            </w:r>
          </w:p>
        </w:tc>
        <w:tc>
          <w:tcPr>
            <w:tcW w:w="1120" w:type="dxa"/>
            <w:vAlign w:val="bottom"/>
          </w:tcPr>
          <w:p>
            <w:pPr>
              <w:spacing w:after="0"/>
              <w:rPr>
                <w:sz w:val="20"/>
                <w:szCs w:val="20"/>
                <w:color w:val="auto"/>
              </w:rPr>
            </w:pPr>
          </w:p>
        </w:tc>
      </w:tr>
      <w:tr>
        <w:trPr>
          <w:trHeight w:val="414"/>
        </w:trPr>
        <w:tc>
          <w:tcPr>
            <w:tcW w:w="10120" w:type="dxa"/>
            <w:vAlign w:val="bottom"/>
          </w:tcPr>
          <w:p>
            <w:pPr>
              <w:jc w:val="center"/>
              <w:ind w:left="1050"/>
              <w:spacing w:after="0"/>
              <w:rPr>
                <w:sz w:val="20"/>
                <w:szCs w:val="20"/>
                <w:color w:val="auto"/>
              </w:rPr>
            </w:pPr>
            <w:r>
              <w:rPr>
                <w:rFonts w:ascii="Arial" w:cs="Arial" w:eastAsia="Arial" w:hAnsi="Arial"/>
                <w:sz w:val="18"/>
                <w:szCs w:val="18"/>
                <w:b w:val="1"/>
                <w:bCs w:val="1"/>
                <w:color w:val="auto"/>
                <w:w w:val="98"/>
              </w:rPr>
              <w:t>FORM 10-Q FOR THE QUARTER ENDED MARCH 31, 2020</w:t>
            </w:r>
          </w:p>
        </w:tc>
        <w:tc>
          <w:tcPr>
            <w:tcW w:w="1120" w:type="dxa"/>
            <w:vAlign w:val="bottom"/>
          </w:tcPr>
          <w:p>
            <w:pPr>
              <w:spacing w:after="0"/>
              <w:rPr>
                <w:sz w:val="24"/>
                <w:szCs w:val="24"/>
                <w:color w:val="auto"/>
              </w:rPr>
            </w:pPr>
          </w:p>
        </w:tc>
      </w:tr>
      <w:tr>
        <w:trPr>
          <w:trHeight w:val="234"/>
        </w:trPr>
        <w:tc>
          <w:tcPr>
            <w:tcW w:w="10120" w:type="dxa"/>
            <w:vAlign w:val="bottom"/>
          </w:tcPr>
          <w:p>
            <w:pPr>
              <w:jc w:val="center"/>
              <w:ind w:left="103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53"/>
        </w:trPr>
        <w:tc>
          <w:tcPr>
            <w:tcW w:w="1012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09"/>
        </w:trPr>
        <w:tc>
          <w:tcPr>
            <w:tcW w:w="10120" w:type="dxa"/>
            <w:vAlign w:val="bottom"/>
          </w:tcPr>
          <w:p>
            <w:pPr>
              <w:spacing w:after="0" w:line="202" w:lineRule="exact"/>
              <w:rPr>
                <w:sz w:val="20"/>
                <w:szCs w:val="20"/>
                <w:color w:val="auto"/>
              </w:rPr>
            </w:pPr>
            <w:r>
              <w:rPr>
                <w:rFonts w:ascii="Arial" w:cs="Arial" w:eastAsia="Arial" w:hAnsi="Arial"/>
                <w:sz w:val="18"/>
                <w:szCs w:val="18"/>
                <w:color w:val="auto"/>
              </w:rPr>
              <w:t>Part I. Financial Information</w:t>
            </w:r>
          </w:p>
        </w:tc>
        <w:tc>
          <w:tcPr>
            <w:tcW w:w="1120" w:type="dxa"/>
            <w:vAlign w:val="bottom"/>
          </w:tcPr>
          <w:p>
            <w:pPr>
              <w:spacing w:after="0"/>
              <w:rPr>
                <w:sz w:val="18"/>
                <w:szCs w:val="18"/>
                <w:color w:val="auto"/>
              </w:rPr>
            </w:pPr>
          </w:p>
        </w:tc>
      </w:tr>
      <w:tr>
        <w:trPr>
          <w:trHeight w:val="223"/>
        </w:trPr>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 Financial Statements</w:t>
            </w:r>
          </w:p>
        </w:tc>
        <w:tc>
          <w:tcPr>
            <w:tcW w:w="1120" w:type="dxa"/>
            <w:vAlign w:val="bottom"/>
            <w:shd w:val="clear" w:color="auto" w:fill="CCEEFF"/>
          </w:tcPr>
          <w:p>
            <w:pPr>
              <w:spacing w:after="0"/>
              <w:rPr>
                <w:sz w:val="19"/>
                <w:szCs w:val="19"/>
                <w:color w:val="auto"/>
              </w:rPr>
            </w:pPr>
          </w:p>
        </w:tc>
      </w:tr>
      <w:tr>
        <w:trPr>
          <w:trHeight w:val="216"/>
        </w:trPr>
        <w:tc>
          <w:tcPr>
            <w:tcW w:w="10120" w:type="dxa"/>
            <w:vAlign w:val="bottom"/>
          </w:tcPr>
          <w:p>
            <w:pPr>
              <w:ind w:left="3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120" w:type="dxa"/>
            <w:vAlign w:val="bottom"/>
            <w:shd w:val="clear" w:color="auto" w:fill="CCEEFF"/>
          </w:tcPr>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Statement of Operations (unaudited)</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10120" w:type="dxa"/>
            <w:vAlign w:val="bottom"/>
          </w:tcPr>
          <w:p>
            <w:pPr>
              <w:ind w:left="3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Statement of Changes in Stockholders’ Equity (unaudited)</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120" w:type="dxa"/>
            <w:vAlign w:val="bottom"/>
            <w:shd w:val="clear" w:color="auto" w:fill="CCEEFF"/>
          </w:tcPr>
          <w:p>
            <w:pPr>
              <w:ind w:left="3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Statement of Cash Flows (unaudited)</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120" w:type="dxa"/>
            <w:vAlign w:val="bottom"/>
          </w:tcPr>
          <w:p>
            <w:pPr>
              <w:ind w:left="3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Financial Statements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120" w:type="dxa"/>
            <w:vAlign w:val="bottom"/>
            <w:shd w:val="clear" w:color="auto" w:fill="CCEEFF"/>
          </w:tcPr>
          <w:p>
            <w:pPr>
              <w:ind w:left="1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 Management’s Discussion and Analysis of Financial Condition and Results of Operations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0120" w:type="dxa"/>
            <w:vAlign w:val="bottom"/>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3. Quantitative and Qualitative Disclosures About Market Risk</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0120" w:type="dxa"/>
            <w:vAlign w:val="bottom"/>
            <w:shd w:val="clear" w:color="auto" w:fill="CCEEFF"/>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4. Controls and Procedures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Part II. Other Information</w:t>
            </w:r>
          </w:p>
        </w:tc>
        <w:tc>
          <w:tcPr>
            <w:tcW w:w="1120" w:type="dxa"/>
            <w:vAlign w:val="bottom"/>
          </w:tcPr>
          <w:p>
            <w:pPr>
              <w:spacing w:after="0"/>
              <w:rPr>
                <w:sz w:val="18"/>
                <w:szCs w:val="18"/>
                <w:color w:val="auto"/>
              </w:rPr>
            </w:pPr>
          </w:p>
        </w:tc>
      </w:tr>
      <w:tr>
        <w:trPr>
          <w:trHeight w:val="216"/>
        </w:trPr>
        <w:tc>
          <w:tcPr>
            <w:tcW w:w="10120" w:type="dxa"/>
            <w:vAlign w:val="bottom"/>
            <w:shd w:val="clear" w:color="auto" w:fill="CCEEFF"/>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1. Legal Proceedings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120" w:type="dxa"/>
            <w:vAlign w:val="bottom"/>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1A. Risk Factors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120" w:type="dxa"/>
            <w:vAlign w:val="bottom"/>
            <w:shd w:val="clear" w:color="auto" w:fill="CCEEFF"/>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2. Unregistered Sales of Equity Securities and Use of Proceeds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120" w:type="dxa"/>
            <w:vAlign w:val="bottom"/>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3. Defaults Upon Senior Securities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120" w:type="dxa"/>
            <w:vAlign w:val="bottom"/>
            <w:shd w:val="clear" w:color="auto" w:fill="CCEEFF"/>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4. Mine Safety Disclosures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120" w:type="dxa"/>
            <w:vAlign w:val="bottom"/>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5. Other Information</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120" w:type="dxa"/>
            <w:vAlign w:val="bottom"/>
            <w:shd w:val="clear" w:color="auto" w:fill="CCEEFF"/>
          </w:tcPr>
          <w:p>
            <w:pPr>
              <w:ind w:left="1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6. Exhibits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30"/>
        </w:trPr>
        <w:tc>
          <w:tcPr>
            <w:tcW w:w="1012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Signatures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21</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STABLE ROAD ACQUISITION CORP.</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984,919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1,093,184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230,895</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268,616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1,215,814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1,361,800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173,396,298</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172,846,011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174,612,112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174,207,811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119,133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147,742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221,006</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340,139</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195,309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6,900,000</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6,900,000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7,240,139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7,095,309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Class A common stock subject to possible redemption, 16,237,197 and 16,211,250 shares at $10.00 per share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at March 31, 2020 and December 31, 2019,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162,371,970</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162,112,500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Class A common stock, $0.0001 par value; 100,000,000 shares authorized; 1,557,803 and 1,583,750 issued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outstanding (excluding16,237,197 and 16,211,250 shares subject to possible redemption) at March 31, 2020 and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2019,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1"/>
              </w:rPr>
              <w:t>Class B common stock, $0.0001 par value; 10,000,000 shares authorized; 4,312,500 shares issued and outstanding at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March 31, 2020 and December 31, 2019</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4,677,586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4,937,054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321,830</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62,359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174,612,112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174,207,811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left="1960"/>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color w:val="auto"/>
        </w:rPr>
        <w:t>CONDENSED STATEMENT OF OPERATIONS</w:t>
      </w:r>
    </w:p>
    <w:p>
      <w:pPr>
        <w:spacing w:after="0" w:line="9" w:lineRule="exact"/>
        <w:rPr>
          <w:sz w:val="20"/>
          <w:szCs w:val="20"/>
          <w:color w:val="auto"/>
        </w:rPr>
      </w:pPr>
    </w:p>
    <w:p>
      <w:pPr>
        <w:jc w:val="center"/>
        <w:ind w:left="1960"/>
        <w:spacing w:after="0"/>
        <w:rPr>
          <w:sz w:val="20"/>
          <w:szCs w:val="20"/>
          <w:color w:val="auto"/>
        </w:rPr>
      </w:pPr>
      <w:r>
        <w:rPr>
          <w:rFonts w:ascii="Arial" w:cs="Arial" w:eastAsia="Arial" w:hAnsi="Arial"/>
          <w:sz w:val="17"/>
          <w:szCs w:val="17"/>
          <w:b w:val="1"/>
          <w:bCs w:val="1"/>
          <w:color w:val="auto"/>
        </w:rPr>
        <w:t>FOR THE THREE MONTHS ENDED MARCH 31, 2020</w:t>
      </w:r>
    </w:p>
    <w:p>
      <w:pPr>
        <w:spacing w:after="0" w:line="21"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earned on marketable securities held in Trust Account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Income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 w:hanging="51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236,879</w:t>
      </w:r>
    </w:p>
    <w:p>
      <w:pPr>
        <w:spacing w:after="0" w:line="3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b w:val="1"/>
          <w:bCs w:val="1"/>
          <w:color w:val="auto"/>
        </w:rPr>
        <w:t>(236,879)</w:t>
      </w:r>
    </w:p>
    <w:p>
      <w:pPr>
        <w:spacing w:after="0" w:line="200" w:lineRule="exact"/>
        <w:rPr>
          <w:sz w:val="20"/>
          <w:szCs w:val="20"/>
          <w:color w:val="auto"/>
        </w:rPr>
      </w:pP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669,789</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432,910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(173,439)</w:t>
      </w:r>
    </w:p>
    <w:p>
      <w:pPr>
        <w:spacing w:after="0" w:line="23" w:lineRule="exact"/>
        <w:rPr>
          <w:sz w:val="20"/>
          <w:szCs w:val="20"/>
          <w:color w:val="auto"/>
        </w:rPr>
      </w:pPr>
    </w:p>
    <w:p>
      <w:pPr>
        <w:sectPr>
          <w:pgSz w:w="11900" w:h="16838" w:orient="portrait"/>
          <w:cols w:equalWidth="0" w:num="2">
            <w:col w:w="9300" w:space="720"/>
            <w:col w:w="122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257"/>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259,471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17,250,000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income per share, Class A</w:t>
            </w: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020" w:type="dxa"/>
            <w:vAlign w:val="bottom"/>
          </w:tcPr>
          <w:p>
            <w:pPr>
              <w:spacing w:after="0"/>
              <w:rPr>
                <w:sz w:val="20"/>
                <w:szCs w:val="20"/>
                <w:color w:val="auto"/>
              </w:rPr>
            </w:pPr>
            <w:r>
              <w:rPr>
                <w:rFonts w:ascii="Arial" w:cs="Arial" w:eastAsia="Arial" w:hAnsi="Arial"/>
                <w:sz w:val="18"/>
                <w:szCs w:val="18"/>
                <w:color w:val="auto"/>
              </w:rPr>
              <w:t>Weighted average shares outstanding of Class A and Class B non-redeemable common stock</w:t>
            </w:r>
          </w:p>
        </w:tc>
        <w:tc>
          <w:tcPr>
            <w:tcW w:w="200" w:type="dxa"/>
            <w:vAlign w:val="bottom"/>
          </w:tcPr>
          <w:p>
            <w:pPr>
              <w:spacing w:after="0"/>
              <w:rPr>
                <w:sz w:val="24"/>
                <w:szCs w:val="24"/>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4,857,500</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loss per share, Class A and Class B</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 w:name="page5"/>
    <w:bookmarkEnd w:id="4"/>
    <w:p>
      <w:pPr>
        <w:jc w:val="center"/>
        <w:spacing w:after="0" w:line="263" w:lineRule="auto"/>
        <w:rPr>
          <w:sz w:val="20"/>
          <w:szCs w:val="20"/>
          <w:color w:val="auto"/>
        </w:rPr>
      </w:pPr>
      <w:r>
        <w:rPr>
          <w:rFonts w:ascii="Arial" w:cs="Arial" w:eastAsia="Arial" w:hAnsi="Arial"/>
          <w:sz w:val="18"/>
          <w:szCs w:val="18"/>
          <w:b w:val="1"/>
          <w:bCs w:val="1"/>
          <w:color w:val="auto"/>
        </w:rPr>
        <w:t>STABLE ROAD ACQUISITION CORP. CONDENSED STATEMENT OF CHANGES IN STOCKHOLDERS’ EQUITY FOR THE THREE MONTHS ENDED MARCH 31, 2020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22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Class A</w:t>
            </w:r>
          </w:p>
        </w:tc>
        <w:tc>
          <w:tcPr>
            <w:tcW w:w="22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Class B</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55"/>
        </w:trPr>
        <w:tc>
          <w:tcPr>
            <w:tcW w:w="3440" w:type="dxa"/>
            <w:vAlign w:val="bottom"/>
          </w:tcPr>
          <w:p>
            <w:pPr>
              <w:spacing w:after="0"/>
              <w:rPr>
                <w:sz w:val="22"/>
                <w:szCs w:val="22"/>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Common Stock</w:t>
            </w:r>
          </w:p>
        </w:tc>
        <w:tc>
          <w:tcPr>
            <w:tcW w:w="22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2"/>
                <w:szCs w:val="2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7"/>
        </w:trPr>
        <w:tc>
          <w:tcPr>
            <w:tcW w:w="3440" w:type="dxa"/>
            <w:vAlign w:val="bottom"/>
          </w:tcPr>
          <w:p>
            <w:pPr>
              <w:spacing w:after="0"/>
              <w:rPr>
                <w:sz w:val="20"/>
                <w:szCs w:val="20"/>
                <w:color w:val="auto"/>
              </w:rPr>
            </w:pPr>
          </w:p>
        </w:tc>
        <w:tc>
          <w:tcPr>
            <w:tcW w:w="11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Earnings</w:t>
            </w:r>
          </w:p>
        </w:tc>
        <w:tc>
          <w:tcPr>
            <w:tcW w:w="18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87"/>
              </w:rPr>
              <w:t>1,583,750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$ 4,937,054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62,359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4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Change in value of common stock subject to</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possible redemption</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(25,947)</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(259,468)</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(259,470)</w:t>
            </w:r>
          </w:p>
        </w:tc>
      </w:tr>
      <w:tr>
        <w:trPr>
          <w:trHeight w:val="216"/>
        </w:trPr>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259,471</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259,471</w:t>
            </w:r>
          </w:p>
        </w:tc>
      </w:tr>
      <w:tr>
        <w:trPr>
          <w:trHeight w:val="216"/>
        </w:trPr>
        <w:tc>
          <w:tcPr>
            <w:tcW w:w="34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1,557,803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4,312,500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2"/>
              </w:rPr>
              <w:t>$ 4,677,586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321,830</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5,000,003</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left="1960"/>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left="1960"/>
        <w:spacing w:after="0"/>
        <w:rPr>
          <w:sz w:val="20"/>
          <w:szCs w:val="20"/>
          <w:color w:val="auto"/>
        </w:rPr>
      </w:pPr>
      <w:r>
        <w:rPr>
          <w:rFonts w:ascii="Arial" w:cs="Arial" w:eastAsia="Arial" w:hAnsi="Arial"/>
          <w:sz w:val="17"/>
          <w:szCs w:val="17"/>
          <w:b w:val="1"/>
          <w:bCs w:val="1"/>
          <w:color w:val="auto"/>
        </w:rPr>
        <w:t>FOR THE THREE MONTHS ENDED MARCH 31, 2020</w:t>
      </w:r>
    </w:p>
    <w:p>
      <w:pPr>
        <w:spacing w:after="0" w:line="21"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income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Interest earned on marketable securities held in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Income taxes payable</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withdrawn from Trust Account for taxes</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Change in value of common stock subject to possible 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hanging="515"/>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259,471</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(669,789)</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37,721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(28,609)</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173,439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(227,767)</w:t>
      </w:r>
    </w:p>
    <w:p>
      <w:pPr>
        <w:spacing w:after="0" w:line="200" w:lineRule="exact"/>
        <w:rPr>
          <w:sz w:val="20"/>
          <w:szCs w:val="20"/>
          <w:color w:val="auto"/>
        </w:rPr>
      </w:pPr>
    </w:p>
    <w:p>
      <w:pPr>
        <w:spacing w:after="0" w:line="29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119,502</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119,502</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(108,265)</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1,093,184</w:t>
      </w:r>
    </w:p>
    <w:p>
      <w:pPr>
        <w:spacing w:after="0" w:line="70" w:lineRule="exact"/>
        <w:rPr>
          <w:sz w:val="20"/>
          <w:szCs w:val="20"/>
          <w:color w:val="auto"/>
        </w:rPr>
      </w:pPr>
    </w:p>
    <w:p>
      <w:pPr>
        <w:ind w:left="520" w:hanging="515"/>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984,919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20" w:hanging="51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259,470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029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180"/>
          </w:cols>
          <w:pgMar w:left="320" w:top="904" w:right="379" w:bottom="1440" w:gutter="0" w:footer="0" w:header="0"/>
        </w:sectPr>
      </w:pP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 unaudited condensed financial statements.</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Stable Road Acquisition Corp. (the “Company”) was incorporated in Delaware on May 28, 2019.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Company is not limited to a particular industry or sector for purposes of consummating a Business Combination, the Company intends is focusing its search on companies in the cannabis industry. The Company is an early stage and emerging growth company and, as such, the Company is subject to all of the risks associated with early stage and emerging growth companies.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2020, the Company had not commenced any operations. All activity through March 31, 2020 relates to the Company’s formation, the initial public offering (“Initial Public Offering”), which is described below, and identifying a target company for a Business Combination. The Company will not generate any operating revenues until after the completion of its initial Business Combination, at the earliest. The Company generates non-operating income in the form of interest income from the proceeds derived from the Initial Public Offering.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November 7, 2019. On November 13, 2019, the Company consummated the Initial Public Offering of 17,250,000 units (the “Units” and, with respect to the shares common stock included in the Units sold, the “Public Shares”), which includes the full exercise by the underwriter of the over-allotment option to purchase an additional 2,250,000 Units, at $10.00 per Unit, generating gross proceeds of $172,500,000, which is described in Note 3.</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Simultaneously with the closing of the Initial Public Offering, the Company consummated the sale of 545,000 units (the “Placement Units”) at a price of $10.00 per Placement Unit in a private placement to SRC-NI Holdings, LLC, a Delaware limited liability company (the “Sponsor”), and Cantor Fitzgerald &amp; Co. (“Cantor”), the underwriter of the Initial Public Offering, generating gross proceeds of $5,450,000, which is described in Note 4.</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 costs amounted to $10,924,857, consisting of $3,450,000 of underwriting fees, $6,900,000 of deferred underwriting fees and $574,857 of other offering costs. In addition, as of March 31, 2020, cash of $984,919 was held outside of the Trust Account (as defined below) and is available for working capital purposes.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the closing of the Initial Public Offering on November 13, 2019, an amount of $172,500,000 ($10.00 per Unit) from the net proceeds of the sale of the Units in the Initial Public Offering and the sale of the Placement Units was placed in a trust account (“Trust Account”) and invested only in U.S. government securities, within the meaning set forth in Section 2(a)(16) of the Investment Company Act, with a maturity of 180 days or less or in any open-ended investment company that holds itself out as a money market fund selected by the Company meeting the conditions of Rule 2a-7 of the Investment Company Act of 1940, as amended (the “Investment Company Act”), as determined by the Company, until the earlier of: (i) the completion of a Business Combination and (ii) the distribution of the Trust Account, as described below.</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the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(excluding the deferred underwriting commissions and taxes payable on interest earned on the Trust Account)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provide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($10.00 per Public Share, plus any pro rata interest earned on the funds held in the Trust Account and not previously released to the Company to pay its tax obligations, less up to $100,000 of interest to pay dissolution expenses). The per-share amount to be distributed to Public Stockholders who redeem their Public Shares will not be reduced by the deferred underwriting commissions the Company will pay to the underwriter (as discussed in Note 6). There will be no redemption rights upon the completion of a Business Combination with respect to the Company’s warrants.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either immediately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has agreed to vote its Founder Shares (as defined in Note 5), Placement Shares (as defined in Note 4)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Sponsor has agreed (a) to waive its redemption rights with respect to its Founder Shares, Placement Shares and Public Shares held by it in connection with the completion of a Business Combination and (b) not to propose an amendment to the Amended and Restated Certificate of Incorporation (i) that would affect the substance or timing of the Company’s obligation to redeem 100% of its Public Shares if the Company does not complete a Business Combination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have until May 13, 2021 to complete a Business Combination (the “Combination Period”). However, if the Company is unable to complete a Business Combination within the Combination Period, it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Sponsor has agreed to waive its liquidation rights with respect to the Founder Shares and (along with Cantor) Placement Shares if the Company fails to complete a Business Combination within the Combination Period. However, if the Sponsor acquires Public Shares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This liability will not apply with respect to any claims by a third party or prospective target business who executed a waiver of any and all rights to the monies held in the Trust Account (whether or not such waiver is enforceable) or to any claims under the Company’s indemnity of the underwriter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 The Company’s independent registered public accounting firm and the underwriter of the Initial Public Offering will not execute agreements with the Company waiving such claims to the monies held in the Trust Account.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until May 13, 2021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mandatory liquidation, should a Business Combination not occur, and potential subsequent dissolution raises substantial doubt about the Company’s ability to continue as a going concern. No adjustments have been made to the carrying amounts of assets or liabilities should the Company be required to liquidate after May 13,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 10-K for the year ended December 31, 2019 as filed with the SEC on March 26, 2020, which contains the audited financial statements and notes thereto. The financial information as of December 31, 2019 is derived from the audited financial statements presented in the Company’s Annual Report on Form 10-K for the year ended December 31, 2019. The interim results for the three months ended March 31, 2020 are not necessarily indicative of the results to be expected for the year ending December 31, 2020 or for any future interim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held by Public Stockholders features certain redemption rights that are considered to be outside of the Company’s control and subject to occurrence of uncertain future events. Accordingly, at March 31, 2020 and December 31, 2019, there were 16,237,197 and 16,211,250 shares of Class A common stock subject to possible redemption, respectively, presented as temporary equity, outside of the stockholders’ equity section of the Company’s condensed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Offering costs consist of legal, accounting, underwriting fees and other costs incurred through the closing date of the Initial Public Offering that are directly related to the Initial Public Offering. Offering costs amounting to $10,924,857 were charged to stockholders’ equity upon the completion of the Initial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Topic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(loss) per common share is computed by dividing net income (loss) by the weighted average number of shares of common stock outstanding for the period. The Company has not considered the effect of warrants sold in the Initial Public Offering and as part of the Placement Units to purchase 8,897,500 shares of Class A common stock in the calculation of diluted income (loss) per share, since the exercise of such warrants are contingent upon the occurrence of future events and the inclusion of such warrants would be anti-dilutive.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statement of operations includes a presentation of income (loss) per share for common shares subject to redemption in a manner similar to the two-class method of income per share. Net income per common share, basic and diluted, for Class A redeemable common stock held by Public Stockholders for the three months ended March 31, 2020 is calculated by dividing the interest income earned on the Trust Account of $669,789, net of applicable franchise and income taxes of approximately $223,000 for the three months ended March 31, 2020, by the weighted average number of shares of Class A redeemable common stock held by Public Stockholders since issuance. Net loss per common share, basic and diluted, for Class A and Class B non-redeemable common stock is calculated by dividing net income for the three months ended March 31, 2020 of $259,471 less income attributable to Class A redeemable common stock of $446,350, by the weighted average number of Class A and Class B non-redeemable common stock outstanding for the period. Class A and Class B non-redeemable common stock includes the Founder Shares and the shares included in the Placement Units as these shares do not have any redemption features and do not participate in the income earned on the Trust Account.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At March 31, 2020 and December 31, 2019, the Company has not experienced losses on this account and management believes the Company is not exposed to significant risks on such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Initial Public Offering, the Company sold 17,250,000 Units, which includes the full exercise by the underwriter of its option to purchase an additional 2,250,000 Units at $10.00 per Unit. Each Unit consists of one share of Class A common stock and one-half of one redeemable warrant (“Public Warrant”). Each whole Public Warrant entitles the holder to purchase one share of Class A common stock at a price of $11.50 per share, subject to adjustment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and Cantor purchased an aggregate of 545,000 Placement Units at a price of $10.00 per Placement Unit, for an aggregate purchase price of $5,450,000. Each Placement Unit consists of one share of Class A common stock (“Placement Share”) and one-half of one redeemable warrant (“Placement Warrant”). Each whole Placement Warrant is exercisable to purchase one share of Class A common stock at a price of $11.50 per share. The proceeds from the Placement Units were added to the proceeds from the Initial Public Offering held in the Trust Account. If the Company does not complete a Business Combination within the Combination Period, the proceeds from the sale of the Placement Units will be used to fund the redemption of the Public Shares (subject to the requirements of applicable law), and the Placement Units and all underlying securities will be worthless.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2019, the Sponsor purchased 4,312,500 shares (the “Founder Shares”) of the Company’s Class B common stock for an aggregate price of $25,000. The Founder Shares will automatically convert into shares of Class A common stock at the time of a Business Combination, or earlier at the option of the holders, on a one-for-one basis, subject to certain adjustments, as described in Note 7.</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Founder Shares included up to 562,500 shares subject to forfeiture to the extent that the underwriter’s over-allotment option was not exercised in full or in part, so that the Sponsor would own, on an as-converted basis, 20% of the Company’s issued and outstanding shares after the Initial Public Offering (assuming the Sponsor did not purchase any Public Shares in the Initial Public Offering and excluding Placement Shares included in the Placement Units). As a result of the underwriter’s election to fully exercise its over-allotment option, the 562,500 Founder Shares are no longer subject to forfeiture.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its Founder Shares until the earlier to occur of: (A) one year after the completion of a Business Combination or (B) subsequent to a Business Combination, (x) if the last sale price of the Class A common stock equals or exceeds $12.00 per share (as adjusted for stock splits, stock dividends,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Company’s stockholders having the right to exchange their shares of common stock for cash, securities or other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2019, the Sponsor agreed to loan the Company an aggregate of up to $300,000 to cover expenses related to the Initial Public Offering pursuant to a promissory note (the “Promissory Note”). The Promissory Note was non-interest bearing and payable on the earlier of December 31, 2019 or the completion of the Initial Public Offering. Borrowings outstanding under the Promissory Note of $222,725 were repaid upon the consummation of the Initial Public Offering on November 13, 2019.</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units upon consummation of the Business Combination at a price of $10.00 per unit. The units would be identical to the Placement Units. There were no outstanding borrowings under the Working Capital Loans as of March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entered into an agreement whereby, commencing on November 8, 2019 through the earlier of the Company’s consummation of a Business Combination or its liquidation, the Company will pay an affiliate of the Sponsor a total of $10,000 per month for office space, utilities and administrative support. For the three months ended March 31, 2020, the Company incurred $30,000 in fees for these services, of which $50,000 and $20,000, are included in accrued expenses in the accompanying condensed balance sheets at March 31, 2020 and December 31, 2019,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a registration rights agreement entered into on November 7, 2019, the holders of the Founder Shares, Placement Units (including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are entitled to registration rights, requiring the Company to register such securities for resale (in the case of the Founder Shares, only after conversion to Class A common stock).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Notwithstanding the foregoing, Cantor may not exercise its demand and “piggyback” registration rights after five (5) and seven (7) years after the effective date of the registration statement and may not exercise its demand rights on more than one occasion. The Company will bear the expenses incurred in connection with the filing of any such registration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was paid a cash underwriting discount of $3,450,000, or $0.20 per Unit of the gross proceeds from the Units sold in the Initial Public Offering. In addition, the underwriter is entitled to a deferred fee of $0.40 per Unit of the gross proceeds from the Units sold in the Initial Public Offering, or $6,900,000 in the aggregate. The deferred fee will become payable to the underwriter from the amounts held in the Trust Account solely in the event that the Company completes a Business Combination, subject to the terms of the underwriting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At March 31, 2020 and December 31, 2019, there were no shares of preferred stock issued or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common stock are entitled to one vote for each share. At March 31, 2020 and December 31, 2019, there were 1,557,803 and 1,583,750 shares of Class A common stock issued or outstanding, excluding 16,237,197 and 16,211,250 shares of common stock subject to possible redemption,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 shares of Class B common stock with a par value of $0.0001 per share. 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Class B common stock are entitled to one vote for each share. At March 31, 2020 and December 31, 2019, there were 4,312,500 shares of Class B common stock issued and outstanding.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submitted to a vote of stockholders except as required by law.</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(not including the shares of Class A common stock underlying the Placement Units) plus all shares of Class A common stock and equity-linked securities issued or deemed issued in connection with a Business Combination (excluding any shares or equity-linked securities issued, or to be issued, to any seller in a Business Combination, any private placement-equivalent warrants issued, or to be issued, to any seller in a Business Combination, any private placement equivalent securities issued to the Sponsor or its affiliates upon conversion of loans made to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warrants will be issued upon separation of the Units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whole warrants will trade. The Public Warrants will become exercisable on the later of (a) 30 days after the completion of a Business Combination or</w:t>
      </w:r>
    </w:p>
    <w:p>
      <w:pPr>
        <w:ind w:firstLine="8"/>
        <w:spacing w:after="0" w:line="260" w:lineRule="auto"/>
        <w:tabs>
          <w:tab w:leader="none" w:pos="258" w:val="left"/>
        </w:tabs>
        <w:numPr>
          <w:ilvl w:val="0"/>
          <w:numId w:val="7"/>
        </w:numPr>
        <w:rPr>
          <w:rFonts w:ascii="Arial" w:cs="Arial" w:eastAsia="Arial" w:hAnsi="Arial"/>
          <w:sz w:val="18"/>
          <w:szCs w:val="18"/>
          <w:color w:val="auto"/>
        </w:rPr>
      </w:pPr>
      <w:r>
        <w:rPr>
          <w:rFonts w:ascii="Arial" w:cs="Arial" w:eastAsia="Arial" w:hAnsi="Arial"/>
          <w:sz w:val="18"/>
          <w:szCs w:val="18"/>
          <w:color w:val="auto"/>
        </w:rPr>
        <w:t>12 months from the closing of the Initial Public Offering. The Public Warrants will expire five years after the completion of a Business Combination or earlier upon redemption or liquidation.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the Company will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upon exercise of the warrants is not effective by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Notwithstanding the foregoing, if a registration statement covering the Class A common stock issuable upon exercise of the warrants is not effective within a specified period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225" w:lineRule="exact"/>
        <w:rPr>
          <w:sz w:val="20"/>
          <w:szCs w:val="20"/>
          <w:color w:val="auto"/>
        </w:rPr>
      </w:pPr>
    </w:p>
    <w:p>
      <w:pPr>
        <w:ind w:left="800" w:hanging="333"/>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800" w:hanging="333"/>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9" w:lineRule="exact"/>
        <w:rPr>
          <w:rFonts w:ascii="Arial" w:cs="Arial" w:eastAsia="Arial" w:hAnsi="Arial"/>
          <w:sz w:val="18"/>
          <w:szCs w:val="18"/>
          <w:color w:val="auto"/>
        </w:rPr>
      </w:pPr>
    </w:p>
    <w:p>
      <w:pPr>
        <w:ind w:left="800" w:hanging="333"/>
        <w:spacing w:after="0" w:line="323"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Company’s Class A common stock equals or exceeds $18.00 per share for any 20 trading days within a 30-trading day period ending three business days before the Company sends the notice of redemption to the warrant holders.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and when the warrants become redeemable by the Company, the Company may not exercise its redemption right if the issuance of shares of common stock upon exercise of the warrants is not exempt from registration or qualification under applicable state blue sky laws or the Company is unable to effect such registration or qualification.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and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shares of Class A common stock during the 20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Placement Warrants are identical to the Public Warrants underlying the Units sold in the Initial Public Offering, except that the Placement Warrants and the Class A common stock issuable upon the exercise of the Placement Warrants will not be transferable, assignable or salable until 30 days after the completion of a Business Combination, subject to certain limited exceptions. Additionally, the Placement Warrants will be exercisable on a cashless basis and be non-redeemable so long as they are held by the initial purchasers or their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balance sheets and adjusted for the amortization or accretion of premiums or discounts.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March 31, 2020, assets held in the Trust Account were comprised of $1,000 in cash and $173,395,298 in U.S. Treasury securities. During the three months ended March 31, 2020, the Company withdrew $119,502 of interest income from the Trust Account to pay for franchise taxes.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2019, assets held in the Trust Account were comprised of $873 in cash and $172,845,138 in U.S. Treasury securities. During the period from May 28, 2019 (inception) through December 31, 2019, the Company did not withdraw any interest income from the Trust Account.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gross holding gains and fair value of held-to-maturity securities at March 31, 2020 and December 31,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Holding</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Held-To-Maturity</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Borders>
              <w:bottom w:val="single" w:sz="8" w:color="CCEEFF"/>
            </w:tcBorders>
          </w:tcPr>
          <w:p>
            <w:pPr>
              <w:spacing w:after="0"/>
              <w:rPr>
                <w:sz w:val="20"/>
                <w:szCs w:val="20"/>
                <w:color w:val="auto"/>
              </w:rPr>
            </w:pPr>
          </w:p>
        </w:tc>
      </w:tr>
      <w:tr>
        <w:trPr>
          <w:trHeight w:val="264"/>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March 31,</w:t>
            </w:r>
          </w:p>
        </w:tc>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 Treasury Securities (Mature on 5/14/2020)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$ 173,395,298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308,067</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$ 173,703,365</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89"/>
              </w:rPr>
              <w:t>December</w:t>
            </w:r>
          </w:p>
        </w:tc>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31, 2019</w:t>
            </w:r>
          </w:p>
        </w:tc>
        <w:tc>
          <w:tcPr>
            <w:tcW w:w="5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U.S. Treasury Securities (Mature on 5/14/2020)</w:t>
            </w: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$ 172,845,138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13,410</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$ 172,858,548</w:t>
            </w:r>
          </w:p>
        </w:tc>
      </w:tr>
      <w:tr>
        <w:trPr>
          <w:trHeight w:val="21"/>
        </w:trPr>
        <w:tc>
          <w:tcPr>
            <w:tcW w:w="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360" w:hanging="890"/>
        <w:spacing w:after="0" w:line="308" w:lineRule="auto"/>
        <w:tabs>
          <w:tab w:leader="none" w:pos="13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6" w:lineRule="exact"/>
        <w:rPr>
          <w:sz w:val="20"/>
          <w:szCs w:val="20"/>
          <w:color w:val="auto"/>
        </w:rPr>
      </w:pPr>
    </w:p>
    <w:p>
      <w:pPr>
        <w:ind w:left="1360" w:right="20" w:hanging="890"/>
        <w:spacing w:after="0" w:line="277" w:lineRule="auto"/>
        <w:tabs>
          <w:tab w:leader="none" w:pos="13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Based upon this review, the Company did not identify subsequent events that would have required adjustment or disclosure in the condensed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References in this report (the “Quarterly Report”) to “we,” “us” or the “Company” refer to Stable Road Acquisition Corp. References to our “management” or our “management team” refer to our officers and directors, and references to the “Sponsor” refer to SRC-NI Holdings,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ending December 31, 2019 filed with the SEC on March 26, 2020.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blank check company incorporated as a Delaware corporation and formed for the purpose of effecting a merger, capital stock exchange, asset acquisition, stock purchase, reorganization or similar business combination (“Business Combination”) with one or more businesses. We intend to effectuate our initial Business Combination using cash from the proceeds our initial public offering (“Initial Public Offering”) and the private placement of the placement units (“Placement Units”), the proceeds of the sale of our shares in connection with our initial Business Combination (pursuant to backstop agreements we may enter into), shares issued to the owners of the target, debt issued to banks or other lenders or the owners of the target, or a combination of the foregoing.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in connection with an initial Business Combination to the owners of the target or other investors:</w:t>
      </w:r>
    </w:p>
    <w:p>
      <w:pPr>
        <w:spacing w:after="0" w:line="225" w:lineRule="exact"/>
        <w:rPr>
          <w:sz w:val="20"/>
          <w:szCs w:val="20"/>
          <w:color w:val="auto"/>
        </w:rPr>
      </w:pPr>
    </w:p>
    <w:p>
      <w:pPr>
        <w:jc w:val="both"/>
        <w:ind w:left="1020" w:hanging="337"/>
        <w:spacing w:after="0" w:line="255"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Initial Public Offering, which dilution would increase if the anti-dilution provisions in the Class B common stock resulted in the issuance of Class A shares on a greater than one-to-one basis upon conversion of the Class B common stock;</w:t>
      </w:r>
    </w:p>
    <w:p>
      <w:pPr>
        <w:spacing w:after="0" w:line="2" w:lineRule="exact"/>
        <w:rPr>
          <w:rFonts w:ascii="Arial" w:cs="Arial" w:eastAsia="Arial" w:hAnsi="Arial"/>
          <w:sz w:val="18"/>
          <w:szCs w:val="18"/>
          <w:color w:val="auto"/>
        </w:rPr>
      </w:pPr>
    </w:p>
    <w:p>
      <w:pPr>
        <w:ind w:left="1020" w:hanging="337"/>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32" w:lineRule="exact"/>
        <w:rPr>
          <w:rFonts w:ascii="Arial" w:cs="Arial" w:eastAsia="Arial" w:hAnsi="Arial"/>
          <w:sz w:val="16"/>
          <w:szCs w:val="16"/>
          <w:color w:val="auto"/>
        </w:rPr>
      </w:pPr>
    </w:p>
    <w:p>
      <w:pPr>
        <w:ind w:left="1020" w:hanging="337"/>
        <w:spacing w:after="0" w:line="281"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 w:lineRule="exact"/>
        <w:rPr>
          <w:rFonts w:ascii="Arial" w:cs="Arial" w:eastAsia="Arial" w:hAnsi="Arial"/>
          <w:sz w:val="16"/>
          <w:szCs w:val="16"/>
          <w:color w:val="auto"/>
        </w:rPr>
      </w:pPr>
    </w:p>
    <w:p>
      <w:pPr>
        <w:ind w:left="1020" w:hanging="337"/>
        <w:spacing w:after="0" w:line="25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ind w:left="1020" w:hanging="33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or otherwise incur significant debt to banks or other lenders or the owners of a target, it could result in:</w:t>
      </w:r>
    </w:p>
    <w:p>
      <w:pPr>
        <w:spacing w:after="0" w:line="225" w:lineRule="exact"/>
        <w:rPr>
          <w:sz w:val="20"/>
          <w:szCs w:val="20"/>
          <w:color w:val="auto"/>
        </w:rPr>
      </w:pPr>
    </w:p>
    <w:p>
      <w:pPr>
        <w:ind w:left="1020" w:right="20" w:hanging="337"/>
        <w:spacing w:after="0" w:line="25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 w:lineRule="exact"/>
        <w:rPr>
          <w:rFonts w:ascii="Arial" w:cs="Arial" w:eastAsia="Arial" w:hAnsi="Arial"/>
          <w:sz w:val="18"/>
          <w:szCs w:val="18"/>
          <w:color w:val="auto"/>
        </w:rPr>
      </w:pPr>
    </w:p>
    <w:p>
      <w:pPr>
        <w:ind w:left="1020" w:hanging="337"/>
        <w:spacing w:after="0" w:line="265"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ind w:left="1020" w:hanging="33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9" w:lineRule="exact"/>
        <w:rPr>
          <w:rFonts w:ascii="Arial" w:cs="Arial" w:eastAsia="Arial" w:hAnsi="Arial"/>
          <w:sz w:val="18"/>
          <w:szCs w:val="18"/>
          <w:color w:val="auto"/>
        </w:rPr>
      </w:pPr>
    </w:p>
    <w:p>
      <w:pPr>
        <w:ind w:left="1020" w:right="20" w:hanging="337"/>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ind w:left="1020" w:hanging="33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left="1020" w:hanging="337"/>
        <w:spacing w:after="0" w:line="25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2" w:lineRule="exact"/>
        <w:rPr>
          <w:rFonts w:ascii="Arial" w:cs="Arial" w:eastAsia="Arial" w:hAnsi="Arial"/>
          <w:sz w:val="18"/>
          <w:szCs w:val="18"/>
          <w:color w:val="auto"/>
        </w:rPr>
      </w:pPr>
    </w:p>
    <w:p>
      <w:pPr>
        <w:ind w:left="1020" w:hanging="33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9" w:lineRule="exact"/>
        <w:rPr>
          <w:rFonts w:ascii="Arial" w:cs="Arial" w:eastAsia="Arial" w:hAnsi="Arial"/>
          <w:sz w:val="18"/>
          <w:szCs w:val="18"/>
          <w:color w:val="auto"/>
        </w:rPr>
      </w:pPr>
    </w:p>
    <w:p>
      <w:pPr>
        <w:ind w:left="1020" w:hanging="337"/>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ind w:left="1020" w:hanging="337"/>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ind w:left="1020" w:hanging="33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our initial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neither engaged in any operations nor generated any revenues to date. Our only activities since inception have been organizational activities and those necessary to prepare for our Initial Public Offering, described below, and identifying a target for our initial Business Combination. We do not expect to generate any operating revenues until after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our initial Business Combination.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2020, we had net income of $259,471, which consists of interest income on marketable securities held in the trust account (“Trust Account”) of $669,789, offset by operating costs of $236,879 and a provision for income taxes of $173,439.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2019, we consummated our Initial Public Offering of 17,250,000 Units, which included the full exercise by the underwriter of the over-allotment option to purchase an additional 2,250,000 Units, at $10.00 per Unit, generating gross proceeds of $172,500,000. Simultaneously with the closing of our Initial Public Offering, we consummated the sale of 545,000 Placement Units to the Sponsor and Cantor at a price of $10.00 per Placement Unit, generating gross proceeds of $5,450,000.</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Following our Initial Public Offering, the exercise of the over-allotment option and the sale of the Placement Units, a total of $172,500,000 was placed in the Trust Account. We incurred $10,924,857 in transaction costs, including $3,450,000 of underwriting fees, $6,900,000 of deferred underwriting fees and $574,857 of other offering costs.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cash used in operating activities was $227,767. Net income of $259,471 was offset by interest earned on marketable securities held in the Trust Account of $669,789 and changes in operating assets and liabilities, which provided $182,551 of cash from operating activities.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31, 2020, we had cash and marketable securities in the Trust Account of $173,396,298. We intend to use substantially all of the funds held in the Trust Account, including any amounts representing interest earned on the Trust Account (less deferred underwriting commissions) to complete our initial Business Combination. We may withdraw interest to pay taxes. During the three months ended March 31, 2020, we withdrew $119,502 of interest income from the Trust Account to pay for franchise taxes.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2020, we had cash of $984,919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our initial Business Combination.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units identical to the Placement Units, at a price of $10.00 per unit at the option of the lender.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8" w:name="page19"/>
    <w:bookmarkEnd w:id="18"/>
    <w:p>
      <w:pPr>
        <w:jc w:val="both"/>
        <w:spacing w:after="0" w:line="289" w:lineRule="auto"/>
        <w:rPr>
          <w:sz w:val="20"/>
          <w:szCs w:val="20"/>
          <w:color w:val="auto"/>
        </w:rPr>
      </w:pPr>
      <w:r>
        <w:rPr>
          <w:rFonts w:ascii="Arial" w:cs="Arial" w:eastAsia="Arial" w:hAnsi="Arial"/>
          <w:sz w:val="16"/>
          <w:szCs w:val="16"/>
          <w:color w:val="auto"/>
        </w:rPr>
        <w:t>We do not currently believe we will need to raise additional funds in order to meet the expenditures required for operating our business. However, if our estimate of the costs of identifying a target business, undertaking in-depth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assessment of going concern considerations in accordance with Financial Accounting Standard Board's Accounting Standards Update (“ASU”) 2014-15, “Disclosures of Uncertainties about an Entity's Ability to Continue as a Going Concern,” we have until May 13, 2021 to consummate a Business Combination. It is uncertain that we will be able to consummate a Business Combination by this time. If a Business Combination is not consummated by this date, there will be a mandatory liquidation and subsequent dissolution. Management has determined that the mandatory liquidation, should a Business Combination not occur, and potential subsequent dissolution raises substantial doubt about our ability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March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an affiliate of our Sponsor a monthly fee of $10,000 for office space, utilities and administrative support provided to the Company. We began incurring these fees on November 8, 2019 and will continue to incur these fees monthly until the earlier of the completion of the initial Business Combination and the Company’s liquidation.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underwriter is entitled to deferred commissions of $0.40 per unit of the gross proceeds from the Units sold in the Initial Public Offering, or $6,900,000 in the aggregate. The deferred commissions will become payable to the underwriter from the amounts held in the Trust Account solely in the event that we complete a Business Combination, subject to the terms of the underwriting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 for our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the common stock subject to possible redemption is presented as temporary equity, outside of the stockholders’ equity section of our condensed balance sheets.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taxes, by the weighted average number of shares of Class A redeemable common stock outstanding for the period. Net income per common share, basic and diluted, for Class A and Class B non-redeemable common stock is calculated by dividing net income less income attributable to Class A redeemable common stock, by the weighted average number of shares of Class A and Class B non-redeemable common stock outstanding for the period presented.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our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2020, we were not subject to any market or interest rate risk. Following the consummation of our Initial Public Offering, the net proceeds of our Initial Public Offering,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31, 2020. Based upon their evaluation, our Chief Executive Officer and Chief Financial Officer concluded that our disclosure controls and procedures (as defined in Rules 13a-15(e) and 15d-15(e) under the Exchange Act)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 for the year ended December 31, 2019 filed with the SEC on March 26, 2020. As of the date of this Report, there have been no material changes to the risk factors disclosed in our Annual Report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3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80" w:type="dxa"/>
            <w:vAlign w:val="bottom"/>
            <w:gridSpan w:val="2"/>
          </w:tcPr>
          <w:p>
            <w:pPr>
              <w:ind w:left="480"/>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1140" w:type="dxa"/>
            <w:vAlign w:val="bottom"/>
            <w:tcBorders>
              <w:top w:val="single" w:sz="8" w:color="auto"/>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5"/>
              </w:rPr>
              <w:t>31.1*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9880" w:type="dxa"/>
            <w:vAlign w:val="bottom"/>
            <w:tcBorders>
              <w:top w:val="single" w:sz="8" w:color="auto"/>
              <w:bottom w:val="single" w:sz="8" w:color="0000EE"/>
            </w:tcBorders>
            <w:gridSpan w:val="5"/>
            <w:shd w:val="clear" w:color="auto" w:fill="CCEEFF"/>
          </w:tcPr>
          <w:p>
            <w:pPr>
              <w:spacing w:after="0" w:line="169"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Certification of Principal Executive Officer Pursuant to Securities Exchange Act Rules 13a-14(a) and 15(d)-14(a), as adopted Pursuant</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to Section 302 of the Sarbanes-Oxley Act of 2002</w:t>
              </w:r>
            </w:hyperlink>
          </w:p>
        </w:tc>
        <w:tc>
          <w:tcPr>
            <w:tcW w:w="6280" w:type="dxa"/>
            <w:vAlign w:val="bottom"/>
            <w:tcBorders>
              <w:bottom w:val="single" w:sz="8" w:color="CCEEFF"/>
            </w:tcBorders>
            <w:gridSpan w:val="2"/>
            <w:shd w:val="clear" w:color="auto" w:fill="CCEEFF"/>
          </w:tcPr>
          <w:p>
            <w:pPr>
              <w:spacing w:after="0"/>
              <w:rPr>
                <w:sz w:val="18"/>
                <w:szCs w:val="18"/>
                <w:color w:val="auto"/>
              </w:rPr>
            </w:pPr>
          </w:p>
        </w:tc>
      </w:tr>
      <w:tr>
        <w:trPr>
          <w:trHeight w:val="176"/>
        </w:trPr>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5"/>
              </w:rPr>
              <w:t>31.2*</w:t>
            </w:r>
          </w:p>
        </w:tc>
        <w:tc>
          <w:tcPr>
            <w:tcW w:w="220" w:type="dxa"/>
            <w:vAlign w:val="bottom"/>
          </w:tcPr>
          <w:p>
            <w:pPr>
              <w:spacing w:after="0"/>
              <w:rPr>
                <w:sz w:val="15"/>
                <w:szCs w:val="15"/>
                <w:color w:val="auto"/>
              </w:rPr>
            </w:pPr>
          </w:p>
        </w:tc>
        <w:tc>
          <w:tcPr>
            <w:tcW w:w="9880" w:type="dxa"/>
            <w:vAlign w:val="bottom"/>
            <w:tcBorders>
              <w:bottom w:val="single" w:sz="8" w:color="0000EE"/>
            </w:tcBorders>
            <w:gridSpan w:val="5"/>
          </w:tcPr>
          <w:p>
            <w:pPr>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Certification of Principal Financial Officer Pursuant to Securities Exchange Act Rules 13a-14(a) and 15(d)-14(a), as adopted Pursuant to</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Section 302 of the Sarbanes-Oxley Act of 2002</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32.1**</w:t>
            </w:r>
          </w:p>
        </w:tc>
        <w:tc>
          <w:tcPr>
            <w:tcW w:w="2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Certification of Principal Executive Officer Pursuant to 18 U.S.C. Section 1350, as adopted Pursuant to Section 906 of the Sarbanes-</w:t>
              </w:r>
            </w:hyperlink>
          </w:p>
        </w:tc>
      </w:tr>
      <w:tr>
        <w:trPr>
          <w:trHeight w:val="196"/>
        </w:trPr>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80" w:type="dxa"/>
            <w:vAlign w:val="bottom"/>
            <w:gridSpan w:val="5"/>
            <w:shd w:val="clear" w:color="auto" w:fill="CCEEFF"/>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Oxley Act of 2002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rPr>
              <w:t>32.2**</w:t>
            </w:r>
          </w:p>
        </w:tc>
        <w:tc>
          <w:tcPr>
            <w:tcW w:w="220" w:type="dxa"/>
            <w:vAlign w:val="bottom"/>
          </w:tcPr>
          <w:p>
            <w:pPr>
              <w:spacing w:after="0"/>
              <w:rPr>
                <w:sz w:val="15"/>
                <w:szCs w:val="15"/>
                <w:color w:val="auto"/>
              </w:rPr>
            </w:pPr>
          </w:p>
        </w:tc>
        <w:tc>
          <w:tcPr>
            <w:tcW w:w="9880" w:type="dxa"/>
            <w:vAlign w:val="bottom"/>
            <w:gridSpan w:val="5"/>
          </w:tcPr>
          <w:p>
            <w:pPr>
              <w:spacing w:after="0" w:line="17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Certification of Principal Financial Officer Pursuant to 18 U.S.C. Section 1350, as adopted Pursuant to Section 906 of the Sarbanes-</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Oxley Act of 2002</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7"/>
              </w:rPr>
              <w:t>101.INS*</w:t>
            </w:r>
          </w:p>
        </w:tc>
        <w:tc>
          <w:tcPr>
            <w:tcW w:w="9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101.CAL*</w:t>
            </w:r>
          </w:p>
        </w:tc>
        <w:tc>
          <w:tcPr>
            <w:tcW w:w="98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101.SCH*</w:t>
            </w:r>
          </w:p>
        </w:tc>
        <w:tc>
          <w:tcPr>
            <w:tcW w:w="9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101.DEF*</w:t>
            </w:r>
          </w:p>
        </w:tc>
        <w:tc>
          <w:tcPr>
            <w:tcW w:w="98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101.LAB*</w:t>
            </w:r>
          </w:p>
        </w:tc>
        <w:tc>
          <w:tcPr>
            <w:tcW w:w="9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101.PRE*</w:t>
            </w:r>
          </w:p>
        </w:tc>
        <w:tc>
          <w:tcPr>
            <w:tcW w:w="98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87" w:lineRule="exact"/>
        <w:rPr>
          <w:sz w:val="20"/>
          <w:szCs w:val="20"/>
          <w:color w:val="auto"/>
        </w:rPr>
      </w:pPr>
    </w:p>
    <w:p>
      <w:pPr>
        <w:ind w:right="9800" w:firstLine="8"/>
        <w:spacing w:after="0" w:line="342" w:lineRule="auto"/>
        <w:tabs>
          <w:tab w:leader="none" w:pos="337"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STABLE ROAD ACQUISITION CORP.</w:t>
      </w:r>
    </w:p>
    <w:p>
      <w:pPr>
        <w:spacing w:after="0" w:line="229"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Brian Kabot</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James Norris</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Kabot, certify that:</w:t>
      </w:r>
    </w:p>
    <w:p>
      <w:pPr>
        <w:spacing w:after="0" w:line="225" w:lineRule="exact"/>
        <w:rPr>
          <w:sz w:val="20"/>
          <w:szCs w:val="20"/>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Stable Road Acquisition Corp.;</w:t>
      </w:r>
    </w:p>
    <w:p>
      <w:pPr>
        <w:spacing w:after="0" w:line="225"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20" w:right="20" w:hanging="453"/>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60" w:hanging="448"/>
        <w:spacing w:after="0" w:line="263" w:lineRule="auto"/>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hanging="448"/>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1360" w:hanging="448"/>
        <w:spacing w:after="0" w:line="342" w:lineRule="auto"/>
        <w:tabs>
          <w:tab w:leader="none" w:pos="13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hanging="448"/>
        <w:spacing w:after="0" w:line="263" w:lineRule="auto"/>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60" w:hanging="448"/>
        <w:spacing w:after="0" w:line="308" w:lineRule="auto"/>
        <w:tabs>
          <w:tab w:leader="none" w:pos="1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hanging="448"/>
        <w:spacing w:after="0" w:line="277"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Norris, certify that:</w:t>
      </w:r>
    </w:p>
    <w:p>
      <w:pPr>
        <w:spacing w:after="0" w:line="225" w:lineRule="exact"/>
        <w:rPr>
          <w:sz w:val="20"/>
          <w:szCs w:val="20"/>
          <w:color w:val="auto"/>
        </w:rPr>
      </w:pPr>
    </w:p>
    <w:p>
      <w:pPr>
        <w:ind w:left="920" w:hanging="45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Stable Road Acquisition Corp.;</w:t>
      </w:r>
    </w:p>
    <w:p>
      <w:pPr>
        <w:spacing w:after="0" w:line="225"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20" w:right="20" w:hanging="453"/>
        <w:spacing w:after="0" w:line="277"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60" w:hanging="448"/>
        <w:spacing w:after="0" w:line="263" w:lineRule="auto"/>
        <w:tabs>
          <w:tab w:leader="none" w:pos="1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hanging="448"/>
        <w:spacing w:after="0"/>
        <w:tabs>
          <w:tab w:leader="none" w:pos="1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1360" w:hanging="448"/>
        <w:spacing w:after="0" w:line="342" w:lineRule="auto"/>
        <w:tabs>
          <w:tab w:leader="none" w:pos="13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hanging="448"/>
        <w:spacing w:after="0" w:line="263" w:lineRule="auto"/>
        <w:tabs>
          <w:tab w:leader="none" w:pos="1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60" w:hanging="448"/>
        <w:spacing w:after="0" w:line="308" w:lineRule="auto"/>
        <w:tabs>
          <w:tab w:leader="none" w:pos="1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hanging="448"/>
        <w:spacing w:after="0" w:line="277"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Norris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Stable Road Acquisition Corp. (the “Company”) on Form 10-Q for the quarterly period ended March 31, 2020, as filed with the Securities and Exchange Commission (the “Report”), I, Brian Kabot, Chief Executive Officer of the Company, certify, pursuant to 18 U.S.C. §1350, as added by §906 of the Sarbanes-Oxley Act of 2002, that:</w:t>
      </w:r>
    </w:p>
    <w:p>
      <w:pPr>
        <w:spacing w:after="0" w:line="184" w:lineRule="exact"/>
        <w:rPr>
          <w:sz w:val="20"/>
          <w:szCs w:val="20"/>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Stable Road Acquisition Corp. (the “Company”) on Form 10-Q for the quarterly period ended March 31, 2020, as filed with the Securities and Exchange Commission (the “Report”), I, James Norris, Chief Financial Officer of the Company, certify, pursuant to 18 U.S.C. §1350, as added by §906 of the Sarbanes-Oxley Act of 2002, that:</w:t>
      </w:r>
    </w:p>
    <w:p>
      <w:pPr>
        <w:spacing w:after="0" w:line="184" w:lineRule="exact"/>
        <w:rPr>
          <w:sz w:val="20"/>
          <w:szCs w:val="20"/>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Norris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Letter"/>
      <w:start w:val="2"/>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2020-05-11T15:37:10Z</dcterms:created>
  <dcterms:modified xsi:type="dcterms:W3CDTF">2020-05-11T15:37:10Z</dcterms:modified>
</cp:coreProperties>
</file>