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820" w:right="940" w:hanging="2872"/>
        <w:spacing w:after="0" w:line="399" w:lineRule="auto"/>
        <w:tabs>
          <w:tab w:leader="none" w:pos="11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5"/>
          </w:tcPr>
          <w:p>
            <w:pPr>
              <w:ind w:left="3940"/>
              <w:spacing w:after="0"/>
              <w:rPr>
                <w:sz w:val="20"/>
                <w:szCs w:val="20"/>
                <w:color w:val="auto"/>
              </w:rPr>
            </w:pPr>
            <w:r>
              <w:rPr>
                <w:rFonts w:ascii="Arial" w:cs="Arial" w:eastAsia="Arial" w:hAnsi="Arial"/>
                <w:sz w:val="18"/>
                <w:szCs w:val="18"/>
                <w:b w:val="1"/>
                <w:bCs w:val="1"/>
                <w:color w:val="auto"/>
              </w:rPr>
              <w:t>For the transition period from</w:t>
            </w:r>
          </w:p>
        </w:tc>
        <w:tc>
          <w:tcPr>
            <w:tcW w:w="4140" w:type="dxa"/>
            <w:vAlign w:val="bottom"/>
          </w:tcPr>
          <w:p>
            <w:pPr>
              <w:ind w:left="60"/>
              <w:spacing w:after="0"/>
              <w:rPr>
                <w:sz w:val="20"/>
                <w:szCs w:val="20"/>
                <w:color w:val="auto"/>
              </w:rPr>
            </w:pPr>
            <w:r>
              <w:rPr>
                <w:rFonts w:ascii="Arial" w:cs="Arial" w:eastAsia="Arial" w:hAnsi="Arial"/>
                <w:sz w:val="18"/>
                <w:szCs w:val="18"/>
                <w:b w:val="1"/>
                <w:bCs w:val="1"/>
                <w:color w:val="auto"/>
              </w:rPr>
              <w:t>to</w:t>
            </w:r>
          </w:p>
        </w:tc>
      </w:tr>
      <w:tr>
        <w:trPr>
          <w:trHeight w:val="310"/>
        </w:trPr>
        <w:tc>
          <w:tcPr>
            <w:tcW w:w="7100" w:type="dxa"/>
            <w:vAlign w:val="bottom"/>
            <w:gridSpan w:val="5"/>
          </w:tcPr>
          <w:p>
            <w:pPr>
              <w:jc w:val="center"/>
              <w:ind w:left="4070"/>
              <w:spacing w:after="0"/>
              <w:rPr>
                <w:sz w:val="20"/>
                <w:szCs w:val="20"/>
                <w:color w:val="auto"/>
              </w:rPr>
            </w:pPr>
            <w:r>
              <w:rPr>
                <w:rFonts w:ascii="Arial" w:cs="Arial" w:eastAsia="Arial" w:hAnsi="Arial"/>
                <w:sz w:val="18"/>
                <w:szCs w:val="18"/>
                <w:b w:val="1"/>
                <w:bCs w:val="1"/>
                <w:color w:val="auto"/>
                <w:w w:val="91"/>
              </w:rPr>
              <w:t>Commission File Number: 001-39128</w:t>
            </w:r>
          </w:p>
        </w:tc>
        <w:tc>
          <w:tcPr>
            <w:tcW w:w="4140" w:type="dxa"/>
            <w:vAlign w:val="bottom"/>
          </w:tcPr>
          <w:p>
            <w:pPr>
              <w:spacing w:after="0"/>
              <w:rPr>
                <w:sz w:val="24"/>
                <w:szCs w:val="24"/>
                <w:color w:val="auto"/>
              </w:rPr>
            </w:pPr>
          </w:p>
        </w:tc>
      </w:tr>
      <w:tr>
        <w:trPr>
          <w:trHeight w:val="20"/>
        </w:trPr>
        <w:tc>
          <w:tcPr>
            <w:tcW w:w="6280" w:type="dxa"/>
            <w:vAlign w:val="bottom"/>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57"/>
        </w:trPr>
        <w:tc>
          <w:tcPr>
            <w:tcW w:w="7100" w:type="dxa"/>
            <w:vAlign w:val="bottom"/>
            <w:gridSpan w:val="5"/>
          </w:tcPr>
          <w:p>
            <w:pPr>
              <w:jc w:val="center"/>
              <w:ind w:left="4050"/>
              <w:spacing w:after="0"/>
              <w:rPr>
                <w:sz w:val="20"/>
                <w:szCs w:val="20"/>
                <w:color w:val="auto"/>
              </w:rPr>
            </w:pPr>
            <w:r>
              <w:rPr>
                <w:rFonts w:ascii="Arial" w:cs="Arial" w:eastAsia="Arial" w:hAnsi="Arial"/>
                <w:sz w:val="18"/>
                <w:szCs w:val="18"/>
                <w:b w:val="1"/>
                <w:bCs w:val="1"/>
                <w:color w:val="auto"/>
                <w:w w:val="91"/>
              </w:rPr>
              <w:t>Stable Road Acquisition Corp.</w:t>
            </w:r>
          </w:p>
        </w:tc>
        <w:tc>
          <w:tcPr>
            <w:tcW w:w="4140" w:type="dxa"/>
            <w:vAlign w:val="bottom"/>
          </w:tcPr>
          <w:p>
            <w:pPr>
              <w:spacing w:after="0"/>
              <w:rPr>
                <w:sz w:val="24"/>
                <w:szCs w:val="24"/>
                <w:color w:val="auto"/>
              </w:rPr>
            </w:pPr>
          </w:p>
        </w:tc>
      </w:tr>
      <w:tr>
        <w:trPr>
          <w:trHeight w:val="230"/>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58"/>
        </w:trPr>
        <w:tc>
          <w:tcPr>
            <w:tcW w:w="7100" w:type="dxa"/>
            <w:vAlign w:val="bottom"/>
            <w:gridSpan w:val="5"/>
          </w:tcPr>
          <w:p>
            <w:pPr>
              <w:jc w:val="center"/>
              <w:ind w:right="158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30"/>
              <w:spacing w:after="0"/>
              <w:rPr>
                <w:sz w:val="20"/>
                <w:szCs w:val="20"/>
                <w:color w:val="auto"/>
              </w:rPr>
            </w:pPr>
            <w:r>
              <w:rPr>
                <w:rFonts w:ascii="Arial" w:cs="Arial" w:eastAsia="Arial" w:hAnsi="Arial"/>
                <w:sz w:val="18"/>
                <w:szCs w:val="18"/>
                <w:b w:val="1"/>
                <w:bCs w:val="1"/>
                <w:color w:val="auto"/>
              </w:rPr>
              <w:t>84-1905538</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140" w:type="dxa"/>
            <w:vAlign w:val="bottom"/>
            <w:tcBorders>
              <w:top w:val="single" w:sz="8" w:color="auto"/>
            </w:tcBorders>
          </w:tcPr>
          <w:p>
            <w:pPr>
              <w:jc w:val="center"/>
              <w:ind w:right="12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100" w:type="dxa"/>
            <w:vAlign w:val="bottom"/>
            <w:gridSpan w:val="5"/>
          </w:tcPr>
          <w:p>
            <w:pPr>
              <w:jc w:val="center"/>
              <w:ind w:right="158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710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w w:val="91"/>
              </w:rPr>
              <w:t>1345 Abbot Kinney Blvd.</w:t>
            </w:r>
          </w:p>
        </w:tc>
        <w:tc>
          <w:tcPr>
            <w:tcW w:w="4140" w:type="dxa"/>
            <w:vAlign w:val="bottom"/>
          </w:tcPr>
          <w:p>
            <w:pPr>
              <w:spacing w:after="0"/>
              <w:rPr>
                <w:sz w:val="24"/>
                <w:szCs w:val="24"/>
                <w:color w:val="auto"/>
              </w:rPr>
            </w:pPr>
          </w:p>
        </w:tc>
      </w:tr>
      <w:tr>
        <w:trPr>
          <w:trHeight w:val="241"/>
        </w:trPr>
        <w:tc>
          <w:tcPr>
            <w:tcW w:w="710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w w:val="91"/>
              </w:rPr>
              <w:t>Venice, California</w:t>
            </w:r>
          </w:p>
        </w:tc>
        <w:tc>
          <w:tcPr>
            <w:tcW w:w="4140" w:type="dxa"/>
            <w:vAlign w:val="bottom"/>
          </w:tcPr>
          <w:p>
            <w:pPr>
              <w:jc w:val="right"/>
              <w:ind w:right="2430"/>
              <w:spacing w:after="0"/>
              <w:rPr>
                <w:sz w:val="20"/>
                <w:szCs w:val="20"/>
                <w:color w:val="auto"/>
              </w:rPr>
            </w:pPr>
            <w:r>
              <w:rPr>
                <w:rFonts w:ascii="Arial" w:cs="Arial" w:eastAsia="Arial" w:hAnsi="Arial"/>
                <w:sz w:val="18"/>
                <w:szCs w:val="18"/>
                <w:b w:val="1"/>
                <w:bCs w:val="1"/>
                <w:color w:val="auto"/>
              </w:rPr>
              <w:t>90291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140" w:type="dxa"/>
            <w:vAlign w:val="bottom"/>
            <w:tcBorders>
              <w:top w:val="single" w:sz="8" w:color="auto"/>
            </w:tcBorders>
          </w:tcPr>
          <w:p>
            <w:pPr>
              <w:jc w:val="center"/>
              <w:ind w:right="1250"/>
              <w:spacing w:after="0"/>
              <w:rPr>
                <w:sz w:val="20"/>
                <w:szCs w:val="20"/>
                <w:color w:val="auto"/>
              </w:rPr>
            </w:pPr>
            <w:r>
              <w:rPr>
                <w:rFonts w:ascii="Arial" w:cs="Arial" w:eastAsia="Arial" w:hAnsi="Arial"/>
                <w:sz w:val="18"/>
                <w:szCs w:val="18"/>
                <w:color w:val="auto"/>
                <w:w w:val="94"/>
              </w:rPr>
              <w:t>(Zip Code)</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(883) 478-2253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ectPr>
          <w:pgSz w:w="11900" w:h="16838" w:orient="portrait"/>
          <w:cols w:equalWidth="0" w:num="1">
            <w:col w:w="11240"/>
          </w:cols>
          <w:pgMar w:left="320" w:top="513" w:right="339" w:bottom="1440" w:gutter="0" w:footer="0" w:header="0"/>
        </w:sectPr>
      </w:pP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3"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Title of each class</w:t>
      </w:r>
    </w:p>
    <w:p>
      <w:pPr>
        <w:spacing w:after="0" w:line="40" w:lineRule="exact"/>
        <w:rPr>
          <w:sz w:val="24"/>
          <w:szCs w:val="24"/>
          <w:color w:val="auto"/>
        </w:rPr>
      </w:pPr>
    </w:p>
    <w:p>
      <w:pPr>
        <w:jc w:val="center"/>
        <w:ind w:right="580"/>
        <w:spacing w:after="0" w:line="255" w:lineRule="auto"/>
        <w:rPr>
          <w:sz w:val="20"/>
          <w:szCs w:val="20"/>
          <w:color w:val="auto"/>
        </w:rPr>
      </w:pPr>
      <w:r>
        <w:rPr>
          <w:rFonts w:ascii="Arial" w:cs="Arial" w:eastAsia="Arial" w:hAnsi="Arial"/>
          <w:sz w:val="18"/>
          <w:szCs w:val="18"/>
          <w:color w:val="auto"/>
        </w:rPr>
        <w:t>Units, each consisting of one share of Class A Common Stock and one-half of one Redeemable Warrant</w:t>
      </w:r>
    </w:p>
    <w:p>
      <w:pPr>
        <w:spacing w:after="0" w:line="3"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Class A Common Stock, par value $0.0001 per</w:t>
      </w:r>
    </w:p>
    <w:p>
      <w:pPr>
        <w:spacing w:after="0" w:line="21"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share</w:t>
      </w:r>
    </w:p>
    <w:p>
      <w:pPr>
        <w:spacing w:after="0" w:line="9" w:lineRule="exact"/>
        <w:rPr>
          <w:sz w:val="24"/>
          <w:szCs w:val="24"/>
          <w:color w:val="auto"/>
        </w:rPr>
      </w:pPr>
    </w:p>
    <w:p>
      <w:pPr>
        <w:jc w:val="center"/>
        <w:ind w:right="580"/>
        <w:spacing w:after="0" w:line="302" w:lineRule="auto"/>
        <w:rPr>
          <w:sz w:val="20"/>
          <w:szCs w:val="20"/>
          <w:color w:val="auto"/>
        </w:rPr>
      </w:pPr>
      <w:r>
        <w:rPr>
          <w:rFonts w:ascii="Arial" w:cs="Arial" w:eastAsia="Arial" w:hAnsi="Arial"/>
          <w:sz w:val="16"/>
          <w:szCs w:val="16"/>
          <w:color w:val="auto"/>
        </w:rPr>
        <w:t>Redeemable Warrants, each whole warrant exercisable for one share of Class A Common Stock at an exercise price of $11.50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Pr>
          <w:p>
            <w:pPr>
              <w:jc w:val="center"/>
              <w:ind w:right="119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32"/>
        </w:trPr>
        <w:tc>
          <w:tcPr>
            <w:tcW w:w="2720" w:type="dxa"/>
            <w:vAlign w:val="bottom"/>
          </w:tcPr>
          <w:p>
            <w:pPr>
              <w:jc w:val="center"/>
              <w:ind w:right="1190"/>
              <w:spacing w:after="0"/>
              <w:rPr>
                <w:sz w:val="20"/>
                <w:szCs w:val="20"/>
                <w:color w:val="auto"/>
              </w:rPr>
            </w:pPr>
            <w:r>
              <w:rPr>
                <w:rFonts w:ascii="Arial" w:cs="Arial" w:eastAsia="Arial" w:hAnsi="Arial"/>
                <w:sz w:val="18"/>
                <w:szCs w:val="18"/>
                <w:color w:val="auto"/>
                <w:w w:val="95"/>
              </w:rPr>
              <w:t>SRACU</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0"/>
        </w:trPr>
        <w:tc>
          <w:tcPr>
            <w:tcW w:w="2720" w:type="dxa"/>
            <w:vAlign w:val="bottom"/>
          </w:tcPr>
          <w:p>
            <w:pPr>
              <w:jc w:val="center"/>
              <w:ind w:right="1190"/>
              <w:spacing w:after="0"/>
              <w:rPr>
                <w:sz w:val="20"/>
                <w:szCs w:val="20"/>
                <w:color w:val="auto"/>
              </w:rPr>
            </w:pPr>
            <w:r>
              <w:rPr>
                <w:rFonts w:ascii="Arial" w:cs="Arial" w:eastAsia="Arial" w:hAnsi="Arial"/>
                <w:sz w:val="18"/>
                <w:szCs w:val="18"/>
                <w:color w:val="auto"/>
                <w:w w:val="95"/>
              </w:rPr>
              <w:t>SRAC</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0"/>
        </w:trPr>
        <w:tc>
          <w:tcPr>
            <w:tcW w:w="2720" w:type="dxa"/>
            <w:vAlign w:val="bottom"/>
          </w:tcPr>
          <w:p>
            <w:pPr>
              <w:jc w:val="center"/>
              <w:ind w:right="1190"/>
              <w:spacing w:after="0"/>
              <w:rPr>
                <w:sz w:val="20"/>
                <w:szCs w:val="20"/>
                <w:color w:val="auto"/>
              </w:rPr>
            </w:pPr>
            <w:r>
              <w:rPr>
                <w:rFonts w:ascii="Arial" w:cs="Arial" w:eastAsia="Arial" w:hAnsi="Arial"/>
                <w:sz w:val="18"/>
                <w:szCs w:val="18"/>
                <w:color w:val="auto"/>
                <w:w w:val="95"/>
              </w:rPr>
              <w:t>SRACW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-3118485</wp:posOffset>
            </wp:positionH>
            <wp:positionV relativeFrom="paragraph">
              <wp:posOffset>-273685</wp:posOffset>
            </wp:positionV>
            <wp:extent cx="713232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-976630</wp:posOffset>
            </wp:positionV>
            <wp:extent cx="713232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336" w:lineRule="exact"/>
        <w:rPr>
          <w:sz w:val="24"/>
          <w:szCs w:val="24"/>
          <w:color w:val="auto"/>
        </w:rPr>
      </w:pPr>
    </w:p>
    <w:p>
      <w:pPr>
        <w:sectPr>
          <w:pgSz w:w="11900" w:h="16838" w:orient="portrait"/>
          <w:cols w:equalWidth="0" w:num="2">
            <w:col w:w="4200" w:space="720"/>
            <w:col w:w="6320"/>
          </w:cols>
          <w:pgMar w:left="320" w:top="513"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4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38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June 9, 2021, there were 17,775,338 shares of Class A common stock and 4,312,500 shares of Class B common stock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00" w:type="dxa"/>
            <w:vAlign w:val="bottom"/>
            <w:gridSpan w:val="8"/>
          </w:tcPr>
          <w:p>
            <w:pPr>
              <w:jc w:val="center"/>
              <w:ind w:right="2140"/>
              <w:spacing w:after="0"/>
              <w:rPr>
                <w:sz w:val="20"/>
                <w:szCs w:val="20"/>
                <w:color w:val="auto"/>
              </w:rPr>
            </w:pPr>
            <w:r>
              <w:rPr>
                <w:rFonts w:ascii="Arial" w:cs="Arial" w:eastAsia="Arial" w:hAnsi="Arial"/>
                <w:sz w:val="18"/>
                <w:szCs w:val="18"/>
                <w:b w:val="1"/>
                <w:bCs w:val="1"/>
                <w:color w:val="auto"/>
                <w:w w:val="99"/>
              </w:rPr>
              <w:t>STABLE ROAD ACQUISITION CORP.</w:t>
            </w:r>
          </w:p>
        </w:tc>
        <w:tc>
          <w:tcPr>
            <w:tcW w:w="900" w:type="dxa"/>
            <w:vAlign w:val="bottom"/>
          </w:tcPr>
          <w:p>
            <w:pPr>
              <w:spacing w:after="0"/>
              <w:rPr>
                <w:sz w:val="20"/>
                <w:szCs w:val="20"/>
                <w:color w:val="auto"/>
              </w:rPr>
            </w:pPr>
          </w:p>
        </w:tc>
      </w:tr>
      <w:tr>
        <w:trPr>
          <w:trHeight w:val="414"/>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00" w:type="dxa"/>
            <w:vAlign w:val="bottom"/>
            <w:gridSpan w:val="8"/>
          </w:tcPr>
          <w:p>
            <w:pPr>
              <w:jc w:val="center"/>
              <w:ind w:right="2120"/>
              <w:spacing w:after="0"/>
              <w:rPr>
                <w:sz w:val="20"/>
                <w:szCs w:val="20"/>
                <w:color w:val="auto"/>
              </w:rPr>
            </w:pPr>
            <w:r>
              <w:rPr>
                <w:rFonts w:ascii="Arial" w:cs="Arial" w:eastAsia="Arial" w:hAnsi="Arial"/>
                <w:sz w:val="18"/>
                <w:szCs w:val="18"/>
                <w:b w:val="1"/>
                <w:bCs w:val="1"/>
                <w:color w:val="auto"/>
                <w:w w:val="98"/>
              </w:rPr>
              <w:t>FORM 10-Q FOR THE QUARTER ENDED MARCH 31, 2021</w:t>
            </w:r>
          </w:p>
        </w:tc>
        <w:tc>
          <w:tcPr>
            <w:tcW w:w="90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00" w:type="dxa"/>
            <w:vAlign w:val="bottom"/>
            <w:gridSpan w:val="8"/>
          </w:tcPr>
          <w:p>
            <w:pPr>
              <w:jc w:val="center"/>
              <w:ind w:right="214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162"/>
        </w:trPr>
        <w:tc>
          <w:tcPr>
            <w:tcW w:w="10340" w:type="dxa"/>
            <w:vAlign w:val="bottom"/>
            <w:gridSpan w:val="19"/>
            <w:shd w:val="clear" w:color="auto" w:fill="CCEEFF"/>
          </w:tcPr>
          <w:p>
            <w:pPr>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900" w:type="dxa"/>
            <w:vAlign w:val="bottom"/>
            <w:shd w:val="clear" w:color="auto" w:fill="CCEEFF"/>
          </w:tcPr>
          <w:p>
            <w:pPr>
              <w:spacing w:after="0"/>
              <w:rPr>
                <w:sz w:val="14"/>
                <w:szCs w:val="14"/>
                <w:color w:val="auto"/>
              </w:rPr>
            </w:pPr>
          </w:p>
        </w:tc>
      </w:tr>
      <w:tr>
        <w:trPr>
          <w:trHeight w:val="34"/>
        </w:trPr>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75"/>
        </w:trPr>
        <w:tc>
          <w:tcPr>
            <w:tcW w:w="160" w:type="dxa"/>
            <w:vAlign w:val="bottom"/>
          </w:tcPr>
          <w:p>
            <w:pPr>
              <w:spacing w:after="0"/>
              <w:rPr>
                <w:sz w:val="15"/>
                <w:szCs w:val="15"/>
                <w:color w:val="auto"/>
              </w:rPr>
            </w:pPr>
          </w:p>
        </w:tc>
        <w:tc>
          <w:tcPr>
            <w:tcW w:w="10180" w:type="dxa"/>
            <w:vAlign w:val="bottom"/>
            <w:gridSpan w:val="18"/>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90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(unaudited) and December 31, 2020</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Operations for the three months ended March 31, 2021 (unaudited)</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 of Changes in Stockholders’ Equity for the three months ended March 31, 2021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176"/>
        </w:trPr>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20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three months ended March 31, 2021 (unaudited)</w:t>
              </w:r>
            </w:hyperlink>
          </w:p>
        </w:tc>
        <w:tc>
          <w:tcPr>
            <w:tcW w:w="8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7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522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175"/>
        </w:trPr>
        <w:tc>
          <w:tcPr>
            <w:tcW w:w="160" w:type="dxa"/>
            <w:vAlign w:val="bottom"/>
          </w:tcPr>
          <w:p>
            <w:pPr>
              <w:spacing w:after="0"/>
              <w:rPr>
                <w:sz w:val="15"/>
                <w:szCs w:val="15"/>
                <w:color w:val="auto"/>
              </w:rPr>
            </w:pPr>
          </w:p>
        </w:tc>
        <w:tc>
          <w:tcPr>
            <w:tcW w:w="10180" w:type="dxa"/>
            <w:vAlign w:val="bottom"/>
            <w:gridSpan w:val="18"/>
          </w:tcPr>
          <w:p>
            <w:pPr>
              <w:ind w:left="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 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176"/>
        </w:trPr>
        <w:tc>
          <w:tcPr>
            <w:tcW w:w="160" w:type="dxa"/>
            <w:vAlign w:val="bottom"/>
            <w:tcBorders>
              <w:top w:val="single" w:sz="8" w:color="CCEEFF"/>
            </w:tcBorders>
          </w:tcPr>
          <w:p>
            <w:pPr>
              <w:spacing w:after="0"/>
              <w:rPr>
                <w:sz w:val="15"/>
                <w:szCs w:val="15"/>
                <w:color w:val="auto"/>
              </w:rPr>
            </w:pPr>
          </w:p>
        </w:tc>
        <w:tc>
          <w:tcPr>
            <w:tcW w:w="4920" w:type="dxa"/>
            <w:vAlign w:val="bottom"/>
            <w:tcBorders>
              <w:top w:val="single" w:sz="8" w:color="0000EE"/>
            </w:tcBorders>
            <w:gridSpan w:val="11"/>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 Controls and Procedures</w:t>
              </w:r>
            </w:hyperlink>
          </w:p>
        </w:tc>
        <w:tc>
          <w:tcPr>
            <w:tcW w:w="526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Part II. Other Information</w:t>
              </w:r>
            </w:hyperlink>
          </w:p>
        </w:tc>
        <w:tc>
          <w:tcPr>
            <w:tcW w:w="90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180" w:type="dxa"/>
            <w:vAlign w:val="bottom"/>
            <w:gridSpan w:val="18"/>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 Legal Proceedings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0000EE"/>
            </w:tcBorders>
            <w:gridSpan w:val="4"/>
            <w:shd w:val="clear" w:color="auto" w:fill="CCEEFF"/>
          </w:tcPr>
          <w:p>
            <w:pPr>
              <w:ind w:left="20"/>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1A. Risk Factors</w:t>
              </w:r>
            </w:hyperlink>
          </w:p>
        </w:tc>
        <w:tc>
          <w:tcPr>
            <w:tcW w:w="8580" w:type="dxa"/>
            <w:vAlign w:val="bottom"/>
            <w:tcBorders>
              <w:bottom w:val="single" w:sz="8" w:color="CCEEFF"/>
            </w:tcBorders>
            <w:gridSpan w:val="1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5"/>
        </w:trPr>
        <w:tc>
          <w:tcPr>
            <w:tcW w:w="160" w:type="dxa"/>
            <w:vAlign w:val="bottom"/>
          </w:tcPr>
          <w:p>
            <w:pPr>
              <w:spacing w:after="0"/>
              <w:rPr>
                <w:sz w:val="15"/>
                <w:szCs w:val="15"/>
                <w:color w:val="auto"/>
              </w:rPr>
            </w:pPr>
          </w:p>
        </w:tc>
        <w:tc>
          <w:tcPr>
            <w:tcW w:w="10180" w:type="dxa"/>
            <w:vAlign w:val="bottom"/>
            <w:gridSpan w:val="18"/>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 Unregistered Sales of Equity Securities and Use of Proceeds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 Defaults Upon Senior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160" w:type="dxa"/>
            <w:vAlign w:val="bottom"/>
            <w:tcBorders>
              <w:top w:val="single" w:sz="8" w:color="CCEEFF"/>
            </w:tcBorders>
          </w:tcPr>
          <w:p>
            <w:pPr>
              <w:spacing w:after="0"/>
              <w:rPr>
                <w:sz w:val="15"/>
                <w:szCs w:val="15"/>
                <w:color w:val="auto"/>
              </w:rPr>
            </w:pPr>
          </w:p>
        </w:tc>
        <w:tc>
          <w:tcPr>
            <w:tcW w:w="2880" w:type="dxa"/>
            <w:vAlign w:val="bottom"/>
            <w:tcBorders>
              <w:top w:val="single" w:sz="8" w:color="0000EE"/>
            </w:tcBorders>
            <w:gridSpan w:val="10"/>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 Mine Safety Disclosures</w:t>
              </w:r>
            </w:hyperlink>
          </w:p>
        </w:tc>
        <w:tc>
          <w:tcPr>
            <w:tcW w:w="730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5. Other Information</w:t>
              </w:r>
            </w:hyperlink>
          </w:p>
        </w:tc>
        <w:tc>
          <w:tcPr>
            <w:tcW w:w="830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160" w:type="dxa"/>
            <w:vAlign w:val="bottom"/>
          </w:tcPr>
          <w:p>
            <w:pPr>
              <w:spacing w:after="0"/>
              <w:rPr>
                <w:sz w:val="15"/>
                <w:szCs w:val="15"/>
                <w:color w:val="auto"/>
              </w:rPr>
            </w:pPr>
          </w:p>
        </w:tc>
        <w:tc>
          <w:tcPr>
            <w:tcW w:w="10180" w:type="dxa"/>
            <w:vAlign w:val="bottom"/>
            <w:gridSpan w:val="18"/>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 Exhibits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780" w:type="dxa"/>
            <w:vAlign w:val="bottom"/>
          </w:tcPr>
          <w:p>
            <w:pPr>
              <w:jc w:val="center"/>
              <w:ind w:left="23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78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STABLE ROAD ACQUISITION CORP.</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80" w:type="dxa"/>
            <w:vAlign w:val="bottom"/>
          </w:tcPr>
          <w:p>
            <w:pPr>
              <w:jc w:val="center"/>
              <w:ind w:left="23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214,811</w:t>
            </w:r>
          </w:p>
        </w:tc>
        <w:tc>
          <w:tcPr>
            <w:tcW w:w="0" w:type="dxa"/>
            <w:vAlign w:val="bottom"/>
          </w:tcPr>
          <w:p>
            <w:pPr>
              <w:spacing w:after="0"/>
              <w:rPr>
                <w:sz w:val="1"/>
                <w:szCs w:val="1"/>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164,608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81,850</w:t>
            </w:r>
          </w:p>
        </w:tc>
        <w:tc>
          <w:tcPr>
            <w:tcW w:w="0" w:type="dxa"/>
            <w:vAlign w:val="bottom"/>
          </w:tcPr>
          <w:p>
            <w:pPr>
              <w:spacing w:after="0"/>
              <w:rPr>
                <w:sz w:val="1"/>
                <w:szCs w:val="1"/>
                <w:color w:val="auto"/>
              </w:rPr>
            </w:pPr>
          </w:p>
        </w:tc>
      </w:tr>
      <w:tr>
        <w:trPr>
          <w:trHeight w:val="236"/>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328,538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328,538</w:t>
            </w:r>
          </w:p>
        </w:tc>
        <w:tc>
          <w:tcPr>
            <w:tcW w:w="0" w:type="dxa"/>
            <w:vAlign w:val="bottom"/>
          </w:tcPr>
          <w:p>
            <w:pPr>
              <w:spacing w:after="0"/>
              <w:rPr>
                <w:sz w:val="1"/>
                <w:szCs w:val="1"/>
                <w:color w:val="auto"/>
              </w:rPr>
            </w:pPr>
          </w:p>
        </w:tc>
      </w:tr>
      <w:tr>
        <w:trPr>
          <w:trHeight w:val="203"/>
        </w:trPr>
        <w:tc>
          <w:tcPr>
            <w:tcW w:w="87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701,696</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625,199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173,022,306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173,107,749</w:t>
            </w:r>
          </w:p>
        </w:tc>
        <w:tc>
          <w:tcPr>
            <w:tcW w:w="0" w:type="dxa"/>
            <w:vAlign w:val="bottom"/>
          </w:tcPr>
          <w:p>
            <w:pPr>
              <w:spacing w:after="0"/>
              <w:rPr>
                <w:sz w:val="1"/>
                <w:szCs w:val="1"/>
                <w:color w:val="auto"/>
              </w:rPr>
            </w:pPr>
          </w:p>
        </w:tc>
      </w:tr>
      <w:tr>
        <w:trPr>
          <w:trHeight w:val="248"/>
        </w:trPr>
        <w:tc>
          <w:tcPr>
            <w:tcW w:w="8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173,724,002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173,732,948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4,830,227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2,485,896</w:t>
            </w:r>
          </w:p>
        </w:tc>
        <w:tc>
          <w:tcPr>
            <w:tcW w:w="0" w:type="dxa"/>
            <w:vAlign w:val="bottom"/>
          </w:tcPr>
          <w:p>
            <w:pPr>
              <w:spacing w:after="0"/>
              <w:rPr>
                <w:sz w:val="1"/>
                <w:szCs w:val="1"/>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8"/>
                <w:szCs w:val="18"/>
                <w:color w:val="auto"/>
              </w:rPr>
              <w:t>Promissory note – third party</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Promissory note – related party</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5,430,227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340,139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6,900,000</w:t>
            </w:r>
          </w:p>
        </w:tc>
        <w:tc>
          <w:tcPr>
            <w:tcW w:w="0" w:type="dxa"/>
            <w:vAlign w:val="bottom"/>
          </w:tcPr>
          <w:p>
            <w:pPr>
              <w:spacing w:after="0"/>
              <w:rPr>
                <w:sz w:val="1"/>
                <w:szCs w:val="1"/>
                <w:color w:val="auto"/>
              </w:rPr>
            </w:pPr>
          </w:p>
        </w:tc>
      </w:tr>
      <w:tr>
        <w:trPr>
          <w:trHeight w:val="23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39,358,125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48,077,888</w:t>
            </w:r>
          </w:p>
        </w:tc>
        <w:tc>
          <w:tcPr>
            <w:tcW w:w="0" w:type="dxa"/>
            <w:vAlign w:val="bottom"/>
          </w:tcPr>
          <w:p>
            <w:pPr>
              <w:spacing w:after="0"/>
              <w:rPr>
                <w:sz w:val="1"/>
                <w:szCs w:val="1"/>
                <w:color w:val="auto"/>
              </w:rPr>
            </w:pPr>
          </w:p>
        </w:tc>
      </w:tr>
      <w:tr>
        <w:trPr>
          <w:trHeight w:val="210"/>
        </w:trPr>
        <w:tc>
          <w:tcPr>
            <w:tcW w:w="87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51,688,352</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57,468,784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w w:val="99"/>
              </w:rPr>
              <w:t>Class A common stock subject to possible redemption, 11,703,564 and 11,126,916 shares at $10.00 per share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redemption value at March 31, 2020 and December 31, 2019, respectively</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117,035,640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111,269,160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w w:val="97"/>
              </w:rPr>
              <w:t>Class A common stock, $0.0001 par value; 100,000,000 shares authorized; 6,091,436 and 6,668,084 issued and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8"/>
                <w:szCs w:val="18"/>
                <w:color w:val="auto"/>
                <w:w w:val="94"/>
              </w:rPr>
              <w:t>outstanding (excluding 11,703,564 and 11,126,916 shares subject to possible redemption) at March 31, 2020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December 31, 2019, respectively</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2"/>
        </w:trPr>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B common stock, $0.0001 par value; 10,000,000 shares authorized; 4,312,500 shares issued and outstanding at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2020 and December 31, 2019</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39,650,523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45,416,946</w:t>
            </w:r>
          </w:p>
        </w:tc>
        <w:tc>
          <w:tcPr>
            <w:tcW w:w="0" w:type="dxa"/>
            <w:vAlign w:val="bottom"/>
          </w:tcPr>
          <w:p>
            <w:pPr>
              <w:spacing w:after="0"/>
              <w:rPr>
                <w:sz w:val="1"/>
                <w:szCs w:val="1"/>
                <w:color w:val="auto"/>
              </w:rPr>
            </w:pPr>
          </w:p>
        </w:tc>
      </w:tr>
      <w:tr>
        <w:trPr>
          <w:trHeight w:val="23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(34,651,553)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(40,418,039)</w:t>
            </w:r>
          </w:p>
        </w:tc>
        <w:tc>
          <w:tcPr>
            <w:tcW w:w="0" w:type="dxa"/>
            <w:vAlign w:val="bottom"/>
          </w:tcPr>
          <w:p>
            <w:pPr>
              <w:spacing w:after="0"/>
              <w:rPr>
                <w:sz w:val="1"/>
                <w:szCs w:val="1"/>
                <w:color w:val="auto"/>
              </w:rPr>
            </w:pPr>
          </w:p>
        </w:tc>
      </w:tr>
      <w:tr>
        <w:trPr>
          <w:trHeight w:val="210"/>
        </w:trPr>
        <w:tc>
          <w:tcPr>
            <w:tcW w:w="87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5,000,010</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173,724,002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173,732,948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For the three</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For the three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7"/>
              </w:rPr>
              <w:t>months ended</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months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2,972,323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236,879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(2,972,323)</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(236,879)</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8,719,763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19,046</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669,789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5,766,486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1,382,610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(173,439)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5,766,486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1,209,171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17,250,000</w:t>
            </w:r>
          </w:p>
        </w:tc>
        <w:tc>
          <w:tcPr>
            <w:tcW w:w="1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17,250,000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income per share, Class 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4,857,500</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4,857,500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net loss per share, Class A and Class 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8,425,836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4,857,500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Diluted net loss per share, Class A and Class B</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(0.35</w:t>
            </w:r>
          </w:p>
        </w:tc>
        <w:tc>
          <w:tcPr>
            <w:tcW w:w="22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2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Class A</w:t>
            </w:r>
          </w:p>
        </w:tc>
        <w:tc>
          <w:tcPr>
            <w:tcW w:w="20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Class B</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41"/>
        </w:trPr>
        <w:tc>
          <w:tcPr>
            <w:tcW w:w="3320" w:type="dxa"/>
            <w:vAlign w:val="bottom"/>
          </w:tcPr>
          <w:p>
            <w:pPr>
              <w:spacing w:after="0"/>
              <w:rPr>
                <w:sz w:val="20"/>
                <w:szCs w:val="20"/>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20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6"/>
        </w:trPr>
        <w:tc>
          <w:tcPr>
            <w:tcW w:w="332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6,668,084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7"/>
              </w:rPr>
              <w:t>4,312,500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$45,416,946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(40,418,039)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value of common stock</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subject to possible redemption</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(576,648)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(5,766,423)</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(5,766,480)</w:t>
            </w:r>
          </w:p>
        </w:tc>
      </w:tr>
      <w:tr>
        <w:trPr>
          <w:trHeight w:val="216"/>
        </w:trPr>
        <w:tc>
          <w:tcPr>
            <w:tcW w:w="3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5,766,486</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5,766,486</w:t>
            </w:r>
          </w:p>
        </w:tc>
      </w:tr>
      <w:tr>
        <w:trPr>
          <w:trHeight w:val="216"/>
        </w:trPr>
        <w:tc>
          <w:tcPr>
            <w:tcW w:w="33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6,091,436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4,312,500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431</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39,650,523</w:t>
            </w:r>
          </w:p>
        </w:tc>
        <w:tc>
          <w:tcPr>
            <w:tcW w:w="1300" w:type="dxa"/>
            <w:vAlign w:val="bottom"/>
            <w:gridSpan w:val="3"/>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 (34,651,553</w:t>
            </w:r>
            <w:r>
              <w:rPr>
                <w:rFonts w:ascii="Arial" w:cs="Arial" w:eastAsia="Arial" w:hAnsi="Arial"/>
                <w:sz w:val="29"/>
                <w:szCs w:val="29"/>
                <w:b w:val="1"/>
                <w:bCs w:val="1"/>
                <w:color w:val="auto"/>
                <w:vertAlign w:val="superscript"/>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5,000,010</w:t>
            </w: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STABLE ROAD ACQUISITION CORP. CONDENSED STATEMENT OF CHANGES IN STOCKHOLDERS’ EQUITY FOR THE THREE MONTHS ENDED MARCH 31, 2020 (RESTATED)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2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Class A</w:t>
            </w:r>
          </w:p>
        </w:tc>
        <w:tc>
          <w:tcPr>
            <w:tcW w:w="21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Class B</w:t>
            </w:r>
          </w:p>
        </w:tc>
        <w:tc>
          <w:tcPr>
            <w:tcW w:w="10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41"/>
        </w:trPr>
        <w:tc>
          <w:tcPr>
            <w:tcW w:w="3340" w:type="dxa"/>
            <w:vAlign w:val="bottom"/>
          </w:tcPr>
          <w:p>
            <w:pPr>
              <w:spacing w:after="0"/>
              <w:rPr>
                <w:sz w:val="20"/>
                <w:szCs w:val="20"/>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21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Paid-in</w:t>
            </w:r>
          </w:p>
        </w:tc>
        <w:tc>
          <w:tcPr>
            <w:tcW w:w="13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9"/>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23"/>
        </w:trPr>
        <w:tc>
          <w:tcPr>
            <w:tcW w:w="334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10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2,369,468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4,999,340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value of common stock</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subject to possible redemption</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(120,917)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(1,209,159)</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(1,209,170)</w:t>
            </w:r>
          </w:p>
        </w:tc>
      </w:tr>
      <w:tr>
        <w:trPr>
          <w:trHeight w:val="216"/>
        </w:trPr>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1,209,171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1,209,171</w:t>
            </w:r>
          </w:p>
        </w:tc>
      </w:tr>
      <w:tr>
        <w:trPr>
          <w:trHeight w:val="216"/>
        </w:trPr>
        <w:tc>
          <w:tcPr>
            <w:tcW w:w="33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2,248,551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4,312,500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4,999,352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For the three</w:t>
            </w: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0"/>
              </w:rPr>
              <w:t>For the three</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7"/>
              </w:rPr>
              <w:t>months ended</w:t>
            </w: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7"/>
              </w:rPr>
              <w:t>months 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5,766,486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1,209,171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(19,046)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(669,789)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(8,719,763)</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(949,700)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(82,758)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37,721</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2,344,331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(28,609)</w:t>
            </w:r>
          </w:p>
        </w:tc>
      </w:tr>
      <w:tr>
        <w:trPr>
          <w:trHeight w:val="237"/>
        </w:trPr>
        <w:tc>
          <w:tcPr>
            <w:tcW w:w="868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173,439</w:t>
            </w:r>
          </w:p>
        </w:tc>
      </w:tr>
      <w:tr>
        <w:trPr>
          <w:trHeight w:val="223"/>
        </w:trPr>
        <w:tc>
          <w:tcPr>
            <w:tcW w:w="86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(710,750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withdrawn from Trust Account for taxes</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promissory note –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Proceeds from promissory note – related party</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17"/>
          <w:szCs w:val="17"/>
          <w:color w:val="auto"/>
        </w:rPr>
        <w:t>104,489</w:t>
      </w:r>
      <w:r>
        <w:rPr>
          <w:sz w:val="20"/>
          <w:szCs w:val="20"/>
          <w:color w:val="auto"/>
        </w:rPr>
        <w:tab/>
      </w:r>
      <w:r>
        <w:rPr>
          <w:rFonts w:ascii="Arial" w:cs="Arial" w:eastAsia="Arial" w:hAnsi="Arial"/>
          <w:sz w:val="17"/>
          <w:szCs w:val="17"/>
          <w:color w:val="auto"/>
        </w:rPr>
        <w:t>119,502</w:t>
      </w:r>
    </w:p>
    <w:p>
      <w:pPr>
        <w:spacing w:after="0" w:line="44"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17"/>
          <w:szCs w:val="17"/>
          <w:b w:val="1"/>
          <w:bCs w:val="1"/>
          <w:color w:val="auto"/>
        </w:rPr>
        <w:t>104,489</w:t>
      </w:r>
      <w:r>
        <w:rPr>
          <w:sz w:val="20"/>
          <w:szCs w:val="20"/>
          <w:color w:val="auto"/>
        </w:rPr>
        <w:tab/>
      </w:r>
      <w:r>
        <w:rPr>
          <w:rFonts w:ascii="Arial" w:cs="Arial" w:eastAsia="Arial" w:hAnsi="Arial"/>
          <w:sz w:val="17"/>
          <w:szCs w:val="17"/>
          <w:color w:val="auto"/>
        </w:rPr>
        <w:t>119,502</w:t>
      </w:r>
    </w:p>
    <w:p>
      <w:pPr>
        <w:spacing w:after="0" w:line="200" w:lineRule="exact"/>
        <w:rPr>
          <w:sz w:val="20"/>
          <w:szCs w:val="20"/>
          <w:color w:val="auto"/>
        </w:rPr>
      </w:pPr>
    </w:p>
    <w:p>
      <w:pPr>
        <w:spacing w:after="0" w:line="280"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b w:val="1"/>
          <w:bCs w:val="1"/>
          <w:color w:val="auto"/>
        </w:rPr>
        <w:t>300,000</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b w:val="1"/>
          <w:bCs w:val="1"/>
          <w:color w:val="auto"/>
        </w:rPr>
        <w:t>300,000</w:t>
      </w:r>
      <w:r>
        <w:rPr>
          <w:sz w:val="20"/>
          <w:szCs w:val="20"/>
          <w:color w:val="auto"/>
        </w:rPr>
        <w:tab/>
      </w:r>
      <w:r>
        <w:rPr>
          <w:rFonts w:ascii="Arial" w:cs="Arial" w:eastAsia="Arial" w:hAnsi="Arial"/>
          <w:sz w:val="18"/>
          <w:szCs w:val="18"/>
          <w:color w:val="auto"/>
        </w:rPr>
        <w:t>—</w:t>
      </w:r>
    </w:p>
    <w:p>
      <w:pPr>
        <w:spacing w:after="0" w:line="31"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b w:val="1"/>
          <w:bCs w:val="1"/>
          <w:color w:val="auto"/>
        </w:rPr>
        <w:t>600,000</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tabs>
          <w:tab w:leader="none" w:pos="1780" w:val="left"/>
        </w:tabs>
        <w:rPr>
          <w:sz w:val="20"/>
          <w:szCs w:val="20"/>
          <w:color w:val="auto"/>
        </w:rPr>
      </w:pPr>
      <w:r>
        <w:rPr>
          <w:rFonts w:ascii="Arial" w:cs="Arial" w:eastAsia="Arial" w:hAnsi="Arial"/>
          <w:sz w:val="18"/>
          <w:szCs w:val="18"/>
          <w:b w:val="1"/>
          <w:bCs w:val="1"/>
          <w:color w:val="auto"/>
        </w:rPr>
        <w:t>(6,261)</w:t>
      </w:r>
      <w:r>
        <w:rPr>
          <w:sz w:val="20"/>
          <w:szCs w:val="20"/>
          <w:color w:val="auto"/>
        </w:rPr>
        <w:tab/>
      </w:r>
      <w:r>
        <w:rPr>
          <w:rFonts w:ascii="Arial" w:cs="Arial" w:eastAsia="Arial" w:hAnsi="Arial"/>
          <w:sz w:val="18"/>
          <w:szCs w:val="18"/>
          <w:color w:val="auto"/>
        </w:rPr>
        <w:t>(108,265)</w:t>
      </w:r>
    </w:p>
    <w:p>
      <w:pPr>
        <w:spacing w:after="0" w:line="27" w:lineRule="exact"/>
        <w:rPr>
          <w:sz w:val="20"/>
          <w:szCs w:val="20"/>
          <w:color w:val="auto"/>
        </w:rPr>
      </w:pPr>
    </w:p>
    <w:p>
      <w:pPr>
        <w:ind w:left="560"/>
        <w:spacing w:after="0"/>
        <w:tabs>
          <w:tab w:leader="none" w:pos="1720" w:val="left"/>
        </w:tabs>
        <w:rPr>
          <w:sz w:val="20"/>
          <w:szCs w:val="20"/>
          <w:color w:val="auto"/>
        </w:rPr>
      </w:pPr>
      <w:r>
        <w:rPr>
          <w:rFonts w:ascii="Arial" w:cs="Arial" w:eastAsia="Arial" w:hAnsi="Arial"/>
          <w:sz w:val="17"/>
          <w:szCs w:val="17"/>
          <w:color w:val="auto"/>
        </w:rPr>
        <w:t>214,811</w:t>
      </w:r>
      <w:r>
        <w:rPr>
          <w:sz w:val="20"/>
          <w:szCs w:val="20"/>
          <w:color w:val="auto"/>
        </w:rPr>
        <w:tab/>
      </w:r>
      <w:r>
        <w:rPr>
          <w:rFonts w:ascii="Arial" w:cs="Arial" w:eastAsia="Arial" w:hAnsi="Arial"/>
          <w:sz w:val="17"/>
          <w:szCs w:val="17"/>
          <w:color w:val="auto"/>
        </w:rPr>
        <w:t>1,093,184</w:t>
      </w:r>
    </w:p>
    <w:p>
      <w:pPr>
        <w:spacing w:after="0" w:line="70" w:lineRule="exact"/>
        <w:rPr>
          <w:sz w:val="20"/>
          <w:szCs w:val="20"/>
          <w:color w:val="auto"/>
        </w:rPr>
      </w:pPr>
    </w:p>
    <w:p>
      <w:pPr>
        <w:spacing w:after="0"/>
        <w:tabs>
          <w:tab w:leader="none" w:pos="520" w:val="left"/>
          <w:tab w:leader="none" w:pos="1320" w:val="left"/>
          <w:tab w:leader="none" w:pos="18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208,550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984,919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1"/>
        </w:trPr>
        <w:tc>
          <w:tcPr>
            <w:tcW w:w="670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5,766,480</w:t>
            </w:r>
          </w:p>
        </w:tc>
        <w:tc>
          <w:tcPr>
            <w:tcW w:w="340" w:type="dxa"/>
            <w:vAlign w:val="bottom"/>
          </w:tcPr>
          <w:p>
            <w:pPr>
              <w:jc w:val="right"/>
              <w:ind w:right="5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rPr>
              <w:t>1,209,170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Stable Road Acquisition Corp. (the “Company” or “SRAC”) was incorporated in Delaware on May 28, 2019.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two subsidiaries, Project Marvel First Merger Sub, Inc., a wholly-owned subsidiary of the Company incorporated in Delaware on September 29, 2020 (“First Merger Sub”) and Project Marvel Second Merger Sub, LLC, a wholly-owned subsidiary of the Company incorporated in Delaware on September 29, 2020 (“Second Merger Sub”). First Merger Sub and Second Merger Sub were formed in connection with the proposed business combination with Momentus Inc., a Delaware corporation (“Momentus”), as more fully discussed below.</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through December 31, 2020 relates to the Company’s formation, the initial public offering (“Initial Public Offering”), which is described below, identifying a target company for a Business Combination, and the proposed business combination with Momentus, as more fully discussed below.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7, 2019. On November 13, 2019, the Company consummated the Initial Public Offering of 17,250,000 units (the “Units” and, with respect to the shares of common stock included in the Units sold, the “Public Shares”), which includes the full exercise by the underwriter of the over-allotment option to purchase an additional 2,250,000 Units, at $10.00 per Unit, generating gross proceeds of $172,500,000, which is described in Note 3.</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545,000 units (the “Placement Units”) at a price of $10.00 per Placement Unit in a private placement to SRC-NI Holdings, LLC, a Delaware limited liability company (the “Sponsor”), and Cantor Fitzgerald&amp; Co. (“Cantor”), the underwriter of the Initial Public Offering, generating gross proceeds of $5,450,000, which is described in Note 4.</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amounted to $10,924,857, consisting of $3,450,000 of underwriting fees, $6,900,000 of deferred underwriting fees and $574,857 of other offering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closing of the Initial Public Offering on November 13, 2019, an amount of $172,500,000 ($10.00 per Unit) from the net proceeds of the sale of the Units in the Initial Public Offering and the sale of the Placement Units was placed in a trust account (“Trust Account”) and invested only in U.S. government securities, within the meaning set forth in Section 2(a)(16) of the Investment Company Act, with a maturity of 180 days or less or in any open-ended investment company that holds itself out as a money market fund selected by the Company meeting the conditions of Rule 2a-7 of the Investment Company Act of 1940, as amended (the “Investment Company Act”), as determined by the Company, until the earlier of: (i) the completion of a Business Combination and (ii) the distribution of the Trust Account, as described below.</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the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(excluding the deferred underwriting commissions and taxes payable on interest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provide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tax obligations, less up to $100,000 of interest to pay dissolution expenses). The per-share amount to be distributed to Public Stockholders who redeem their Public Shares will not be reduced by the deferred underwriting commissions the Company will pay to the underwriter (as discussed in Note 6). There will be no redemption rights upon the completion of a Business Combination with respect to the Company’s warrants.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has agreed to vote its Founder Shares (as defined in Note 5), Placement Shares (as defined in Note 4)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Sponsor has agreed (a) to waive its redemption rights with respect to its Founder Shares, Placement Shares and Public Shares held by it in connection with the completion of a Business Combination and (b) not to propose an amendment to the Amended and Restated Certificate of Incorporation (i) that would affect the substance or timing of the Company’s obligation to redeem 100% of its Public Shares if the Company does not complete a Business Combination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have until August 13, 2021 to complete a Business Combination (the “Combination Period”), including the proposed business combination with Momentus. However, if the Company is unable to complete a Business Combination within the Combination Period, it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and (along with Cantor) Placement Shares if the Company fails to complete a Business Combination within the Combination Period. However, if the Sponsor acquires Public Shares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This liability will not apply with respect to any claims by a third party or prospective target business who executed a waiver of any and all rights to the monies held in the Trust Account (whether or not such waiver is enforceable) or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 The Company’s independent registered public accounting firm and the underwriter of the Initial Public Offering will not execute agreements with the Company waiving such claims to the monies held in the Trust Account.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with Momentus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2020, SRAC entered into an Agreement and Plan of Merger (the “Merger Agreement”), by and among SRAC, Project Marvel First Merger Sub, Inc., a Delaware corporation and wholly-owned subsidiary of SRAC (“First Merger Sub”), and Project Marvel Second Merger Sub, LLC, a Delaware limited liability company and wholly-owned subsidiary of SRAC (“Second Merger Sub”), and Momentus Inc., a Delaware corporation (“Momentus”), pursuant to which, among other things: (a) First Merger Sub will merge with and into Momentus (“First Merger”), with Momentus being the surviving corporation of the First Merger and (b) immediately following the First Merger and as part of the same overall transaction as the First Merger, Momentus will merge with and into Second Merger Sub (the “Second Merger” and, together with the First Merger, the “Mergers”), with Second Merger Sub being the surviving company of the Second Merger. The Merger Agreement, the Mergers and the other transactions contemplated by the Merger Agreement are referred to herein as the “Proposed Transaction.”</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Merger Agreement, the aggregate merger consideration payable to the equityholders of Momentus will be paid in equity consideration equal to $1,131,000,000, minus Momentus’ indebtedness for borrowed money as of the closing of the Mergers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of SRAC, with a deemed value of $10 per share. In addition, SRAC will pay off, or cause to be paid off, on behalf of Momentus and in connection with the Closing, Momentus’ outstanding indebtedness for borrowed money.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Proposed Transaction, each share of Momentus’ capital stock (subject to limited exceptions) will be cancelled and automatically deemed for all purposes to represent the right to receive a portion of the Merger Consideration in accordance with Momentus’ organizational documents. In addition, the Merger Consideration that is paid with respect to any shares of Momentus’ capital stock that is subject to any vesting restrictions or other conditions shall continue to be subject to such vesting restrictions and conditions after the Closing.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of Momentus that is outstanding and unexercised immediately prior to the Closing (whether vested or unvested) will be automatically assumed by SRAC and converted into an option to acquire an adjusted number of shares of Class A common stock at an adjusted exercise price per share and will continue to be governed by substantially the same terms and conditions (including vesting and exercisability terms) as were applicable to the corresponding former option.</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warrant to purchase shares of capital stock of Momentus that is outstanding and unexercised immediately prior to the Closing will be automatically converted into a warrant to acquire an adjusted number of shares of Class A common stock at an adjusted exercise price per share and will continue to be governed by substantially the same terms and conditions (including applicable vesting conditions) as were applicable to the corresponding former warrant.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Consummation of the Proposed Transaction is subject to customary closing conditions for special purpose acquisition companies, including the following conditions to each party’s obligations, among others: (a) approval by SRAC’s stockholders and Momentus’ stockholders, (b) SRAC having at least $5,000,001 of net tangible assets as of the effective time of the consummation of the Mergers, and (c) the approval of the listing of the shares of Class A common stock to be issued in connection with the Closing on The Nasdaq Stock Market LLC and the effectiveness of a Registration Statement on Form S-4. The Merger Agreement may be terminated under certain customary and limited circumstances prior to the consummation of the Mergers.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7, 2020, the Company entered into Subscription Agreements with certain investors pursuant to which the investors have agreed to purchase an aggregate of 17,500,000 shares of Class A common stock in a private placement for $10.00 per share (the “Private Placement”). The proceeds from the Private Placement will be partially used to fund the Repurchase and for general working capital purposes following the closing. The closing of the transactions contemplated by the Subscription Agreements is contingent upon, among other customary closing conditions, the substantially concurrent consummation of the Proposed Transaction.</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Concurrently with the execution of the Merger Agreement, an investor of Momentus, the Company and Momentus entered into a repurchase agreement (the “Repurchase Agreement”) pursuant to which, amongst other things, the Company has agreed to repurchase a certain number of shares of Class A common stock from an investor of Momentus, at a purchase price of $10.00 per share, immediately following the Closing (the “Repurchase”). The Repurchase is contingent on the amount of available cash the Company has at the Closing from (a) the Private Placement (and any alternative financing arranged by the Company and Momentus in the event the Private Placement becomes unavailable) and (b) the funds in the Company’s trust account (after taking into account payments required to satisfy SRAC’s stockholder redemptions), after further deducting the amount of the Company’s transaction expenses and Momentus’ transaction expenses (“Net Proceeds”) being in excess of $265 million. If Net Proceeds exceed $265,000,000 but are less than $280,000,000, the number of shares of Class A common stock subject to the Repurchase will be equal to the amount by which Net Proceeds exceed $250 million, divided by $10.00. In the event Net Proceeds are in excess of $280,000,000, the number of shares of Class A common stock subject to the Repurchase will be equal to $30,000,000, divided by $10.00. At the closing of the Repurchase, the Company will be entitled to deduct from such cash payment an amount equal to 3.3% of such cash payment (representing PML’s obligation to pay Momentus a portion of its transaction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August 13, 2021 or the extension date, as applicable, to consummate a Business Combination. It is uncertain that the Company will be able to consummate a Business Combination by this time. If a Business Combination is not consummated by this date or the extension date, there will be a mandatory liquidation and subsequent dissolution of the Company. Management has determined that the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the prescribed date. Management plans to continue its efforts in consummating a business combination by the prescribed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10-K/A for the year ended December 31, 2020 as filed with the SEC on June 10, 2021, which contains the consolidated financial statements and notes thereto. The financial information as of December 31, 2020 is derived from the consolidated financial statements presented in the Company’s Annual Report on Form 10-K/A for the year ended December 31, 2020. The interim results for the three months ended March 31, 2021 are not necessarily indicative of the results to be expected for the year ending December 31, 2021 or for any future interim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events.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held by Public Stockholders features certain redemption rights that are considered to be outside of the Company’s control and subject to occurrence of uncertain future events. Accordingly, at March 31, 2021 and December 31, 2020, there were 11,703,564 and 11,126,916 shares of Class A common stock subject to possible redemption, respectively, presented as temporary equity, outside of the stockholders’ equity section of the Company’s condensed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Offering costs consist of legal, accounting, underwriting fees and other costs incurred through the closing date of the Initial Public Offering that are directly related to the Initial Public Offering. Offering costs amounted to $10,924,857, of which $10,067,168 was charged to stockholders’ equity and $857,689 related to the warrants was expensed through the statement of operations, upon the completion of the Initial Public Offering in 2019.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paid-in-capital at the time of issuance. For issued or modified warrants that do not meet all the criteria for equity classification, the warrants are required to be recorded at their initial fair value on the date of issuance, and each balance sheet date thereafter. The Company accounts for the warrants issued in connection with its Initial Public Offering in accordance with the guidance contained in ASC 815-40-15-7D,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 of operations. The fair value of the public warrants initially was estimated using a Post-Acquisition Simulation, with subsequent measurements utilizing the public trading price. The fair value of the private warrants was initially and subsequently measured using the Black-Scholes Model (see Note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Topic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March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income (loss) per common share is computed by dividing net income (loss) by the weighted average number of shares of common stock outstanding for the period. The Company has considered the effect of warrants sold in the Initial Public Offering and as part of the Placement Units to purchase 8,897,500 shares of Class A common stock in the calculation of diluted income (loss) per share for non-redeemable Class A and B common stock, since the exercise of such warrants are contingent upon the occurrence of future events and the inclusion of such warrants would be anti-dilutive.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consolidated statements of operations include a presentation of income (loss) per share for common shares subject to possible redemption in a manner similar to the two-class method of income (loss) per share. Net income per share, basic and diluted, for Class A redeemable common stock is calculated by dividing the interest income earned on the Trust Account net of applicable franchise and income taxes, by the weighted average number of Class A redeemable common stock outstanding since original issuance. Net loss per share, basic and diluted, for Class A and B non-redeemable common stock is calculated by dividing the net loss, adjusted for the net income attributable to Class A redeemable common stock, by the weighted average number of Class A and B non-redeemable common stock outstanding for the period. Class A and B non-redeemable common stock includes the Founder Shares as these shares do not have any redemption features and do not participate in the income earned on the Trust Account.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reflects the calculation of basic and diluted net income per common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three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For the three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months ended</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i w:val="1"/>
                <w:iCs w:val="1"/>
                <w:color w:val="auto"/>
              </w:rPr>
              <w:t>Redeemable Class A Common Stock</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Numerator: Net Income allocable to Redeemable Class A 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80" w:type="dxa"/>
            <w:vAlign w:val="bottom"/>
            <w:vMerge w:val="restart"/>
          </w:tcPr>
          <w:p>
            <w:pPr>
              <w:ind w:left="360"/>
              <w:spacing w:after="0"/>
              <w:rPr>
                <w:sz w:val="20"/>
                <w:szCs w:val="20"/>
                <w:color w:val="auto"/>
              </w:rPr>
            </w:pPr>
            <w:r>
              <w:rPr>
                <w:rFonts w:ascii="Arial" w:cs="Arial" w:eastAsia="Arial" w:hAnsi="Arial"/>
                <w:sz w:val="18"/>
                <w:szCs w:val="18"/>
                <w:color w:val="auto"/>
              </w:rPr>
              <w:t>Income and Franchise Tax</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(223,439</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74"/>
        </w:trPr>
        <w:tc>
          <w:tcPr>
            <w:tcW w:w="8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tcPr>
          <w:p>
            <w:pPr>
              <w:jc w:val="right"/>
              <w:ind w:right="220"/>
              <w:spacing w:after="0" w:line="68" w:lineRule="exact"/>
              <w:rPr>
                <w:sz w:val="20"/>
                <w:szCs w:val="20"/>
                <w:color w:val="auto"/>
              </w:rPr>
            </w:pPr>
            <w:r>
              <w:rPr>
                <w:rFonts w:ascii="Arial" w:cs="Arial" w:eastAsia="Arial" w:hAnsi="Arial"/>
                <w:sz w:val="7"/>
                <w:szCs w:val="7"/>
                <w:color w:val="auto"/>
              </w:rPr>
              <w:t>(19,046</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Denominator: Weighted Average Redeemable Class A 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Class A Common Stock, Basic and Diluted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17,250,000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Income/Basic and Diluted Redeemable Class A Common Stock</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Non-Redeemable Class A and B 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Income minus Net Earnings - Basic</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5,766,386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1,209,171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Net Income - Basic</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(446,350)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540"/>
              <w:spacing w:after="0" w:line="203" w:lineRule="exact"/>
              <w:rPr>
                <w:sz w:val="20"/>
                <w:szCs w:val="20"/>
                <w:color w:val="auto"/>
              </w:rPr>
            </w:pPr>
            <w:r>
              <w:rPr>
                <w:rFonts w:ascii="Arial" w:cs="Arial" w:eastAsia="Arial" w:hAnsi="Arial"/>
                <w:sz w:val="18"/>
                <w:szCs w:val="18"/>
                <w:color w:val="auto"/>
              </w:rPr>
              <w:t>Non-Redeemable Net Loss</w:t>
            </w:r>
          </w:p>
        </w:tc>
        <w:tc>
          <w:tcPr>
            <w:tcW w:w="1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5,766,386</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762,821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Non-Redeemable Class A and B Common Stock, Basic</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4,857,500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Basic Non-Redeemable Class A and B Common Stock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Non-Redeemable Class A and B Common Stock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Numerator: Net Income minus Net Earnings - Diluted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Net Income - 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5,766,386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Less: Change in Fair Value of Derivative Liability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8,719,763</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Non-Redeemable Net Loss - Diluted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(2,953,277)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Class A and B Common Stock, Diluted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8,425,836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Net loss, Diluted Non-Redeemable Class A and B Common Stock</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868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 --debt with Conversion and Other Options (Subtopic 470-20) and Derivatives and Hedging --Contracts in Entity’ Own Equity (Subtopic 815-40): Accounting for Convertible Instruments and Contracts in an Entity’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Initial Public Offering, the Company sold 17,250,000 Units, which includes the full exercise by the underwriter of its option to purchase an additional 2,250,000 Units at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and Cantor purchased an aggregate of 545,000 Placement Units at a price of $10.00 per Placement Unit, for an aggregate purchase price of $5,450,000. Each Placement Unit consists of one share of Class A common stock (“Placement Share”) and one-half of one redeemable warrant (“Placement Warrant”). Each whole Placement Warrant is exercisable to purchase one share of Class A common stock at a price of $11.50 per share. The proceeds from the Placement Units were added to the proceeds from the Initial Public Offering held in the Trust Account. If the Company does not complete a Business Combination within the Combination Period, the proceeds from the sale of the Placement Units will be used to fund the redemption of the Public Shares (subject to the requirements of applicable law), and the Placement Units and all underlying securities will be worthless.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2019, the Sponsor purchased 4,312,500 shares (the “Founder Shares”) of the Company’s Class B common stock for an aggregate price of $25,000. The Founder Shares will automatically convert into shares of Class A common stock at the time of a Business Combination, or earlier at the option of the holders, on a one-for-one basis, subject to certain adjustments, as described in Note 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Founder Shares included up to 562,500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and excluding Placement Shares included in the Placement Units). As a result of the underwriter’s election to fully exercise its over-allotment option, the 562,500 Founder Shares are no longer subject to forfeiture.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subsequent to a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the Sponsor agreed to loan the Company an aggregate of up to $300,000 to cover expenses related to the Initial Public Offering pursuant to a promissory note (the “Promissory Note”). The Promissory Note was non-interest bearing and payable on the earlier of December 31, 2019 or the completion of the Initial Public Offering. Borrowings outstanding under the Promissory Note of $222,725 were repaid upon the consummation of the Initial Public Offering on November 13,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12, 2021, the Sponsor and an unrelated party each provided $300,000 in non-interest-bearing promissory notes for an aggregate balance of $600,000. As of March 31, 2021, the full balance of the notes remains unpaid.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Placement Units. There were no outstanding borrowings under the Working Capital Loans as of March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agreement whereby, commencing on November 8, 2019 through the earlier of the Company’s consummation of a Business Combination or its liquidation, the Company will pay an affiliate of the Sponsor a total of $10,000 per month for office space, utilities and administrative support. In January 2021, the Sponsor forgave the accrued administrative fees accrued at December 31, 2020 of $30,000 and agreed to not collect any fees for the first quarter of 2021. As such, no administrative fees were incurred in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a registration rights agreement entered into on November 7, 2019, 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are entitled to registration rights, requiring the Company to register such securities for resale (in the case of the Founder Shares, only after conversion to Class A common stock).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the foregoing, Cantor may not exercise its demand and “piggyback” registration rights after five (5) and seven (7) years after the effective date of the registration statement and may not exercise its demand rights on more than one occasion. The Company will bear the expenses incurred in connection with the filing of any such registration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paid a cash underwriting discount of $3,450,000, or $0.20 per Unit of the gross proceeds from the Units sold in the Initial Public Offering. In addition, the underwriter is entitled to a deferred fee of $0.40 per Unit of the gross proceeds from the Units sold in the Initial Public Offering, or $6,900,000 in the aggregate. The deferred fee will become payable to the underwriter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March 31, 2021 and December 31, 2020, there were no shares of preferred stock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At March 31, 2021 and December 31, 2020, there were 6,091,436 and 6,668,084 shares of Class A common stock issued or outstanding, excluding 11,703,564 and 11,126,916 shares of common stock subject to possible redemption,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 share.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B common stock are entitled to one vote for each share. At March 31, 2021 and December 31, 2020, there were 4,312,500 shares of Class B common stock issued and outstanding.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(not including the shares of Class A common stock underlying the Placement Units) plus all shares of Class A common stock and equity-linked securities issued or deemed issued in connection with a Business Combination (excluding any shares or equity-linked securities issued, or to be issued, to any seller in a Business Combination, any private placement-equivalent warrants issued, or to be issued, to any seller in a Business Combination, any private placement equivalent securities issued to the Sponsor or its affiliates upon conversion of loans made to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 LIABILITIES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warrants will be issued upon separation of the Units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whole warrants will trade. The Public Warrants will become exercisable on the later of (a) 30 days after the completion of a Business Combination or</w:t>
      </w:r>
    </w:p>
    <w:p>
      <w:pPr>
        <w:ind w:firstLine="8"/>
        <w:spacing w:after="0" w:line="260"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Notwithstanding the foregoing, if a registration statement covering the Class A common stock issuable upon exercise of the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800" w:hanging="333"/>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800" w:hanging="333"/>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 w:lineRule="exact"/>
        <w:rPr>
          <w:rFonts w:ascii="Arial" w:cs="Arial" w:eastAsia="Arial" w:hAnsi="Arial"/>
          <w:sz w:val="18"/>
          <w:szCs w:val="18"/>
          <w:color w:val="auto"/>
        </w:rPr>
      </w:pPr>
    </w:p>
    <w:p>
      <w:pPr>
        <w:ind w:left="800" w:hanging="333"/>
        <w:spacing w:after="0" w:line="323"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for any 20 trading days within a 30-trading day period ending three business days before the Company sends the notice of redemption to the warrant holders.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shares of Class A common stock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Placement Warrants are identical to the Public Warrants underlying the Units sold in the Initial Public Offering, except that the Placement Warrants and the Class A common stock issuable upon the exercise of the Placement Warrants will not be transferable, assignable or salable until 30 days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11" w:lineRule="exact"/>
        <w:rPr>
          <w:sz w:val="20"/>
          <w:szCs w:val="20"/>
          <w:color w:val="auto"/>
        </w:rPr>
      </w:pPr>
    </w:p>
    <w:p>
      <w:pPr>
        <w:ind w:left="1480" w:hanging="903"/>
        <w:spacing w:after="0" w:line="308" w:lineRule="auto"/>
        <w:tabs>
          <w:tab w:leader="none" w:pos="14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5" w:lineRule="exact"/>
        <w:rPr>
          <w:sz w:val="20"/>
          <w:szCs w:val="20"/>
          <w:color w:val="auto"/>
        </w:rPr>
      </w:pPr>
    </w:p>
    <w:p>
      <w:pPr>
        <w:ind w:left="1480" w:right="20" w:hanging="903"/>
        <w:spacing w:after="0" w:line="277" w:lineRule="auto"/>
        <w:tabs>
          <w:tab w:leader="none" w:pos="14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89"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consolidated balance sheets and adjusted for the amortization or accretion of premiums or discounts.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assets held in the Trust Account were comprised of $884 in cash and $173,021,422 in Treasury Preferred Fund that invests in U.S. Treasury securities. During the three months ended March 31, 2021, the Company withdrew $104,489 of interest income from the Trust Account to pay for franchise taxes.</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December 31, 2020, assets held in the Trust Account were comprised of $636 in cash and $173,107,113 in U.S. Treasury securities. During the three months ended March 31, 2020, the Company withdrew $119,502 of interest income from the Trust Account to pay for franchise taxes.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gross holding gains and fair value of held-to-maturity securities at March 31, 2021 and December 31, 2020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Held-To-Maturity</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2"/>
        </w:trPr>
        <w:tc>
          <w:tcPr>
            <w:tcW w:w="1980" w:type="dxa"/>
            <w:vAlign w:val="bottom"/>
            <w:tcBorders>
              <w:top w:val="single" w:sz="8" w:color="CCEEFF"/>
            </w:tcBorders>
            <w:shd w:val="clear" w:color="auto" w:fill="CCEEFF"/>
          </w:tcPr>
          <w:p>
            <w:pPr>
              <w:spacing w:after="0"/>
              <w:rPr>
                <w:sz w:val="17"/>
                <w:szCs w:val="17"/>
                <w:color w:val="auto"/>
              </w:rPr>
            </w:pPr>
          </w:p>
        </w:tc>
        <w:tc>
          <w:tcPr>
            <w:tcW w:w="5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Marketable securities held in Trust Account – U.S. Treasury Securities Money</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5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Market Fund</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$ 173,021,422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$ 173,021,422</w:t>
            </w:r>
          </w:p>
        </w:tc>
        <w:tc>
          <w:tcPr>
            <w:tcW w:w="0" w:type="dxa"/>
            <w:vAlign w:val="bottom"/>
          </w:tcPr>
          <w:p>
            <w:pPr>
              <w:spacing w:after="0"/>
              <w:rPr>
                <w:sz w:val="1"/>
                <w:szCs w:val="1"/>
                <w:color w:val="auto"/>
              </w:rPr>
            </w:pPr>
          </w:p>
        </w:tc>
      </w:tr>
      <w:tr>
        <w:trPr>
          <w:trHeight w:val="202"/>
        </w:trPr>
        <w:tc>
          <w:tcPr>
            <w:tcW w:w="1980" w:type="dxa"/>
            <w:vAlign w:val="bottom"/>
          </w:tcPr>
          <w:p>
            <w:pPr>
              <w:spacing w:after="0"/>
              <w:rPr>
                <w:sz w:val="17"/>
                <w:szCs w:val="17"/>
                <w:color w:val="auto"/>
              </w:rPr>
            </w:pPr>
          </w:p>
        </w:tc>
        <w:tc>
          <w:tcPr>
            <w:tcW w:w="5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U.S. Treasury Securities (Reinvested into Money Market Fund on March 2,</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1980" w:type="dxa"/>
            <w:vAlign w:val="bottom"/>
          </w:tcPr>
          <w:p>
            <w:pPr>
              <w:spacing w:after="0"/>
              <w:rPr>
                <w:sz w:val="20"/>
                <w:szCs w:val="20"/>
                <w:color w:val="auto"/>
              </w:rPr>
            </w:pPr>
            <w:r>
              <w:rPr>
                <w:rFonts w:ascii="Arial" w:cs="Arial" w:eastAsia="Arial" w:hAnsi="Arial"/>
                <w:sz w:val="18"/>
                <w:szCs w:val="18"/>
                <w:color w:val="auto"/>
              </w:rPr>
              <w:t>December 31, 2020</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2021)</w:t>
            </w:r>
          </w:p>
        </w:tc>
        <w:tc>
          <w:tcPr>
            <w:tcW w:w="10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$ 173,107,113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1,887</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8"/>
              </w:rPr>
              <w:t>$ 173,109,000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5700" w:type="dxa"/>
            <w:vAlign w:val="bottom"/>
            <w:vMerge w:val="restart"/>
          </w:tcPr>
          <w:p>
            <w:pPr>
              <w:jc w:val="right"/>
              <w:ind w:right="18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9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the Company’s liabilities that are measured at fair value on a recurring basis at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4"/>
          </w:tcPr>
          <w:p>
            <w:pPr>
              <w:ind w:left="280"/>
              <w:spacing w:after="0"/>
              <w:rPr>
                <w:sz w:val="20"/>
                <w:szCs w:val="20"/>
                <w:color w:val="auto"/>
              </w:rPr>
            </w:pPr>
            <w:r>
              <w:rPr>
                <w:rFonts w:ascii="Arial" w:cs="Arial" w:eastAsia="Arial" w:hAnsi="Arial"/>
                <w:sz w:val="18"/>
                <w:szCs w:val="18"/>
                <w:b w:val="1"/>
                <w:bCs w:val="1"/>
                <w:color w:val="auto"/>
              </w:rPr>
              <w:t>Quoted Prices in Active</w:t>
            </w:r>
          </w:p>
        </w:tc>
      </w:tr>
      <w:tr>
        <w:trPr>
          <w:trHeight w:val="241"/>
        </w:trPr>
        <w:tc>
          <w:tcPr>
            <w:tcW w:w="7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4"/>
          </w:tcPr>
          <w:p>
            <w:pPr>
              <w:ind w:left="860"/>
              <w:spacing w:after="0"/>
              <w:rPr>
                <w:sz w:val="20"/>
                <w:szCs w:val="20"/>
                <w:color w:val="auto"/>
              </w:rPr>
            </w:pPr>
            <w:r>
              <w:rPr>
                <w:rFonts w:ascii="Arial" w:cs="Arial" w:eastAsia="Arial" w:hAnsi="Arial"/>
                <w:sz w:val="18"/>
                <w:szCs w:val="18"/>
                <w:b w:val="1"/>
                <w:bCs w:val="1"/>
                <w:color w:val="auto"/>
              </w:rPr>
              <w:t>Markets</w:t>
            </w:r>
          </w:p>
        </w:tc>
      </w:tr>
      <w:tr>
        <w:trPr>
          <w:trHeight w:val="198"/>
        </w:trPr>
        <w:tc>
          <w:tcPr>
            <w:tcW w:w="7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Level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173,021,422</w:t>
            </w:r>
          </w:p>
        </w:tc>
      </w:tr>
      <w:tr>
        <w:trPr>
          <w:trHeight w:val="441"/>
        </w:trPr>
        <w:tc>
          <w:tcPr>
            <w:tcW w:w="7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7320" w:type="dxa"/>
            <w:vAlign w:val="bottom"/>
          </w:tcPr>
          <w:p>
            <w:pPr>
              <w:spacing w:after="0"/>
              <w:rPr>
                <w:sz w:val="20"/>
                <w:szCs w:val="20"/>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Level</w:t>
            </w:r>
          </w:p>
        </w:tc>
        <w:tc>
          <w:tcPr>
            <w:tcW w:w="1020" w:type="dxa"/>
            <w:vAlign w:val="bottom"/>
          </w:tcPr>
          <w:p>
            <w:pPr>
              <w:ind w:left="28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Liabilities:</w:t>
            </w: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37,518,750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45,625,388</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Warrant Liability – Private Placement Warrants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1,839,375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2,452,500</w:t>
            </w:r>
          </w:p>
        </w:tc>
      </w:tr>
    </w:tbl>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established the initial fair value for the Warrants on November 13, 2019, the date of the Company’s Initial Public Offering, using a Black-Scholes Model for private warrants and a Post-Acquisition Simulation for public warrants. The Company allocated the proceeds received from (i) the sale of Units (which is inclusive of one share of common stock and one-third of one Public Warrant), (ii) the sale of Private Placement Warrants, and (iii) the issuance of common shares, first to the Warrants based on their fair values as determined at initial measurement, with the remaining proceeds allocated to common shares subject to possible redemption, and common shares based on their relative fair values at the initial measurement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The key inputs into the Black-Scholes model for the Private Placement Warrants were as follows at March 31, 2021: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9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Input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0.94%</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Holding period (years)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54.31%</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Underlying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2021, the Private Placement Warrants and Public Warrants were determined to be $6.75 and $4.35 per warrant for aggregate values of $1.8 million and $37.5 million,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Private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Warrant</w:t>
            </w: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Placement</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Liabilities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2,452,500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45,625,388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48,077,888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320" w:type="dxa"/>
            <w:vAlign w:val="bottom"/>
          </w:tcPr>
          <w:p>
            <w:pPr>
              <w:ind w:left="120"/>
              <w:spacing w:after="0"/>
              <w:rPr>
                <w:sz w:val="20"/>
                <w:szCs w:val="20"/>
                <w:color w:val="auto"/>
              </w:rPr>
            </w:pPr>
            <w:r>
              <w:rPr>
                <w:rFonts w:ascii="Arial" w:cs="Arial" w:eastAsia="Arial" w:hAnsi="Arial"/>
                <w:sz w:val="18"/>
                <w:szCs w:val="18"/>
                <w:color w:val="auto"/>
              </w:rPr>
              <w:t>Change in valuation inputs or other assumptions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(613,125)</w:t>
            </w:r>
          </w:p>
        </w:tc>
        <w:tc>
          <w:tcPr>
            <w:tcW w:w="20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(8,106,638)</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(8,719,763)</w:t>
            </w:r>
          </w:p>
        </w:tc>
      </w:tr>
      <w:tr>
        <w:trPr>
          <w:trHeight w:val="24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as of March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1,839,375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37,518,750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39,358,125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consolidated financial statements were issued. Based upon this review, other than described below, the Company did not identify subsequent events that would have required adjustment or disclosure in the condensed consolidated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a Form 8-K on May 13, 2021 notifying shareholders of the approval to extend the date to consummate a business combination from May 13, 2021 to August 13, 2021. Shareholders redeemed 19,662 shares of common stock purchased in the Company’s initial public offering as part of the extension.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Stable Road Acquisition Corp. References to our “management” or our “management team” refer to our officers and directors, and references to the “Sponsor” refer to SRC-NI Holdings, LLC. The following discussion and analysis of the Company’s financial condition and results of operations should be read in conjunction with the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2020 filed with the SEC on March 8, 2021, as amended on June 10,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blank check company incorporated as a Delaware corporation and formed for the purpose of effecting a merger, capital stock exchange, asset acquisition, stock purchase, reorganization or similar business combination (“Business Combination”) with one or more businesses. We intend to effectuate our initial Business Combination using cash from the proceeds our initial public offering (“Initial Public Offering”) and the private placement of the placement units (“Placement Units”), the proceeds of the sale of our shares in connection with our initial Business Combination (pursuant to backstop agreements we may enter into), shares issued to the owners of the target, debt issued to banks or other lenders or the owners of the target, or a combination of the foregoing.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jc w:val="both"/>
        <w:ind w:left="1020" w:hanging="337"/>
        <w:spacing w:after="0" w:line="25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anti-dilution provisions in the Class B common stock resulted in the issuance of Class A shares on a greater than one-to-one basis upon conversion of the Class B common stock;</w:t>
      </w:r>
    </w:p>
    <w:p>
      <w:pPr>
        <w:spacing w:after="0" w:line="2" w:lineRule="exact"/>
        <w:rPr>
          <w:rFonts w:ascii="Arial" w:cs="Arial" w:eastAsia="Arial" w:hAnsi="Arial"/>
          <w:sz w:val="18"/>
          <w:szCs w:val="18"/>
          <w:color w:val="auto"/>
        </w:rPr>
      </w:pPr>
    </w:p>
    <w:p>
      <w:pPr>
        <w:ind w:left="1020" w:hanging="337"/>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32" w:lineRule="exact"/>
        <w:rPr>
          <w:rFonts w:ascii="Arial" w:cs="Arial" w:eastAsia="Arial" w:hAnsi="Arial"/>
          <w:sz w:val="16"/>
          <w:szCs w:val="16"/>
          <w:color w:val="auto"/>
        </w:rPr>
      </w:pPr>
    </w:p>
    <w:p>
      <w:pPr>
        <w:ind w:left="1020" w:hanging="337"/>
        <w:spacing w:after="0" w:line="28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 w:lineRule="exact"/>
        <w:rPr>
          <w:rFonts w:ascii="Arial" w:cs="Arial" w:eastAsia="Arial" w:hAnsi="Arial"/>
          <w:sz w:val="16"/>
          <w:szCs w:val="16"/>
          <w:color w:val="auto"/>
        </w:rPr>
      </w:pPr>
    </w:p>
    <w:p>
      <w:pPr>
        <w:ind w:left="1020" w:hanging="337"/>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ind w:left="1020" w:hanging="337"/>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debt to banks or other lenders or the owners of a target, it could result in:</w:t>
      </w:r>
    </w:p>
    <w:p>
      <w:pPr>
        <w:spacing w:after="0" w:line="225" w:lineRule="exact"/>
        <w:rPr>
          <w:sz w:val="20"/>
          <w:szCs w:val="20"/>
          <w:color w:val="auto"/>
        </w:rPr>
      </w:pPr>
    </w:p>
    <w:p>
      <w:pPr>
        <w:ind w:left="1020" w:right="20" w:hanging="337"/>
        <w:spacing w:after="0" w:line="25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 w:lineRule="exact"/>
        <w:rPr>
          <w:rFonts w:ascii="Arial" w:cs="Arial" w:eastAsia="Arial" w:hAnsi="Arial"/>
          <w:sz w:val="18"/>
          <w:szCs w:val="18"/>
          <w:color w:val="auto"/>
        </w:rPr>
      </w:pPr>
    </w:p>
    <w:p>
      <w:pPr>
        <w:ind w:left="1020" w:hanging="337"/>
        <w:spacing w:after="0" w:line="265"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ind w:left="1020" w:hanging="337"/>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9" w:lineRule="exact"/>
        <w:rPr>
          <w:rFonts w:ascii="Arial" w:cs="Arial" w:eastAsia="Arial" w:hAnsi="Arial"/>
          <w:sz w:val="18"/>
          <w:szCs w:val="18"/>
          <w:color w:val="auto"/>
        </w:rPr>
      </w:pPr>
    </w:p>
    <w:p>
      <w:pPr>
        <w:ind w:left="1020" w:right="20" w:hanging="337"/>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ind w:left="1020" w:hanging="337"/>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1020" w:hanging="337"/>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2"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9" w:lineRule="exact"/>
        <w:rPr>
          <w:rFonts w:ascii="Arial" w:cs="Arial" w:eastAsia="Arial" w:hAnsi="Arial"/>
          <w:sz w:val="18"/>
          <w:szCs w:val="18"/>
          <w:color w:val="auto"/>
        </w:rPr>
      </w:pPr>
    </w:p>
    <w:p>
      <w:pPr>
        <w:ind w:left="1020" w:hanging="337"/>
        <w:spacing w:after="0" w:line="25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ind w:left="1020" w:hanging="337"/>
        <w:spacing w:after="0" w:line="25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our initial Business Combination will be successful.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with Momentus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7, 2020, we entered into the Agreement and Plan of Merger with Momentus Inc. (“Momentus”), Project Marvel First Merger Sub, Inc. and Project Marvel Second Merger Sub, Inc. (as amended, the “Merger Agreement”). See Note 1 to Item 1 above for a description of the Merger Agreement and the transactions contemplated hereby.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our Initial Public Offering, described below, and identifying a target for our initial Business Combination. We do not expect to generate any operating revenues until after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2021, we had net income of $5,766,486, which consists of operating costs of $2,972,323, offset by interest income on marketable securities held in the trust account of $19,046 and a change in the fair value of warrant liabilities of $8,719,763.</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we had net income of $1,209,171, which consists of interest income on marketable securities held in the Trust Account of $669,789 and a change in the fair value of warrant liabilities of $949,700, offset by operating costs of $236,879 and a provision for income taxes of $173,439.</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2019 and the period from May 28, 2019 (inception) through September 30, 2019, we had net loss of $0 and $865, respectively, which consists of formation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2019, we consummated our Initial Public Offering of 17,250,000 Units, which included the full exercise by the underwriter of the over-allotment option to purchase an additional 2,250,000 Units, at $10.00 per Unit, generating gross proceeds of $172,500,000. Simultaneously with the closing of our Initial Public Offering, we consummated the sale of 545,000 Placement Units to the Sponsor and Cantor at a price of $10.00 per Placement Unit, generating gross proceeds of $5,450,000.</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Following our Initial Public Offering, the exercise of the over-allotment option and the sale of the Placement Units, a total of $172,500,000 was placed in the Trust Account. We incurred $10,924,857 in transaction costs, including $3,450,000 of underwriting fees, $6,900,000 of deferred underwriting fees and $574,857 of other offering costs.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cash used in operating activities was $710,750. Net income of $5,766,486 was offset by interest earned on marketable securities held in the Trust Account of $19,046 and a change in the fair value of warrant liabilities of $8,719,763. Changes in operating assets and liabilities used $2,261,573 of cash from operating activities.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cash used in operating activities was $227,767. Net income of $1,209,171 was offset by interest earned on marketable securities held in the Trust Account of $669,789, a change in the fair value of warrant liabilities of $949,700, and changes in operating assets and liabilities, which provided $182,551 of cash from operating activities.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2021, we had cash and marketable securities in the Trust Account of $173,022,306. We intend to use substantially all of the funds held in the Trust Account, including any amounts representing interest earned on the Trust Account (less deferred underwriting commissions) to complete our initial Business Combination. We may withdraw interest to pay taxes. During the three months ended March 31, 2021, we withdrew $104,489 of interest income from the Trust Account to pay for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had cash of $208,550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308" w:gutter="0" w:footer="0" w:header="0"/>
        </w:sectPr>
      </w:pPr>
    </w:p>
    <w:bookmarkStart w:id="22" w:name="page23"/>
    <w:bookmarkEnd w:id="22"/>
    <w:p>
      <w:pPr>
        <w:jc w:val="both"/>
        <w:spacing w:after="0" w:line="289" w:lineRule="auto"/>
        <w:rPr>
          <w:sz w:val="20"/>
          <w:szCs w:val="20"/>
          <w:color w:val="auto"/>
        </w:rPr>
      </w:pPr>
      <w:r>
        <w:rPr>
          <w:rFonts w:ascii="Arial" w:cs="Arial" w:eastAsia="Arial" w:hAnsi="Arial"/>
          <w:sz w:val="16"/>
          <w:szCs w:val="16"/>
          <w:color w:val="auto"/>
        </w:rPr>
        <w:t>We do not currently believe we will need to raise additional funds in order to meet the expenditures required for operating our business. However, 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assessment of going concern considerations in accordance with Financial Accounting Standard Board’s Accounting Standards Update (“ASU”) 2014-15, “Disclosures of Uncertainties about an Entity’s Ability to Continue as a Going Concern,” we have until August 13, 2021 to consummate a Business Combination. It is uncertain that we will be able to consummate a Business Combination by this time. If a Business Combination is not consummated by this date, there will be a mandatory liquidation and subsequent dissolution. Management has determined that the mandatory liquidation, should a Business Combination not occur, and potential subsequent dissolution raises substantial doubt about our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administrative support provided to the Company. We began incurring these fees on November 8, 2019 and will continue to incur these fees monthly until the earlier of the completion of the initial Business Combination and the Company’s liquidation.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 is entitled to deferred commissions of $0.40 per unit of the gross proceeds from the Units sold in the Initial Public Offering, or $6,900,000 in the aggregate. The deferred commissions will become payable to the underwriter from the amounts held in the Trust Account solely in the event that we complete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consolidated financial statements, and income and expenses during the periods reported. Actual results could materially differ from those estimates. We have identified the following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common stock subject to possible redemption is presented as temporary equity, outside of the stockholders’ equity section of our condensed balance sheets.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March 31, 2021. Based upon their evaluation, our Chief Executive Officer and Chief Financial Officer concluded that our disclosure controls and procedures (as defined in Rules 13a-15(e) and 15d-15(e) under the Exchange Act) were ineffective as of March 31, 2021, due solely to the material weakness in our internal control over financial reporting with respect to the classification of the Company’s Private Warrants as components of equity instead of as derivative liabilities. In light of this material weakness, we performed additional analysis as deemed necessary to ensure that our consolidated financial statements were prepared in accordance with U.S. GAAP.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March 31, 2021, there has been no change in our internal control over financial reporting that has materially affected, or is reasonably likely to materially affect, our internal control over financial reporting, as the circumstances that led to the restatement of our consolidated financial statements described in our Annual Report on Form 10-K/A had not yet been identified. Management has implemented remediation steps to address the material weakness and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the Company’s disclosure controls and procedures or the Company’s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December 3, 2020, a purported stockholder of SRAC filed a complaint against us and our board of directors in the United States District Court for the Southern District of New York, in a case captioned </w:t>
      </w:r>
      <w:r>
        <w:rPr>
          <w:rFonts w:ascii="Arial" w:cs="Arial" w:eastAsia="Arial" w:hAnsi="Arial"/>
          <w:sz w:val="17"/>
          <w:szCs w:val="17"/>
          <w:i w:val="1"/>
          <w:iCs w:val="1"/>
          <w:color w:val="auto"/>
        </w:rPr>
        <w:t>Wallace v. Stable Road Acquisition Corp., et al.</w:t>
      </w:r>
      <w:r>
        <w:rPr>
          <w:rFonts w:ascii="Arial" w:cs="Arial" w:eastAsia="Arial" w:hAnsi="Arial"/>
          <w:sz w:val="17"/>
          <w:szCs w:val="17"/>
          <w:color w:val="auto"/>
        </w:rPr>
        <w:t xml:space="preserve">, No. 1:20-cv-10193, alleging that our Registration Statement on Form S-4, originally filed with the SEC on November 2, 2020, as amended, omitted certain material information regarding the Proposed Transaction with Momentus, in violation of the securities laws. As relief, the complaint seeks an injunction barring us from proceeding with a stockholder vote with respect to, or consummating, the Proposed Transaction absent additional disclosures, as well as unspecified costs and damages. On December 9, 2020, another purported stockholder of filed a complaint against us and our board of directors in the Supreme Court of the State of New York for the County of New York, in a case captioned </w:t>
      </w:r>
      <w:r>
        <w:rPr>
          <w:rFonts w:ascii="Arial" w:cs="Arial" w:eastAsia="Arial" w:hAnsi="Arial"/>
          <w:sz w:val="17"/>
          <w:szCs w:val="17"/>
          <w:i w:val="1"/>
          <w:iCs w:val="1"/>
          <w:color w:val="auto"/>
        </w:rPr>
        <w:t>Ciccotelli v. Stable Road Acquisition Corp., et al.</w:t>
      </w:r>
      <w:r>
        <w:rPr>
          <w:rFonts w:ascii="Arial" w:cs="Arial" w:eastAsia="Arial" w:hAnsi="Arial"/>
          <w:sz w:val="17"/>
          <w:szCs w:val="17"/>
          <w:color w:val="auto"/>
        </w:rPr>
        <w:t xml:space="preserve">, No. 656895/2020, raising similar allegations and seeking similar relief as the complaint from the </w:t>
      </w:r>
      <w:r>
        <w:rPr>
          <w:rFonts w:ascii="Arial" w:cs="Arial" w:eastAsia="Arial" w:hAnsi="Arial"/>
          <w:sz w:val="17"/>
          <w:szCs w:val="17"/>
          <w:i w:val="1"/>
          <w:iCs w:val="1"/>
          <w:color w:val="auto"/>
        </w:rPr>
        <w:t>Wallace</w:t>
      </w:r>
      <w:r>
        <w:rPr>
          <w:rFonts w:ascii="Arial" w:cs="Arial" w:eastAsia="Arial" w:hAnsi="Arial"/>
          <w:sz w:val="17"/>
          <w:szCs w:val="17"/>
          <w:color w:val="auto"/>
        </w:rPr>
        <w:t xml:space="preserve"> action.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2021, the SEC’s Division of Enforcement informed SRAC that it was investigating certain disclosures made in filings with the SEC, including in connection with the Business Combination. SRAC is fully cooperating with the SEC’s investigation.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outcome of these matters cannot be determined at this time.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above, to the knowledge of our management, there is no material litigation currently pending against us, any of our officers or directors in their capacity as such or against any of our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10-K/A for the year ended December 31, 2020 filed with the SEC on June 10, 2021. As of the date of this Report, there have been no material changes to the risk factors disclosed in our Annual Report on Form 10-K/A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680" w:type="dxa"/>
            <w:vAlign w:val="bottom"/>
          </w:tcPr>
          <w:p>
            <w:pPr>
              <w:ind w:left="780"/>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Act of 2002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7" w:lineRule="exact"/>
        <w:rPr>
          <w:sz w:val="20"/>
          <w:szCs w:val="20"/>
          <w:color w:val="auto"/>
        </w:rPr>
      </w:pPr>
    </w:p>
    <w:p>
      <w:pPr>
        <w:ind w:right="9800" w:firstLine="8"/>
        <w:spacing w:after="0" w:line="342" w:lineRule="auto"/>
        <w:tabs>
          <w:tab w:leader="none" w:pos="337" w:val="left"/>
        </w:tabs>
        <w:numPr>
          <w:ilvl w:val="0"/>
          <w:numId w:val="8"/>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STABLE ROAD ACQUISITION CORP.</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Brian Kabot</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James Norris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Kabot, certify that:</w:t>
      </w:r>
    </w:p>
    <w:p>
      <w:pPr>
        <w:spacing w:after="0" w:line="225" w:lineRule="exact"/>
        <w:rPr>
          <w:sz w:val="20"/>
          <w:szCs w:val="20"/>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right="20" w:hanging="453"/>
        <w:spacing w:after="0" w:line="263"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right="20" w:hanging="453"/>
        <w:spacing w:after="0" w:line="308"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right="20" w:hanging="448"/>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right="20" w:hanging="448"/>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right="20" w:hanging="448"/>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right="20" w:hanging="453"/>
        <w:spacing w:after="0" w:line="342"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right="20" w:hanging="448"/>
        <w:spacing w:after="0" w:line="308" w:lineRule="auto"/>
        <w:tabs>
          <w:tab w:leader="none" w:pos="1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right="20" w:hanging="448"/>
        <w:spacing w:after="0" w:line="277"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Norris, certify that:</w:t>
      </w:r>
    </w:p>
    <w:p>
      <w:pPr>
        <w:spacing w:after="0" w:line="225"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right="20" w:hanging="453"/>
        <w:spacing w:after="0" w:line="263"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right="20" w:hanging="453"/>
        <w:spacing w:after="0" w:line="308"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right="20" w:hanging="448"/>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right="20" w:hanging="448"/>
        <w:spacing w:after="0" w:line="34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right="20" w:hanging="448"/>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right="20" w:hanging="453"/>
        <w:spacing w:after="0" w:line="342"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right="20" w:hanging="448"/>
        <w:spacing w:after="0" w:line="308" w:lineRule="auto"/>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right="20" w:hanging="448"/>
        <w:spacing w:after="0" w:line="27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March 31, 2021, as filed with the Securities and Exchange Commission (the “Report”), I, Brian Kabot, Chief Executive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March 31, 2021, as filed with the Securities and Exchange Commission (the “Report”), I, James Norris, Chief Financial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2021-06-10T16:08:02Z</dcterms:created>
  <dcterms:modified xsi:type="dcterms:W3CDTF">2021-06-10T16:08:02Z</dcterms:modified>
</cp:coreProperties>
</file>