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0000FF"/>
        </w:rPr>
        <w:t>Momentus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60879E200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08/30/2024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60879E200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SBI Securities Co.,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jc w:val="center"/>
        <w:ind w:right="7199"/>
        <w:spacing w:after="0"/>
        <w:rPr>
          <w:sz w:val="20"/>
          <w:szCs w:val="20"/>
          <w:color w:val="auto"/>
        </w:rPr>
      </w:pPr>
      <w:r>
        <w:rPr>
          <w:rFonts w:ascii="Times New Roman" w:cs="Times New Roman" w:eastAsia="Times New Roman" w:hAnsi="Times New Roman"/>
          <w:sz w:val="22"/>
          <w:szCs w:val="22"/>
          <w:color w:val="auto"/>
        </w:rPr>
        <w:t>JAPAN</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1,783,447.00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1,783,447.00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1,783,447.00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w:t>
      </w:r>
    </w:p>
    <w:p>
      <w:pPr>
        <w:spacing w:after="0" w:line="200" w:lineRule="exact"/>
        <w:rPr>
          <w:sz w:val="20"/>
          <w:szCs w:val="20"/>
          <w:color w:val="auto"/>
        </w:rPr>
      </w:pPr>
    </w:p>
    <w:p>
      <w:pPr>
        <w:sectPr>
          <w:pgSz w:w="11900" w:h="16838" w:orient="portrait"/>
          <w:cols w:equalWidth="0" w:num="2">
            <w:col w:w="1100" w:space="60"/>
            <w:col w:w="9760"/>
          </w:cols>
          <w:pgMar w:left="320" w:top="111" w:right="659" w:bottom="0" w:gutter="0" w:footer="0" w:header="0"/>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All shares owned by us are shares acquired in the ordinary course of financial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instruments business with its customers under Securities Lending Agreement and of which 510,617 shares have lent to Broker Dealer.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Momentus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1345 ABBOT KINNEY BLVD., VENICE BEACH, CALIFORNIA, 90291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SBI Securities Co.,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Izumi Garden Tower 19F,1-6-1,Roppongi Minato-ku, Tokyo,106-6019,JAPAN</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JAPAN</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60879E200</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38" w:orient="portrait"/>
          <w:cols w:equalWidth="0" w:num="1">
            <w:col w:w="10920"/>
          </w:cols>
          <w:pgMar w:left="320" w:top="111" w:right="65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Broker Dealer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right="6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1,783,447 All shares owned by us are shares acquired in the ordinary course of financial instruments business with its customers under Securities Lending Agreement and of which 510,617 shares have lent to Broker Dealer.</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10.73 %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1,783,447 All shares owned by us are shares acquired in the ordinary course of financial instruments business with its customers under Securities Lending Agreement and of which 510,617 shares have lent to Broker Dealer.</w:t>
      </w:r>
    </w:p>
    <w:p>
      <w:pPr>
        <w:spacing w:after="0" w:line="239" w:lineRule="exact"/>
        <w:rPr>
          <w:sz w:val="20"/>
          <w:szCs w:val="20"/>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1,783,447 All shares owned by us are shares acquired in the ordinary course of financial instruments business with its customers under Securities Lending Agreement and of which 510,617 shares have lent to Broker Dealer.</w:t>
      </w:r>
    </w:p>
    <w:p>
      <w:pPr>
        <w:spacing w:after="0" w:line="239" w:lineRule="exact"/>
        <w:rPr>
          <w:sz w:val="20"/>
          <w:szCs w:val="20"/>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type w:val="continuous"/>
        </w:sectPr>
      </w:pPr>
    </w:p>
    <w:p>
      <w:pPr>
        <w:ind w:left="940" w:right="40"/>
        <w:spacing w:after="0" w:line="235"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Broker Dealer is substantially comparable to the regulatory scheme applicable to the functionally equivalent U.S. institution(s). I also undertake to furnish to the Commission staff, upon request, information that would otherwise be disclosed in a Schedule 13D.</w:t>
      </w:r>
    </w:p>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SBI Securities Co., Ltd.</w:t>
      </w:r>
    </w:p>
    <w:p>
      <w:pPr>
        <w:spacing w:after="0" w:line="152" w:lineRule="exact"/>
        <w:rPr>
          <w:sz w:val="20"/>
          <w:szCs w:val="20"/>
          <w:color w:val="auto"/>
        </w:rPr>
      </w:pPr>
    </w:p>
    <w:p>
      <w:pPr>
        <w:ind w:left="350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Masato Takamura</w:t>
      </w:r>
    </w:p>
    <w:p>
      <w:pPr>
        <w:spacing w:after="0" w:line="4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1"/>
          <w:szCs w:val="21"/>
          <w:color w:val="auto"/>
        </w:rPr>
        <w:t>Name/Title: Representative Director and President</w:t>
      </w:r>
    </w:p>
    <w:p>
      <w:pPr>
        <w:spacing w:after="0" w:line="56" w:lineRule="exact"/>
        <w:rPr>
          <w:sz w:val="20"/>
          <w:szCs w:val="20"/>
          <w:color w:val="auto"/>
        </w:rPr>
      </w:pPr>
    </w:p>
    <w:p>
      <w:pPr>
        <w:ind w:left="3500"/>
        <w:spacing w:after="0"/>
        <w:tabs>
          <w:tab w:leader="none" w:pos="4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09/09/2024</w:t>
      </w:r>
    </w:p>
    <w:sectPr>
      <w:pgSz w:w="11900" w:h="16838" w:orient="portrait"/>
      <w:cols w:equalWidth="0" w:num="1">
        <w:col w:w="9019"/>
      </w:cols>
      <w:pgMar w:left="1440" w:top="4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Roman"/>
      <w:start w:val="2"/>
    </w:lvl>
  </w:abstractNum>
  <w:abstractNum w:abstractNumId="6">
    <w:nsid w:val="41B71E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2024-09-09T19:24:36Z</dcterms:created>
  <dcterms:modified xsi:type="dcterms:W3CDTF">2024-09-09T19:24:36Z</dcterms:modified>
</cp:coreProperties>
</file>