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jc w:val="center"/>
        <w:ind w:left="3880" w:right="940" w:hanging="2932"/>
        <w:spacing w:after="0" w:line="438" w:lineRule="auto"/>
        <w:tabs>
          <w:tab w:leader="none" w:pos="115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98"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5"/>
          </w:tcPr>
          <w:p>
            <w:pPr>
              <w:ind w:left="3940"/>
              <w:spacing w:after="0"/>
              <w:rPr>
                <w:sz w:val="20"/>
                <w:szCs w:val="20"/>
                <w:color w:val="auto"/>
              </w:rPr>
            </w:pPr>
            <w:r>
              <w:rPr>
                <w:rFonts w:ascii="Arial" w:cs="Arial" w:eastAsia="Arial" w:hAnsi="Arial"/>
                <w:sz w:val="18"/>
                <w:szCs w:val="18"/>
                <w:b w:val="1"/>
                <w:bCs w:val="1"/>
                <w:color w:val="auto"/>
              </w:rPr>
              <w:t>For the transition period from</w:t>
            </w:r>
          </w:p>
        </w:tc>
        <w:tc>
          <w:tcPr>
            <w:tcW w:w="4140" w:type="dxa"/>
            <w:vAlign w:val="bottom"/>
          </w:tcPr>
          <w:p>
            <w:pPr>
              <w:ind w:left="60"/>
              <w:spacing w:after="0"/>
              <w:rPr>
                <w:sz w:val="20"/>
                <w:szCs w:val="20"/>
                <w:color w:val="auto"/>
              </w:rPr>
            </w:pPr>
            <w:r>
              <w:rPr>
                <w:rFonts w:ascii="Arial" w:cs="Arial" w:eastAsia="Arial" w:hAnsi="Arial"/>
                <w:sz w:val="18"/>
                <w:szCs w:val="18"/>
                <w:b w:val="1"/>
                <w:bCs w:val="1"/>
                <w:color w:val="auto"/>
              </w:rPr>
              <w:t>to</w:t>
            </w:r>
          </w:p>
        </w:tc>
      </w:tr>
      <w:tr>
        <w:trPr>
          <w:trHeight w:val="310"/>
        </w:trPr>
        <w:tc>
          <w:tcPr>
            <w:tcW w:w="7100" w:type="dxa"/>
            <w:vAlign w:val="bottom"/>
            <w:gridSpan w:val="5"/>
          </w:tcPr>
          <w:p>
            <w:pPr>
              <w:jc w:val="center"/>
              <w:ind w:left="4070"/>
              <w:spacing w:after="0"/>
              <w:rPr>
                <w:sz w:val="20"/>
                <w:szCs w:val="20"/>
                <w:color w:val="auto"/>
              </w:rPr>
            </w:pPr>
            <w:r>
              <w:rPr>
                <w:rFonts w:ascii="Arial" w:cs="Arial" w:eastAsia="Arial" w:hAnsi="Arial"/>
                <w:sz w:val="18"/>
                <w:szCs w:val="18"/>
                <w:b w:val="1"/>
                <w:bCs w:val="1"/>
                <w:color w:val="auto"/>
                <w:w w:val="91"/>
              </w:rPr>
              <w:t>Commission File Number: 001-39128</w:t>
            </w:r>
          </w:p>
        </w:tc>
        <w:tc>
          <w:tcPr>
            <w:tcW w:w="4140" w:type="dxa"/>
            <w:vAlign w:val="bottom"/>
          </w:tcPr>
          <w:p>
            <w:pPr>
              <w:spacing w:after="0"/>
              <w:rPr>
                <w:sz w:val="24"/>
                <w:szCs w:val="24"/>
                <w:color w:val="auto"/>
              </w:rPr>
            </w:pPr>
          </w:p>
        </w:tc>
      </w:tr>
      <w:tr>
        <w:trPr>
          <w:trHeight w:val="20"/>
        </w:trPr>
        <w:tc>
          <w:tcPr>
            <w:tcW w:w="628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357"/>
        </w:trPr>
        <w:tc>
          <w:tcPr>
            <w:tcW w:w="7100" w:type="dxa"/>
            <w:vAlign w:val="bottom"/>
            <w:gridSpan w:val="5"/>
          </w:tcPr>
          <w:p>
            <w:pPr>
              <w:jc w:val="center"/>
              <w:ind w:left="4050"/>
              <w:spacing w:after="0"/>
              <w:rPr>
                <w:sz w:val="20"/>
                <w:szCs w:val="20"/>
                <w:color w:val="auto"/>
              </w:rPr>
            </w:pPr>
            <w:r>
              <w:rPr>
                <w:rFonts w:ascii="Arial" w:cs="Arial" w:eastAsia="Arial" w:hAnsi="Arial"/>
                <w:sz w:val="18"/>
                <w:szCs w:val="18"/>
                <w:b w:val="1"/>
                <w:bCs w:val="1"/>
                <w:color w:val="auto"/>
                <w:w w:val="91"/>
              </w:rPr>
              <w:t>Stable Road Acquisition Corp.</w:t>
            </w:r>
          </w:p>
        </w:tc>
        <w:tc>
          <w:tcPr>
            <w:tcW w:w="414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8"/>
        </w:trPr>
        <w:tc>
          <w:tcPr>
            <w:tcW w:w="710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tcPr>
          <w:p>
            <w:pPr>
              <w:jc w:val="center"/>
              <w:ind w:right="1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100" w:type="dxa"/>
            <w:vAlign w:val="bottom"/>
            <w:gridSpan w:val="5"/>
          </w:tcPr>
          <w:p>
            <w:pPr>
              <w:jc w:val="center"/>
              <w:ind w:right="158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710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1"/>
              </w:rPr>
              <w:t>1345 Abbot Kinney Blvd.</w:t>
            </w:r>
          </w:p>
        </w:tc>
        <w:tc>
          <w:tcPr>
            <w:tcW w:w="4140" w:type="dxa"/>
            <w:vAlign w:val="bottom"/>
          </w:tcPr>
          <w:p>
            <w:pPr>
              <w:spacing w:after="0"/>
              <w:rPr>
                <w:sz w:val="24"/>
                <w:szCs w:val="24"/>
                <w:color w:val="auto"/>
              </w:rPr>
            </w:pPr>
          </w:p>
        </w:tc>
      </w:tr>
      <w:tr>
        <w:trPr>
          <w:trHeight w:val="241"/>
        </w:trPr>
        <w:tc>
          <w:tcPr>
            <w:tcW w:w="710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1"/>
              </w:rPr>
              <w:t>Venice, California</w:t>
            </w:r>
          </w:p>
        </w:tc>
        <w:tc>
          <w:tcPr>
            <w:tcW w:w="4140" w:type="dxa"/>
            <w:vAlign w:val="bottom"/>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color w:val="auto"/>
                <w:w w:val="94"/>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(883) 478-2253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358"/>
        </w:trPr>
        <w:tc>
          <w:tcPr>
            <w:tcW w:w="46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7"/>
              </w:rPr>
              <w:t>Title of each class</w:t>
            </w:r>
          </w:p>
        </w:tc>
        <w:tc>
          <w:tcPr>
            <w:tcW w:w="31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8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share of Class A</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ind w:right="470"/>
              <w:spacing w:after="0" w:line="201" w:lineRule="exact"/>
              <w:rPr>
                <w:sz w:val="20"/>
                <w:szCs w:val="20"/>
                <w:color w:val="auto"/>
              </w:rPr>
            </w:pPr>
            <w:r>
              <w:rPr>
                <w:rFonts w:ascii="Arial" w:cs="Arial" w:eastAsia="Arial" w:hAnsi="Arial"/>
                <w:sz w:val="18"/>
                <w:szCs w:val="18"/>
                <w:color w:val="auto"/>
                <w:w w:val="95"/>
              </w:rPr>
              <w:t>SRACU</w:t>
            </w:r>
          </w:p>
        </w:tc>
        <w:tc>
          <w:tcPr>
            <w:tcW w:w="24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62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90"/>
              </w:rPr>
              <w:t>Common Stock and one-half of one Redeemable</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30"/>
        </w:trPr>
        <w:tc>
          <w:tcPr>
            <w:tcW w:w="462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87"/>
              </w:rPr>
              <w:t>Warrant</w:t>
            </w:r>
          </w:p>
        </w:tc>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r>
        <w:trPr>
          <w:trHeight w:val="216"/>
        </w:trPr>
        <w:tc>
          <w:tcPr>
            <w:tcW w:w="46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Class A Common Stock, par value $0.0001 per share</w:t>
            </w:r>
          </w:p>
        </w:tc>
        <w:tc>
          <w:tcPr>
            <w:tcW w:w="3160" w:type="dxa"/>
            <w:vAlign w:val="bottom"/>
            <w:gridSpan w:val="2"/>
          </w:tcPr>
          <w:p>
            <w:pPr>
              <w:jc w:val="center"/>
              <w:ind w:right="800"/>
              <w:spacing w:after="0"/>
              <w:rPr>
                <w:sz w:val="20"/>
                <w:szCs w:val="20"/>
                <w:color w:val="auto"/>
              </w:rPr>
            </w:pPr>
            <w:r>
              <w:rPr>
                <w:rFonts w:ascii="Arial" w:cs="Arial" w:eastAsia="Arial" w:hAnsi="Arial"/>
                <w:sz w:val="18"/>
                <w:szCs w:val="18"/>
                <w:color w:val="auto"/>
                <w:w w:val="95"/>
              </w:rPr>
              <w:t>SRAC</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620" w:type="dxa"/>
            <w:vAlign w:val="bottom"/>
            <w:gridSpan w:val="3"/>
            <w:shd w:val="clear" w:color="auto" w:fill="CCEEFF"/>
          </w:tcPr>
          <w:p>
            <w:pPr>
              <w:jc w:val="center"/>
              <w:ind w:right="780"/>
              <w:spacing w:after="0" w:line="201" w:lineRule="exact"/>
              <w:rPr>
                <w:sz w:val="20"/>
                <w:szCs w:val="20"/>
                <w:color w:val="auto"/>
              </w:rPr>
            </w:pPr>
            <w:r>
              <w:rPr>
                <w:rFonts w:ascii="Arial" w:cs="Arial" w:eastAsia="Arial" w:hAnsi="Arial"/>
                <w:sz w:val="18"/>
                <w:szCs w:val="18"/>
                <w:color w:val="auto"/>
                <w:w w:val="88"/>
              </w:rPr>
              <w:t>Redeemable Warrants, each whole warrant</w:t>
            </w:r>
          </w:p>
        </w:tc>
        <w:tc>
          <w:tcPr>
            <w:tcW w:w="3160" w:type="dxa"/>
            <w:vAlign w:val="bottom"/>
            <w:gridSpan w:val="2"/>
            <w:shd w:val="clear" w:color="auto" w:fill="CCEEFF"/>
          </w:tcPr>
          <w:p>
            <w:pPr>
              <w:jc w:val="center"/>
              <w:ind w:right="800"/>
              <w:spacing w:after="0" w:line="201" w:lineRule="exact"/>
              <w:rPr>
                <w:sz w:val="20"/>
                <w:szCs w:val="20"/>
                <w:color w:val="auto"/>
              </w:rPr>
            </w:pPr>
            <w:r>
              <w:rPr>
                <w:rFonts w:ascii="Arial" w:cs="Arial" w:eastAsia="Arial" w:hAnsi="Arial"/>
                <w:sz w:val="18"/>
                <w:szCs w:val="18"/>
                <w:color w:val="auto"/>
                <w:w w:val="95"/>
              </w:rPr>
              <w:t>SRACW</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62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90"/>
              </w:rPr>
              <w:t>exercisable for one share of Class A Common Stock</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r>
      <w:tr>
        <w:trPr>
          <w:trHeight w:val="230"/>
        </w:trPr>
        <w:tc>
          <w:tcPr>
            <w:tcW w:w="462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89"/>
              </w:rPr>
              <w:t>at an exercise price of $11.50</w:t>
            </w:r>
          </w:p>
        </w:tc>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bl>
    <w:p>
      <w:pPr>
        <w:spacing w:after="0" w:line="1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32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August 6, 2021, there were 17,775,338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8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w w:val="99"/>
              </w:rPr>
              <w:t>STABLE ROAD ACQUISITION CORP.</w:t>
            </w:r>
          </w:p>
        </w:tc>
        <w:tc>
          <w:tcPr>
            <w:tcW w:w="112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80" w:type="dxa"/>
            <w:vAlign w:val="bottom"/>
            <w:gridSpan w:val="8"/>
          </w:tcPr>
          <w:p>
            <w:pPr>
              <w:jc w:val="center"/>
              <w:ind w:right="1900"/>
              <w:spacing w:after="0"/>
              <w:rPr>
                <w:sz w:val="20"/>
                <w:szCs w:val="20"/>
                <w:color w:val="auto"/>
              </w:rPr>
            </w:pPr>
            <w:r>
              <w:rPr>
                <w:rFonts w:ascii="Arial" w:cs="Arial" w:eastAsia="Arial" w:hAnsi="Arial"/>
                <w:sz w:val="18"/>
                <w:szCs w:val="18"/>
                <w:b w:val="1"/>
                <w:bCs w:val="1"/>
                <w:color w:val="auto"/>
                <w:w w:val="97"/>
              </w:rPr>
              <w:t>FORM 10-Q FOR THE QUARTER ENDED JUNE 30, 2021</w:t>
            </w:r>
          </w:p>
        </w:tc>
        <w:tc>
          <w:tcPr>
            <w:tcW w:w="112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8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162"/>
        </w:trPr>
        <w:tc>
          <w:tcPr>
            <w:tcW w:w="10120" w:type="dxa"/>
            <w:vAlign w:val="bottom"/>
            <w:gridSpan w:val="21"/>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Part I. Financial Information</w:t>
              </w:r>
            </w:hyperlink>
          </w:p>
        </w:tc>
        <w:tc>
          <w:tcPr>
            <w:tcW w:w="11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34"/>
        </w:trPr>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6"/>
        </w:trPr>
        <w:tc>
          <w:tcPr>
            <w:tcW w:w="160" w:type="dxa"/>
            <w:vAlign w:val="bottom"/>
          </w:tcPr>
          <w:p>
            <w:pPr>
              <w:spacing w:after="0"/>
              <w:rPr>
                <w:sz w:val="15"/>
                <w:szCs w:val="15"/>
                <w:color w:val="auto"/>
              </w:rPr>
            </w:pPr>
          </w:p>
        </w:tc>
        <w:tc>
          <w:tcPr>
            <w:tcW w:w="9960" w:type="dxa"/>
            <w:vAlign w:val="bottom"/>
            <w:gridSpan w:val="2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(unaudited) and December 31, 2020</w:t>
              </w:r>
            </w:hyperlink>
          </w:p>
        </w:tc>
        <w:tc>
          <w:tcPr>
            <w:tcW w:w="28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19"/>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Unaudited Condensed Consolidated Statements of Operations for the three and six months ended June 30, 2021 and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Changes in Stockholders’ Equity for the three and six months ended June 30, 2021</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20" w:type="dxa"/>
            <w:vAlign w:val="bottom"/>
            <w:gridSpan w:val="19"/>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19"/>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 for the six months ended June 30, 2021 and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2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960" w:type="dxa"/>
            <w:vAlign w:val="bottom"/>
            <w:gridSpan w:val="20"/>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16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506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Part II. Other Information</w:t>
              </w:r>
            </w:hyperlink>
          </w:p>
        </w:tc>
        <w:tc>
          <w:tcPr>
            <w:tcW w:w="112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9960" w:type="dxa"/>
            <w:vAlign w:val="bottom"/>
            <w:gridSpan w:val="2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996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96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708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5"/>
        </w:trPr>
        <w:tc>
          <w:tcPr>
            <w:tcW w:w="160" w:type="dxa"/>
            <w:vAlign w:val="bottom"/>
          </w:tcPr>
          <w:p>
            <w:pPr>
              <w:spacing w:after="0"/>
              <w:rPr>
                <w:sz w:val="15"/>
                <w:szCs w:val="15"/>
                <w:color w:val="auto"/>
              </w:rPr>
            </w:pPr>
          </w:p>
        </w:tc>
        <w:tc>
          <w:tcPr>
            <w:tcW w:w="996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160" w:type="dxa"/>
            <w:vAlign w:val="bottom"/>
            <w:tcBorders>
              <w:top w:val="single" w:sz="8" w:color="CCEEFF"/>
            </w:tcBorders>
          </w:tcPr>
          <w:p>
            <w:pPr>
              <w:spacing w:after="0"/>
              <w:rPr>
                <w:sz w:val="15"/>
                <w:szCs w:val="15"/>
                <w:color w:val="auto"/>
              </w:rPr>
            </w:pPr>
          </w:p>
        </w:tc>
        <w:tc>
          <w:tcPr>
            <w:tcW w:w="18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8100" w:type="dxa"/>
            <w:vAlign w:val="bottom"/>
            <w:tcBorders>
              <w:top w:val="single" w:sz="8" w:color="CCEEFF"/>
            </w:tcBorders>
            <w:gridSpan w:val="1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1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left="3280"/>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ind w:left="32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Prepaid income taxes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Cash and investments held in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30"/>
        </w:trPr>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1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214,811</w:t>
            </w: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43,922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81,850</w:t>
            </w:r>
          </w:p>
        </w:tc>
      </w:tr>
      <w:tr>
        <w:trPr>
          <w:trHeight w:val="237"/>
        </w:trPr>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328,538</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328,538</w:t>
            </w:r>
          </w:p>
        </w:tc>
      </w:tr>
      <w:tr>
        <w:trPr>
          <w:trHeight w:val="230"/>
        </w:trPr>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381,756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625,199</w:t>
            </w:r>
          </w:p>
        </w:tc>
      </w:tr>
      <w:tr>
        <w:trPr>
          <w:trHeight w:val="431"/>
        </w:trPr>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172,749,491</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173,107,749</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173,131,247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173,732,948</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9,180,583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Promissory note – third party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 note – related party</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321,500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8,823,583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2,485,896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6,900,000</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37,453,975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48,077,888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54,177,558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57,463,784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Class A common stock subject to possible redemption, 11,395,368 and 11,126,916 shares at $10.00 per share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redemption value as of June 30, 2021 and December 31,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113,953,680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111,269,160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Class A common stock, $0.0001 par value; 100,000,000 shares authorized; 6,379,970 and 6,668,084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2"/>
              </w:rPr>
              <w:t>outstanding (excluding 11,395,368 and 11,126,916 shares subject to possible redemption) as of June 30, 2021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4,312,500 shares issued and outstanding as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June 30, 2021 and December 31, 2020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42,535,328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45,416,946</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(37,536,388)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(40,418,039)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173,131,247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173,732,948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3,793,296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315,695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6,765,619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552,574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(3,793,296)</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(315,695)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(6,765,619)</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(552,574)</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1,904,150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1,185,700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10,623,913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4,311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355,824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23,357</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1,025,613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 Settlement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908,461</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1,541,524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9,647,270</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3,161,013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(1,884,835)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1,225,829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3,881,651</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2,608,439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(177,196)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(2,884,835</w:t>
            </w:r>
          </w:p>
        </w:tc>
        <w:tc>
          <w:tcPr>
            <w:tcW w:w="26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1,222,072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2,881,651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2,431,243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w w:val="97"/>
              </w:rPr>
              <w:t>Weighted average shares outstanding of Class A redeemable common stock</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17,240,709</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17,250,000</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17,245,329</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17,250,000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income per share, Class A</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shares outstanding of Class A and Class B non-redeemable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4,857,500</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4,857,500</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4,857,500</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4,857,500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net income (loss) per share, Class A and Class B</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26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9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4"/>
              </w:rPr>
              <w:t>Weighted average shares outstanding of Class A and Class B non-redeemable</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5,005,558</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4,857,500</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7,105,104</w:t>
            </w:r>
          </w:p>
        </w:tc>
        <w:tc>
          <w:tcPr>
            <w:tcW w:w="2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4,857,500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Diluted net income (loss) per share, Class A and Class B</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(0.59</w:t>
            </w:r>
          </w:p>
        </w:tc>
        <w:tc>
          <w:tcPr>
            <w:tcW w:w="26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22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Class A</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rPr>
              <w:t>Class B</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5"/>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7"/>
        </w:trPr>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ind w:left="1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6,668,084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$45,416,946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(40,418,039)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Change in value of Class A common</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stock subject to possible redemption</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(576,648)</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(5,766,423)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(5,766,480)</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5,766,486</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5,766,486</w:t>
            </w:r>
          </w:p>
        </w:tc>
      </w:tr>
      <w:tr>
        <w:trPr>
          <w:trHeight w:val="216"/>
        </w:trPr>
        <w:tc>
          <w:tcPr>
            <w:tcW w:w="3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3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6,091,436</w:t>
            </w:r>
          </w:p>
        </w:tc>
        <w:tc>
          <w:tcPr>
            <w:tcW w:w="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609</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4,312,500</w:t>
            </w:r>
          </w:p>
        </w:tc>
        <w:tc>
          <w:tcPr>
            <w:tcW w:w="6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431</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$39,650,523</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 (34,651,553)</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5,000,010</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Change in value of Class A common</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stock subject to possible redemption</w:t>
            </w:r>
          </w:p>
        </w:tc>
        <w:tc>
          <w:tcPr>
            <w:tcW w:w="13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308,196</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3,081,929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3,081,960</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A shares redeemed</w:t>
            </w: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(19,662)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(197,124)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(197,126)</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(2,884,835)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(2,884,835)</w:t>
            </w:r>
          </w:p>
        </w:tc>
      </w:tr>
      <w:tr>
        <w:trPr>
          <w:trHeight w:val="216"/>
        </w:trPr>
        <w:tc>
          <w:tcPr>
            <w:tcW w:w="3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300" w:type="dxa"/>
            <w:vAlign w:val="bottom"/>
            <w:gridSpan w:val="2"/>
            <w:shd w:val="clear" w:color="auto" w:fill="CCEEFF"/>
          </w:tcPr>
          <w:p>
            <w:pPr>
              <w:spacing w:after="0"/>
              <w:rPr>
                <w:sz w:val="22"/>
                <w:szCs w:val="22"/>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6,379,970</w:t>
            </w:r>
          </w:p>
        </w:tc>
        <w:tc>
          <w:tcPr>
            <w:tcW w:w="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638</w:t>
            </w:r>
          </w:p>
        </w:tc>
        <w:tc>
          <w:tcPr>
            <w:tcW w:w="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4,312,500</w:t>
            </w:r>
          </w:p>
        </w:tc>
        <w:tc>
          <w:tcPr>
            <w:tcW w:w="64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431</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42,535,328</w:t>
            </w:r>
          </w:p>
        </w:tc>
        <w:tc>
          <w:tcPr>
            <w:tcW w:w="1300" w:type="dxa"/>
            <w:vAlign w:val="bottom"/>
            <w:gridSpan w:val="4"/>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 (37,536,388</w:t>
            </w:r>
            <w:r>
              <w:rPr>
                <w:rFonts w:ascii="Arial" w:cs="Arial" w:eastAsia="Arial" w:hAnsi="Arial"/>
                <w:sz w:val="29"/>
                <w:szCs w:val="29"/>
                <w:b w:val="1"/>
                <w:bCs w:val="1"/>
                <w:color w:val="auto"/>
                <w:vertAlign w:val="superscript"/>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5,000,009</w:t>
            </w:r>
          </w:p>
        </w:tc>
      </w:tr>
      <w:tr>
        <w:trPr>
          <w:trHeight w:val="21"/>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3020" w:type="dxa"/>
            <w:vAlign w:val="bottom"/>
          </w:tcPr>
          <w:p>
            <w:pPr>
              <w:spacing w:after="0"/>
              <w:rPr>
                <w:sz w:val="24"/>
                <w:szCs w:val="24"/>
                <w:color w:val="auto"/>
              </w:rPr>
            </w:pPr>
          </w:p>
        </w:tc>
        <w:tc>
          <w:tcPr>
            <w:tcW w:w="5760" w:type="dxa"/>
            <w:vAlign w:val="bottom"/>
            <w:gridSpan w:val="25"/>
          </w:tcPr>
          <w:p>
            <w:pPr>
              <w:jc w:val="right"/>
              <w:ind w:right="680"/>
              <w:spacing w:after="0"/>
              <w:rPr>
                <w:sz w:val="20"/>
                <w:szCs w:val="20"/>
                <w:color w:val="auto"/>
              </w:rPr>
            </w:pPr>
            <w:r>
              <w:rPr>
                <w:rFonts w:ascii="Arial" w:cs="Arial" w:eastAsia="Arial" w:hAnsi="Arial"/>
                <w:sz w:val="18"/>
                <w:szCs w:val="18"/>
                <w:b w:val="1"/>
                <w:bCs w:val="1"/>
                <w:color w:val="auto"/>
              </w:rPr>
              <w:t>FOR THE THREE AND SIX MONTHS ENDED JUNE 30, 2020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Class A</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Class B</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3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7"/>
        </w:trPr>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2,369,468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4,999,340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Change in value of common stock</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subject to possible redemption</w:t>
            </w:r>
          </w:p>
        </w:tc>
        <w:tc>
          <w:tcPr>
            <w:tcW w:w="13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(120,917)</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(1,209,159)</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(1,209,170)</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6"/>
        </w:trPr>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1,209,171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1,209,171</w:t>
            </w:r>
          </w:p>
        </w:tc>
      </w:tr>
      <w:tr>
        <w:trPr>
          <w:trHeight w:val="216"/>
        </w:trPr>
        <w:tc>
          <w:tcPr>
            <w:tcW w:w="3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2,248,551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225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4,312,500</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431</w:t>
            </w:r>
          </w:p>
        </w:tc>
        <w:tc>
          <w:tcPr>
            <w:tcW w:w="1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4,999,352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5,000,008</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Common stock subject to redemption</w:t>
            </w:r>
          </w:p>
        </w:tc>
        <w:tc>
          <w:tcPr>
            <w:tcW w:w="13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(122,207)</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(1,222,057)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(1,222,070)</w:t>
            </w:r>
          </w:p>
        </w:tc>
      </w:tr>
      <w:tr>
        <w:trPr>
          <w:trHeight w:val="216"/>
        </w:trPr>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1,222,072</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1,222,072</w:t>
            </w:r>
          </w:p>
        </w:tc>
      </w:tr>
      <w:tr>
        <w:trPr>
          <w:trHeight w:val="216"/>
        </w:trPr>
        <w:tc>
          <w:tcPr>
            <w:tcW w:w="3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2,126,344</w:t>
            </w:r>
          </w:p>
        </w:tc>
        <w:tc>
          <w:tcPr>
            <w:tcW w:w="1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212</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4,312,500</w:t>
            </w:r>
          </w:p>
        </w:tc>
        <w:tc>
          <w:tcPr>
            <w:tcW w:w="10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431</w:t>
            </w:r>
          </w:p>
        </w:tc>
        <w:tc>
          <w:tcPr>
            <w:tcW w:w="180" w:type="dxa"/>
            <w:vAlign w:val="bottom"/>
            <w:shd w:val="clear" w:color="auto" w:fill="CCEEFF"/>
          </w:tcPr>
          <w:p>
            <w:pPr>
              <w:spacing w:after="0"/>
              <w:rPr>
                <w:sz w:val="22"/>
                <w:szCs w:val="2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4,999,367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5,000,010</w:t>
            </w:r>
          </w:p>
        </w:tc>
      </w:tr>
      <w:tr>
        <w:trPr>
          <w:trHeight w:val="21"/>
        </w:trPr>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left="2920"/>
        <w:spacing w:after="0" w:line="266" w:lineRule="auto"/>
        <w:rPr>
          <w:sz w:val="20"/>
          <w:szCs w:val="20"/>
          <w:color w:val="auto"/>
        </w:rPr>
      </w:pPr>
      <w:r>
        <w:rPr>
          <w:rFonts w:ascii="Arial" w:cs="Arial" w:eastAsia="Arial" w:hAnsi="Arial"/>
          <w:sz w:val="18"/>
          <w:szCs w:val="18"/>
          <w:b w:val="1"/>
          <w:bCs w:val="1"/>
          <w:color w:val="auto"/>
        </w:rPr>
        <w:t>STABLE ROAD ACQUISITION CORP. 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income taxes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redemption of common stock</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promissory note –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from promissory note –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Redemption of common stock</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Change in value of Class A common stock subject to possible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 the six</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six</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months ended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months ended</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bl>
    <w:p>
      <w:pPr>
        <w:spacing w:after="0" w:line="202" w:lineRule="exact"/>
        <w:rPr>
          <w:sz w:val="20"/>
          <w:szCs w:val="20"/>
          <w:color w:val="auto"/>
        </w:rPr>
      </w:pPr>
    </w:p>
    <w:p>
      <w:pPr>
        <w:ind w:left="405" w:hanging="405"/>
        <w:spacing w:after="0"/>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2,881,651   $    2,431,243</w:t>
      </w:r>
    </w:p>
    <w:p>
      <w:pPr>
        <w:spacing w:after="0" w:line="225" w:lineRule="exact"/>
        <w:rPr>
          <w:sz w:val="20"/>
          <w:szCs w:val="20"/>
          <w:color w:val="auto"/>
        </w:rPr>
      </w:pPr>
    </w:p>
    <w:p>
      <w:pPr>
        <w:jc w:val="both"/>
        <w:ind w:left="585"/>
        <w:spacing w:after="0"/>
        <w:tabs>
          <w:tab w:leader="none" w:pos="1665" w:val="left"/>
        </w:tabs>
        <w:rPr>
          <w:sz w:val="20"/>
          <w:szCs w:val="20"/>
          <w:color w:val="auto"/>
        </w:rPr>
      </w:pPr>
      <w:r>
        <w:rPr>
          <w:rFonts w:ascii="Arial" w:cs="Arial" w:eastAsia="Arial" w:hAnsi="Arial"/>
          <w:sz w:val="18"/>
          <w:szCs w:val="18"/>
          <w:color w:val="auto"/>
        </w:rPr>
        <w:t>(23,357)</w:t>
      </w:r>
      <w:r>
        <w:rPr>
          <w:sz w:val="20"/>
          <w:szCs w:val="20"/>
          <w:color w:val="auto"/>
        </w:rPr>
        <w:tab/>
      </w:r>
      <w:r>
        <w:rPr>
          <w:rFonts w:ascii="Arial" w:cs="Arial" w:eastAsia="Arial" w:hAnsi="Arial"/>
          <w:sz w:val="18"/>
          <w:szCs w:val="18"/>
          <w:color w:val="auto"/>
        </w:rPr>
        <w:t>(1,025,613)</w:t>
      </w:r>
    </w:p>
    <w:p>
      <w:pPr>
        <w:spacing w:after="0" w:line="23" w:lineRule="exact"/>
        <w:rPr>
          <w:sz w:val="20"/>
          <w:szCs w:val="20"/>
          <w:color w:val="auto"/>
        </w:rPr>
      </w:pPr>
    </w:p>
    <w:p>
      <w:pPr>
        <w:jc w:val="both"/>
        <w:ind w:left="265"/>
        <w:spacing w:after="0"/>
        <w:tabs>
          <w:tab w:leader="none" w:pos="1665" w:val="left"/>
        </w:tabs>
        <w:rPr>
          <w:sz w:val="20"/>
          <w:szCs w:val="20"/>
          <w:color w:val="auto"/>
        </w:rPr>
      </w:pPr>
      <w:r>
        <w:rPr>
          <w:rFonts w:ascii="Arial" w:cs="Arial" w:eastAsia="Arial" w:hAnsi="Arial"/>
          <w:sz w:val="18"/>
          <w:szCs w:val="18"/>
          <w:color w:val="auto"/>
        </w:rPr>
        <w:t>(10,623,913)</w:t>
      </w:r>
      <w:r>
        <w:rPr>
          <w:sz w:val="20"/>
          <w:szCs w:val="20"/>
          <w:color w:val="auto"/>
        </w:rPr>
        <w:tab/>
      </w:r>
      <w:r>
        <w:rPr>
          <w:rFonts w:ascii="Arial" w:cs="Arial" w:eastAsia="Arial" w:hAnsi="Arial"/>
          <w:sz w:val="18"/>
          <w:szCs w:val="18"/>
          <w:color w:val="auto"/>
        </w:rPr>
        <w:t>(2,135,400)</w:t>
      </w:r>
    </w:p>
    <w:p>
      <w:pPr>
        <w:spacing w:after="0" w:line="211" w:lineRule="exact"/>
        <w:rPr>
          <w:sz w:val="20"/>
          <w:szCs w:val="20"/>
          <w:color w:val="auto"/>
        </w:rPr>
      </w:pPr>
    </w:p>
    <w:p>
      <w:pPr>
        <w:ind w:left="645"/>
        <w:spacing w:after="0"/>
        <w:tabs>
          <w:tab w:leader="none" w:pos="1845" w:val="left"/>
        </w:tabs>
        <w:rPr>
          <w:sz w:val="20"/>
          <w:szCs w:val="20"/>
          <w:color w:val="auto"/>
        </w:rPr>
      </w:pPr>
      <w:r>
        <w:rPr>
          <w:rFonts w:ascii="Arial" w:cs="Arial" w:eastAsia="Arial" w:hAnsi="Arial"/>
          <w:sz w:val="18"/>
          <w:szCs w:val="18"/>
          <w:color w:val="auto"/>
        </w:rPr>
        <w:t>37,928</w:t>
      </w:r>
      <w:r>
        <w:rPr>
          <w:sz w:val="20"/>
          <w:szCs w:val="20"/>
          <w:color w:val="auto"/>
        </w:rPr>
        <w:tab/>
      </w:r>
      <w:r>
        <w:rPr>
          <w:rFonts w:ascii="Arial" w:cs="Arial" w:eastAsia="Arial" w:hAnsi="Arial"/>
          <w:sz w:val="18"/>
          <w:szCs w:val="18"/>
          <w:color w:val="auto"/>
        </w:rPr>
        <w:t>133,423</w:t>
      </w:r>
    </w:p>
    <w:p>
      <w:pPr>
        <w:spacing w:after="0" w:line="2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(330,980)</w:t>
      </w:r>
    </w:p>
    <w:p>
      <w:pPr>
        <w:spacing w:after="0" w:line="9" w:lineRule="exact"/>
        <w:rPr>
          <w:sz w:val="20"/>
          <w:szCs w:val="20"/>
          <w:color w:val="auto"/>
        </w:rPr>
      </w:pPr>
    </w:p>
    <w:p>
      <w:pPr>
        <w:jc w:val="both"/>
        <w:ind w:left="405"/>
        <w:spacing w:after="0"/>
        <w:tabs>
          <w:tab w:leader="none" w:pos="1965" w:val="left"/>
        </w:tabs>
        <w:rPr>
          <w:sz w:val="20"/>
          <w:szCs w:val="20"/>
          <w:color w:val="auto"/>
        </w:rPr>
      </w:pPr>
      <w:r>
        <w:rPr>
          <w:rFonts w:ascii="Arial" w:cs="Arial" w:eastAsia="Arial" w:hAnsi="Arial"/>
          <w:sz w:val="18"/>
          <w:szCs w:val="18"/>
          <w:color w:val="auto"/>
        </w:rPr>
        <w:t>6,694,687</w:t>
      </w:r>
      <w:r>
        <w:rPr>
          <w:sz w:val="20"/>
          <w:szCs w:val="20"/>
          <w:color w:val="auto"/>
        </w:rPr>
        <w:tab/>
      </w:r>
      <w:r>
        <w:rPr>
          <w:rFonts w:ascii="Arial" w:cs="Arial" w:eastAsia="Arial" w:hAnsi="Arial"/>
          <w:sz w:val="18"/>
          <w:szCs w:val="18"/>
          <w:color w:val="auto"/>
        </w:rPr>
        <w:t>(9,266)</w:t>
      </w:r>
    </w:p>
    <w:p>
      <w:pPr>
        <w:spacing w:after="0" w:line="9" w:lineRule="exact"/>
        <w:rPr>
          <w:sz w:val="20"/>
          <w:szCs w:val="20"/>
          <w:color w:val="auto"/>
        </w:rPr>
      </w:pPr>
    </w:p>
    <w:p>
      <w:pPr>
        <w:ind w:left="945"/>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(47,567)</w:t>
      </w:r>
    </w:p>
    <w:p>
      <w:pPr>
        <w:spacing w:after="0" w:line="22" w:lineRule="exact"/>
        <w:rPr>
          <w:sz w:val="20"/>
          <w:szCs w:val="20"/>
          <w:color w:val="auto"/>
        </w:rPr>
      </w:pPr>
    </w:p>
    <w:p>
      <w:pPr>
        <w:ind w:left="345"/>
        <w:spacing w:after="0"/>
        <w:rPr>
          <w:sz w:val="20"/>
          <w:szCs w:val="20"/>
          <w:color w:val="auto"/>
        </w:rPr>
      </w:pPr>
      <w:r>
        <w:rPr>
          <w:rFonts w:ascii="Arial" w:cs="Arial" w:eastAsia="Arial" w:hAnsi="Arial"/>
          <w:sz w:val="18"/>
          <w:szCs w:val="18"/>
          <w:b w:val="1"/>
          <w:bCs w:val="1"/>
          <w:color w:val="auto"/>
        </w:rPr>
        <w:t>(1,033,004)</w:t>
      </w:r>
      <w:r>
        <w:rPr>
          <w:rFonts w:ascii="Arial" w:cs="Arial" w:eastAsia="Arial" w:hAnsi="Arial"/>
          <w:sz w:val="16"/>
          <w:szCs w:val="16"/>
          <w:b w:val="1"/>
          <w:bCs w:val="1"/>
          <w:color w:val="auto"/>
        </w:rPr>
        <w:t>(984,160)</w:t>
      </w:r>
    </w:p>
    <w:p>
      <w:pPr>
        <w:spacing w:after="0" w:line="200" w:lineRule="exact"/>
        <w:rPr>
          <w:sz w:val="20"/>
          <w:szCs w:val="20"/>
          <w:color w:val="auto"/>
        </w:rPr>
      </w:pPr>
    </w:p>
    <w:p>
      <w:pPr>
        <w:spacing w:after="0" w:line="281" w:lineRule="exact"/>
        <w:rPr>
          <w:sz w:val="20"/>
          <w:szCs w:val="20"/>
          <w:color w:val="auto"/>
        </w:rPr>
      </w:pPr>
    </w:p>
    <w:tbl>
      <w:tblPr>
        <w:tblLayout w:type="fixed"/>
        <w:tblInd w:w="5"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184,489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824,873</w:t>
            </w:r>
          </w:p>
        </w:tc>
        <w:tc>
          <w:tcPr>
            <w:tcW w:w="6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197,126</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381,615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824,873</w:t>
            </w:r>
          </w:p>
        </w:tc>
        <w:tc>
          <w:tcPr>
            <w:tcW w:w="60" w:type="dxa"/>
            <w:vAlign w:val="bottom"/>
          </w:tcPr>
          <w:p>
            <w:pPr>
              <w:spacing w:after="0"/>
              <w:rPr>
                <w:sz w:val="19"/>
                <w:szCs w:val="19"/>
                <w:color w:val="auto"/>
              </w:rPr>
            </w:pPr>
          </w:p>
        </w:tc>
      </w:tr>
      <w:tr>
        <w:trPr>
          <w:trHeight w:val="634"/>
        </w:trPr>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321,500</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321,500</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1"/>
        </w:trPr>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(197,126)</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445,874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431"/>
        </w:trPr>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(205,515)</w:t>
            </w: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(159,287)</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214,811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1,093,184</w:t>
            </w:r>
          </w:p>
        </w:tc>
        <w:tc>
          <w:tcPr>
            <w:tcW w:w="6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9,296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933,897</w:t>
            </w:r>
          </w:p>
        </w:tc>
        <w:tc>
          <w:tcPr>
            <w:tcW w:w="6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95"/>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2,684,520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295,840</w:t>
            </w:r>
          </w:p>
        </w:tc>
        <w:tc>
          <w:tcPr>
            <w:tcW w:w="6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355"/>
            <w:col w:w="2525"/>
          </w:cols>
          <w:pgMar w:left="320" w:top="877" w:right="37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Stable Road Acquisition Corp. (the “Company” or “SRAC”) is a blank check company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two subsidiaries, Project Marvel First Merger Sub, Inc., a wholly-owned subsidiary of the Company incorporated in Delaware on September 29, 2020 (“First Merger Sub”) and Project Marvel Second Merger Sub, LLC, a wholly-owned subsidiary of the Company incorporated in Delaware on September 29, 2020 (“Second Merger Sub”). First Merger Sub and Second Merger Sub were formed in connection with the proposed business combination with Momentus Inc., a Delaware corporation (“Momentus”), as more fully discussed below.</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had not commenced any operations. All activity through June 30, 2021 relates to the Company’s formation, the initial public offering (“Initial Public Offering”), which is described below, identifying a target company for a Business Combination, and the proposed business combination with Momentus, as more fully discussed below.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of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Fitzgerald&amp; Co. (“Cantor”), the underwriter of the Initial Public Offering, generating gross proceeds of $5,450,000, which is described in Note 4.</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 (i) 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until August 13, 2021 to complete a Business Combination (the “Combination Period”), including the proposed business combination with Momentus.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7, 2020, SRAC entered into an Agreement and Plan of Merger, as amended on March 5, 2021, April 6, 2021 and June 29, 2021 (as it may be further amended and/or restated from time to time, the “Merger Agreement”), by and among SRAC, Project Marvel First Merger Sub, Inc., a Delaware corporation and wholly-owned subsidiary of SRAC (“First Merger Sub”), and Project Marvel Second Merger Sub, LLC, a Delaware limited liability company and wholly-owned subsidiary of SRAC (“Second Merger Sub”), and Momentus Inc., a Delaware corporation (“Momentus”), pursuant to which, among other things: (a) First Merger Sub will merge with and into Momentus (“First Merger”), with Momentus being the surviving corporation of the First Merger and (b) immediately following the First Merger and as part of the same overall transaction as the First Merger, Momentus will merge with and into Second Merger Sub (the “Second Merger” and, together with the First Merger, the “Mergers”), with Second Merger Sub being the surviving company of the Second Merger. The Merger Agreement, the Mergers and the other transactions contemplated by the Merger Agreement are referred to herein as the “Proposed Transaction.”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$566,600,000,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2020 and July 15, 2021, the Company entered into Subscription Agreements (as amended from time to time, the “Subscription Agreements”) with certain investors (the “PIPE Investors”) pursuant to which the investors have agreed to purchase an aggregate of 11,000,000 shares of Class A common stock in a private placement for $10.00 per share (the “Private Placement”). The Subscription Agreements also contemplate that the Company will issue to each PIPE Investor warrants to purchase one share of the Company’s Class A common stock at a price of $11.50 per share (subject to adjustment as described in the warrant agreement) for each share of Class A common stock purchased pursuant to such PIPE Investor’s Subscription Agreement. The proceeds from the Private Placement will be used to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Concurrently with the execution of the Merger Agreement, an investor of Momentus, the Company and Momentus entered into a repurchase agreement (the “Repurchase Agreement”) pursuant to which, amongst other things, the Company has agreed to repurchase a certain number of shares of Class A common stock from an investor of Momentus, at a purchase price of $10.00 per share, immediately following the Closing (the “Repurchase”). The contemplated Repurchase was terminated pursuant to the June 29, 2021 amendment to the Merger Agreement.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a Form 8-K on May 13, 2021 notifying shareholders of the approval to extend the date to consummate a business combination from May 13, 2021 to August 13, 2021. Shareholders redeemed 19,662 shares of common stock purchased in the Company’s initial public offering as part of the extension.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August 13, 2021 or the extension date, as applicable, to consummate a Business Combination. It is uncertain that the Company will be able to consummate a Business Combination by this time. If a Business Combination is not consummated by this date or the extension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the prescribed date. Management plans to continue its efforts in consummating a business combination by the prescribed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10-K/A for the year ended December 31, 2020 as filed with the SEC on June 10, 2021, which contains the consolidated financial statements and notes thereto. The financial information as of December 31, 2020 is derived from the consolidated financial statements presented in the Company’s Annual Report on Form 10-K/A for the year ended December 31, 2020. The interim results for the three and six months ended June 30, 2021 are not necessarily indicative of the results to be expected for the year ending December 31, 2021 or for any future interim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events.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June 30, 2021 and December 31, 2020, there were 11,395,368 and 11,126,916 shares of Class A common stock subject to possible redemption, respectively, presented as temporary equity, outside of the stockholders’ equity section of the Company’s condensed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Class A common stock issued were charged to stockholders’ equity upon the completion of the Initial Public Offering.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Topic 815, “Derivatives and Hedging” (“ASC 815”). 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paid-in-capital at the time of issuance. For issued or modified warrants that do not meet all the criteria for equity classification, the warrants are required to be recorded at their initial fair value on the date of issuance, and each balance sheet date thereafter. The Company accounts for the warrants issued in connection with its Initial Public Offering in accordance with the guidance contained in ASC 815-40-15-7D,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statements of operations. The fair value of the public warrants initially was estimated using a Post-Acquisition Simulation, with subsequent measurements utilizing the public trading price. The fair value of the private warrants was initially and subsequently measured using the Black-Scholes Model (see Note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shares of common stock outstanding for the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condensed consolidated statements of operations include a presentation of income (loss) per share for common shares subject to possible redemption in a manner similar to the two-class method of income (loss) per share. Net income per share, basic and diluted, for Class A redeemable common stock is calculated by dividing the interest income earned on the Trust Account net of applicable franchise and income taxes, by the weighted average number of Class A redeemable common stock outstanding since original issuance. Net loss per share, basic and diluted, for Class A and B non-redeemable common stock is calculated by dividing the net loss, adjusted for the net income attributable to Class A redeemable common stock, by the weighted average number of Class A and B non-redeemable common stock outstanding for the period. Class A and B non-redeemable common stock includes the Founder Shares as these shares do not have any redemption features and do not participate in the income earned on the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net income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r>
              <w:rPr>
                <w:rFonts w:ascii="Arial" w:cs="Arial" w:eastAsia="Arial" w:hAnsi="Arial"/>
                <w:sz w:val="18"/>
                <w:szCs w:val="18"/>
                <w:color w:val="auto"/>
              </w:rPr>
              <w:t>,</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i w:val="1"/>
                <w:iCs w:val="1"/>
                <w:color w:val="auto"/>
              </w:rPr>
              <w:t>Redeemable Class A Common Stock</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w w:val="98"/>
              </w:rPr>
              <w:t>Numerator: Net Income allocable to Redeemable Class A Common Stock</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355,824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1,025,613</w:t>
            </w:r>
          </w:p>
        </w:tc>
      </w:tr>
      <w:tr>
        <w:trPr>
          <w:trHeight w:val="202"/>
        </w:trPr>
        <w:tc>
          <w:tcPr>
            <w:tcW w:w="5980" w:type="dxa"/>
            <w:vAlign w:val="bottom"/>
          </w:tcPr>
          <w:p>
            <w:pPr>
              <w:ind w:left="340"/>
              <w:spacing w:after="0" w:line="201" w:lineRule="exact"/>
              <w:rPr>
                <w:sz w:val="20"/>
                <w:szCs w:val="20"/>
                <w:color w:val="auto"/>
              </w:rPr>
            </w:pPr>
            <w:r>
              <w:rPr>
                <w:rFonts w:ascii="Arial" w:cs="Arial" w:eastAsia="Arial" w:hAnsi="Arial"/>
                <w:sz w:val="18"/>
                <w:szCs w:val="18"/>
                <w:color w:val="auto"/>
                <w:w w:val="96"/>
              </w:rPr>
              <w:t>Less: Income and Franchise Tax available to be withdrawn from the Trust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5980" w:type="dxa"/>
            <w:vAlign w:val="bottom"/>
          </w:tcPr>
          <w:p>
            <w:pPr>
              <w:ind w:left="500"/>
              <w:spacing w:after="0"/>
              <w:rPr>
                <w:sz w:val="20"/>
                <w:szCs w:val="20"/>
                <w:color w:val="auto"/>
              </w:rPr>
            </w:pPr>
            <w:r>
              <w:rPr>
                <w:rFonts w:ascii="Arial" w:cs="Arial" w:eastAsia="Arial" w:hAnsi="Arial"/>
                <w:sz w:val="18"/>
                <w:szCs w:val="18"/>
                <w:color w:val="auto"/>
              </w:rPr>
              <w:t>Account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(4,311)</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(355,824)</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(23,357)</w:t>
            </w: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(1,025,613)</w:t>
            </w:r>
          </w:p>
        </w:tc>
      </w:tr>
      <w:tr>
        <w:trPr>
          <w:trHeight w:val="216"/>
        </w:trPr>
        <w:tc>
          <w:tcPr>
            <w:tcW w:w="5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Redeemable Net Income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Denominator: Weighted Average Redeemable Class A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Class A Common Stock, Basic and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17,240,709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17,245,329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17,250,000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Net Income/Basic and Diluted Redeemable Class A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Non-Redeemable Class A and B 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Income minus Net Income -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(2,884,835)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1,222,072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2,881,651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2,431,243</w:t>
            </w:r>
          </w:p>
        </w:tc>
      </w:tr>
      <w:tr>
        <w:trPr>
          <w:trHeight w:val="24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Redeemable Net Income - Basic</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5980" w:type="dxa"/>
            <w:vAlign w:val="bottom"/>
            <w:tcBorders>
              <w:top w:val="single" w:sz="8" w:color="CCEEFF"/>
            </w:tcBorders>
          </w:tcPr>
          <w:p>
            <w:pPr>
              <w:ind w:left="500"/>
              <w:spacing w:after="0" w:line="203" w:lineRule="exact"/>
              <w:rPr>
                <w:sz w:val="20"/>
                <w:szCs w:val="20"/>
                <w:color w:val="auto"/>
              </w:rPr>
            </w:pPr>
            <w:r>
              <w:rPr>
                <w:rFonts w:ascii="Arial" w:cs="Arial" w:eastAsia="Arial" w:hAnsi="Arial"/>
                <w:sz w:val="18"/>
                <w:szCs w:val="18"/>
                <w:color w:val="auto"/>
              </w:rPr>
              <w:t>Non-Redeemable Net Loss</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(2,884,835)</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1,222,072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2,881,651</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2,431,243</w:t>
            </w:r>
          </w:p>
        </w:tc>
        <w:tc>
          <w:tcPr>
            <w:tcW w:w="100" w:type="dxa"/>
            <w:vAlign w:val="bottom"/>
            <w:tcBorders>
              <w:top w:val="single" w:sz="8" w:color="CCEEFF"/>
            </w:tcBorders>
          </w:tcPr>
          <w:p>
            <w:pPr>
              <w:spacing w:after="0"/>
              <w:rPr>
                <w:sz w:val="17"/>
                <w:szCs w:val="17"/>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Denominator: Weighted Average Non-Redeemable Class A and B Common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Non-Redeemable Class A and B Common Stock,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4,857,500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4,857,500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4,857,500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4,857,500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Basic Non-Redeemable Class A and B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Class A and B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Numerator: Net Income minus Net Earnings - 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Non-Redeemable Net Income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(2,884,835)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1,222,072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2,881,651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2,431,243</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Less: Change in Fair Value of Derivative Liability</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(1,904,150)</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(1,185,700)</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(10,623,913)</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(2,135,400)</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Non-Redeemable Net Loss - Diluted</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(4,788,985)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(7,742,262)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8"/>
              </w:rPr>
              <w:t>Denominator: Weighted Average Non-Redeemable Class A and B Common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A and B Common Stock,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5,005,558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7,105,104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4,857,500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loss, Diluted Non-Redeemable Class A and B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weighted average shares outstanding was calculated using the treasury stock method utilizing a weighted average share price of $11.69 and $15.39 for the three and six months ended June 30, 2021, respectively and the effect of the warrants sold in the Initial Public Offering and the private placement to purchase an aggregate of 8,897,500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 the carrying amounts represented in the accompanying condensed balance sheets, primarily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 --debt with Conversion and Other Options (Subtopic 470-20) and Derivatives and Hedging --Contracts in Entity’ Own Equity (Subtopic 815-40): Accounting for Convertible Instruments and Contracts in an Entity’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On July 13, 2021, the Sponsor agreed to relinquish 250,000 Founder Shares pursuant to a settlement with the SEC (see Note 9, Subsequent Events).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 The funds from the Promissory Note are no longer available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12, 2021, the Sponsor and an unrelated party each provided $300,000 in non-interest-bearing promissory notes for an aggregate balance of $600,000 that is payable at the consummation of a business combination. On June 25, 2021, the Sponsor and an unrelated party each provided an additional $21,500 in non-interest-bearing promissory notes for an aggregate balance of $43,000 that is payable at the consummation of a business combination. As of June 30, 2021, the full balance of $643,500 of the notes remains unpaid. Borrowings under the Promissory Notes are no longer available.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In January 2021, the Sponsor forgave the accrued administrative fees accrued at December 31, 2020 of $30,000 and agreed to not collect any fees for the six months ended June 30, 2021. As such, no administrative fees were incurred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13, 2021, the SEC announced charges against the Company, which resulted in a settlement with the SEC for $1 million. This amount was accrued for within the Company’s accompanying condensed consolidated balance sheet (see Note 10).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As of June 30, 2021 and December 31, 2020, there were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As of June 30, 2021 and December 31, 2020, there were 6,379,970 and 6,668,084 shares of Class A common stock issued or outstanding, excluding 11,395,368 and 11,126,916 shares of common stock subject to possible redemption,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B common stock are entitled to one vote for each share. As of June 30, 2021 and December 31, 2020, there were 4,312,500 shares of Class B common stock issued and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2021 and December 31, 2020, there were 8,625,000 Public Warrants and 272,500 Private Placement Warrants outstanding to purchase an aggregate of 12,066,667 shares of Class A common stock which are contingent upon the occurrence of future events as discussed below.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480" w:hanging="903"/>
        <w:spacing w:after="0" w:line="308" w:lineRule="auto"/>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480" w:right="20" w:hanging="903"/>
        <w:spacing w:after="0" w:line="277"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consolidated balance sheets and adjusted for the amortization or accretion of premiums or discounts.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assets held in the Trust Account were comprised of $1,258 in cash and $172,748,233 in a Treasury Preferred Fund that invests in U.S. Treasury securities. During the three and six months ended June 30, 2021, the Company withdrew $184,489 of interest income from the Trust Account to pay for franchise taxes.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2020, assets held in the Trust Account were comprised of $636 in cash and $173,107,113 in U.S. Treasury securities. During the three and six months ended June 30, 2020, the Company withdrew $824,873 of interest income from the Trust Account to pay for franchise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gross holding gains and fair value of held-to-maturity securities at December 31, 2020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Holding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CCEEFF"/>
            </w:tcBorders>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Held-To-Maturity</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Treasury Securities</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  173,107,113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173,109,000</w:t>
            </w:r>
          </w:p>
        </w:tc>
        <w:tc>
          <w:tcPr>
            <w:tcW w:w="0" w:type="dxa"/>
            <w:vAlign w:val="bottom"/>
          </w:tcPr>
          <w:p>
            <w:pPr>
              <w:spacing w:after="0"/>
              <w:rPr>
                <w:sz w:val="1"/>
                <w:szCs w:val="1"/>
                <w:color w:val="auto"/>
              </w:rPr>
            </w:pPr>
          </w:p>
        </w:tc>
      </w:tr>
      <w:tr>
        <w:trPr>
          <w:trHeight w:val="21"/>
        </w:trPr>
        <w:tc>
          <w:tcPr>
            <w:tcW w:w="240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information about the Company’s liabilities that are measured at fair value on a recurring basis at June 30, 2021 and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Quoted Prices in Active</w:t>
            </w:r>
          </w:p>
        </w:tc>
      </w:tr>
      <w:tr>
        <w:trPr>
          <w:trHeight w:val="241"/>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Markets</w:t>
            </w:r>
          </w:p>
        </w:tc>
      </w:tr>
      <w:tr>
        <w:trPr>
          <w:trHeight w:val="198"/>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172,748,233</w:t>
            </w:r>
          </w:p>
        </w:tc>
      </w:tr>
      <w:tr>
        <w:trPr>
          <w:trHeight w:val="414"/>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320" w:type="dxa"/>
            <w:vAlign w:val="bottom"/>
          </w:tcPr>
          <w:p>
            <w:pPr>
              <w:spacing w:after="0"/>
              <w:rPr>
                <w:sz w:val="20"/>
                <w:szCs w:val="20"/>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b w:val="1"/>
                <w:bCs w:val="1"/>
                <w:color w:val="auto"/>
              </w:rPr>
              <w:t>Level</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Liabilities:</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36,225,000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45,625,388</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Warrant Liability – Private Placement Warrants</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1,228,975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2,452,500</w:t>
            </w:r>
          </w:p>
        </w:tc>
      </w:tr>
    </w:tbl>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established the initial fair value for the Warrants on November 13, 2019, the date of the Company’s Initial Public Offering, using a Black-Scholes Model for private warrants and a Post-Acquisition Simulation for public warrants. The Company allocated the proceeds received from (i) the sale of Units (which is inclusive of one share of common stock and one-third of one Public Warrant), (ii) the sale of Private Placement Warrants, and (iii) the issuance of common shares, first to the Warrants based on their fair values as determined at initial measurement, with the remaining proceeds allocated to common shares subject to possible redemption, and common shares based on their relative fair values at the initial measurement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w w:val="94"/>
              </w:rPr>
              <w:t>The key inputs into the Black-Scholes model for the Private Placement Warrants were as follows at June 30, 2021: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Holding period (years)</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Underlying value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2021, the Private Placement Warrants and Public Warrants were determined to be $4.51 and $4.20, respectively per warrant for aggregate values of $1.2 million and $36.2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 in fair value of Private Placement Warrants measured using Level 3 inputs for the six months ended 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Private</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Placement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ind w:left="100"/>
              <w:spacing w:after="0"/>
              <w:rPr>
                <w:sz w:val="20"/>
                <w:szCs w:val="20"/>
                <w:color w:val="auto"/>
              </w:rPr>
            </w:pPr>
            <w:r>
              <w:rPr>
                <w:rFonts w:ascii="Arial" w:cs="Arial" w:eastAsia="Arial" w:hAnsi="Arial"/>
                <w:sz w:val="18"/>
                <w:szCs w:val="18"/>
                <w:color w:val="auto"/>
              </w:rPr>
              <w:t>Change in valuation inputs or other assumptions</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(1,223,525)</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as of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other than described below, the Company did not identify subsequent events that would have required adjustment or disclosure in the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Settlement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13, 2021, the SEC announced charges against the Company, Momentus, and Momentus’s founder and former CEO, Mikhail Kokorich, for misleading claims about Momentus’s technology and about the U.S. government’s national security concerns about Mr. Kokorich. The SEC’s settled order finds that Momentus and Mr. Kokorich knowingly or recklessly made misrepresentations of material fact and misleading omissions in violation of antifraud provisions of U.S. federal securities laws, and that the Company negligently made misrepresentations of material fact and misleading omissions in violation of antifraud provisions of U.S. federal securities laws, as well as related reporting and proxy solicitation provisions. The SEC also announced charges against the Sponsor and Brian Kabot, finding that Mr. Kabot negligently violated provisions of U.S. federal securities laws related to proxy solicitations and that Mr. Kabot and the Sponsor caused the Company’s violation of negligence-based antifraud provisions of the federal securities laws.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Without admitting or denying the SEC’s findings, Momentus, the Company, Mr. Kabot, and the Sponsor consented to an order requiring them to cease and desist from future violations. Momentus will pay a civil penalty of $7.0 million, the Company will pay a civil penalty of $1.0 million, and Mr. Kabot will pay a civil penalty of $40,000. Momentus and the Company have also agreed to provide PIPE investors with the right to terminate their Subscription Agreements prior to the stockholder vote to approve the Proposed Transaction; the Sponsor has agreed to relinquish 250,000 founders’ shares it would otherwise have received upon consummation of the Proposed Transaction; and Momentus has agreed to undertakings requiring enhancements to its disclosure controls, including the creation of an independent board committee and retention of an internal compliance consultant for a period of two years.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$1.0 million civil penalty is included in accounts payable and accrued expenses within the accompanying condensed consolidated balance sheets as of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Litigation and Demands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December 3, 2020, a complaint was filed by a purported stockholder of the Company against the Company and its board of directors in the United States District Court for the Southern District of New York, in a case captioned </w:t>
      </w:r>
      <w:r>
        <w:rPr>
          <w:rFonts w:ascii="Arial" w:cs="Arial" w:eastAsia="Arial" w:hAnsi="Arial"/>
          <w:sz w:val="17"/>
          <w:szCs w:val="17"/>
          <w:i w:val="1"/>
          <w:iCs w:val="1"/>
          <w:color w:val="auto"/>
        </w:rPr>
        <w:t>Wallace v. Stable Road Acquisition Corp., et al.</w:t>
      </w:r>
      <w:r>
        <w:rPr>
          <w:rFonts w:ascii="Arial" w:cs="Arial" w:eastAsia="Arial" w:hAnsi="Arial"/>
          <w:sz w:val="17"/>
          <w:szCs w:val="17"/>
          <w:color w:val="auto"/>
        </w:rPr>
        <w:t xml:space="preserve">, No. 1:20-cv-10193. The complaint alleges that the Company’s Registration Statement, as filed on November 2, 2020, omitted certain material information regarding the Company’s planned transaction with Momentus, in violation of the securities laws. As relief, the complaint seeks an injunction barring the Company from proceeding with a stockholder vote or consummating the transaction absent additional disclosures, as well as unspecified costs and damages. A second complaint was filed by another purported stockholder of the Company against the Company and its board of directors in the Supreme Court of the State of New York for the County of New York, in a case captioned </w:t>
      </w:r>
      <w:r>
        <w:rPr>
          <w:rFonts w:ascii="Arial" w:cs="Arial" w:eastAsia="Arial" w:hAnsi="Arial"/>
          <w:sz w:val="17"/>
          <w:szCs w:val="17"/>
          <w:i w:val="1"/>
          <w:iCs w:val="1"/>
          <w:color w:val="auto"/>
        </w:rPr>
        <w:t>Ciccotelli v. Stable Road Acquisition Corp., et al.</w:t>
      </w:r>
      <w:r>
        <w:rPr>
          <w:rFonts w:ascii="Arial" w:cs="Arial" w:eastAsia="Arial" w:hAnsi="Arial"/>
          <w:sz w:val="17"/>
          <w:szCs w:val="17"/>
          <w:color w:val="auto"/>
        </w:rPr>
        <w:t>, No. 656895/2020, on December 9, 2020, raising similar allegations and seeking similar relief. In addition to the two complaints, the Company received three letters, dated November 9, 2020, November 19, 2020, and August 3, 2021, respectively, from purported stockholders raising similar allegations.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July 15, 2021, a purported stockholder of the Company filed a putative class action complaint against the Company, the Sponsor, Brian Kabot, James Norris, Momentus, and Mikhail Kokorich in the United States District Court for the Central District of California, in a case captioned Jensen v. Stable Road Acquisition Corp., et al., No. 2:21-cv-05744. The complaint alleges that the defendants omitted certain material information in their public statements and disclosures regarding the Proposed Transaction, in violation of the securities laws, and seeks damages on behalf of a putative class of stockholders who purchased the Company’s stock between October 7, 2020 and July 13, 2021. On July 22, 2021, and August 4, 2021, respectively, two other purported stockholders filed putative class action complaints in the same court, in cases captioned </w:t>
      </w:r>
      <w:r>
        <w:rPr>
          <w:rFonts w:ascii="Arial" w:cs="Arial" w:eastAsia="Arial" w:hAnsi="Arial"/>
          <w:sz w:val="18"/>
          <w:szCs w:val="18"/>
          <w:i w:val="1"/>
          <w:iCs w:val="1"/>
          <w:color w:val="auto"/>
        </w:rPr>
        <w:t>Hall v. Stable Road Acquisition Corp., et al.</w:t>
      </w:r>
      <w:r>
        <w:rPr>
          <w:rFonts w:ascii="Arial" w:cs="Arial" w:eastAsia="Arial" w:hAnsi="Arial"/>
          <w:sz w:val="18"/>
          <w:szCs w:val="18"/>
          <w:color w:val="auto"/>
        </w:rPr>
        <w:t xml:space="preserve">, No. 2:21-cv-05943, and </w:t>
      </w:r>
      <w:r>
        <w:rPr>
          <w:rFonts w:ascii="Arial" w:cs="Arial" w:eastAsia="Arial" w:hAnsi="Arial"/>
          <w:sz w:val="18"/>
          <w:szCs w:val="18"/>
          <w:i w:val="1"/>
          <w:iCs w:val="1"/>
          <w:color w:val="auto"/>
        </w:rPr>
        <w:t>Depoy v. Stable Road Acquisition Corp., et al.</w:t>
      </w:r>
      <w:r>
        <w:rPr>
          <w:rFonts w:ascii="Arial" w:cs="Arial" w:eastAsia="Arial" w:hAnsi="Arial"/>
          <w:sz w:val="18"/>
          <w:szCs w:val="18"/>
          <w:color w:val="auto"/>
        </w:rPr>
        <w:t>, No. 2:21-cv-06287, asserting substantially similar claims and seeking substantially similar relief. Other, similar suits may follow.</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20, 2021, a purported stockholder of the Company sent a letter demanding that the Company provide holders of the Company’s Class A Common Stock with a separate class vote on the Class A Share Increase Amendment. The Company has responded to this stockholder in writing to explain its view that the demand is without merit.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Stable Road Acquisition Corp. References to our “management” or our “management team” refer to our officers and directors, and references to the “Sponsor” refer to SRC-NI Holdings, LLC. The following discussion and analysis of the Company’s financial condition and results of operations should be read in conjunction with the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for the year ended December 31, 2020 filed with the SEC on June 10, 2021 and the definitive proxy statement/consent solicitation statement/prospectus filed with the SEC on July 23,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common stock resulted in the issuance of Class A shares on a greater than one-to-one basis upon conversion of the Class B common stock;</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may subordinate the rights of holders of our common stock if preferred stock is issued with rights senior to those afforded our common stock;</w:t>
      </w:r>
    </w:p>
    <w:p>
      <w:pPr>
        <w:spacing w:after="0" w:line="20" w:lineRule="exact"/>
        <w:rPr>
          <w:rFonts w:ascii="Arial" w:cs="Arial" w:eastAsia="Arial" w:hAnsi="Arial"/>
          <w:sz w:val="17"/>
          <w:szCs w:val="17"/>
          <w:color w:val="auto"/>
        </w:rPr>
      </w:pPr>
    </w:p>
    <w:p>
      <w:pPr>
        <w:ind w:left="66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Similarly, if we issue debt securities or otherwise incur significant debt to banks or other lenders or the owners of a target, it could result in:</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46"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7, 2020, we entered into the Agreement and Plan of Merger with Momentus Inc. (“Momentus”), Project Marvel First Merger Sub, Inc. and Project Marvel Second Merger Sub, Inc., as amended on March 5, 2021, April 6, 2021 and June 29, 2021 (as may be further amended and/or restated from time to time, the “Merger Agreement”). See Note 1 to Item 1 above for a description of the Merger Agreement and the transactions contemplated thereby.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our Initial Public Offering, described below, and identifying a target for our initial Business Combination.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we had net loss of $2,884,835, which consists of general and administrative expenses of $3,793,296 and an SEC settlement of $1,000,000, offset by interest income on marketable securities held in the Trust Account of $4,311 and a change in the fair value of warrant liabilities of $1,904,150.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we had net income of $2,881,651, which consists of change in the fair value of warrant liabilities of $10,623,913 and interest income on marketable securities held in the Trust Account of $23,357, offset by general and administrative expenses of $6,765,619 an SEC settlement of $1,000,000.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2020, we had net income of $1,222,072, which consists of change in fair value of warrant liabilities of $1,185,700 and interest income on marketable securities held in the Trust Account of $355,824, offset by general and administrative expenses of $315,695 and a provision for income taxes of $3,757.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For the six months ended June 30, 2020, we had a net income of $2,431,243, which consists of change in fair value of warrant liabilities of $2,135,400 and interest income on marketable securities held in Trust Account of $1,025,613, offset by general and administrative expenses of $552,574 and provision for income taxes of $177,196.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cash used in operating activities was $1,033,004. Net income of $2,881,651 was offset by interest earned on marketable securities held in the Trust Account of $23,357 and a change in the fair value of warrant liabilities of $10,623,913. Changes in operating assets and liabilities provided $6,732,615 of cash from operating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cash used in operating activities was $984,160. Net income of $2,431,243 was offset by interest earned on marketable securities held in the Trust Account of $1,025,613, a change in the fair value of warrant liabilities of $2,135,400, and changes in operating assets and liabilities, which provided $254,390 of cash from operating activities.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we had cash and marketable securities in the Trust Account of $172,749,491.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three and six months ended June 30, 2021, we withdrew $184,489 of interest income from the Trust Account to pay for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cash of $9,296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August 13, 2021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June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consolidated financial statements, and income and expenses during the periods reported. Actual results could materially differ from those estimates. We have identified the following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 We account for the Warrants in accordance with the guidance contained in ASC 815-40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Private Placement Warrants and the Public Warrants for periods where no observable traded price was available are valued using a Black-Scholes Option Pricing model. For periods subsequent to the detachment of the Public Warrants from the Units, the Public Warrant quoted market price was used as the fair value as of each relevant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common stock subject to possible redemption is presented as temporary equity, outside of the stockholders’ equity section of our condensed balance sheets.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(loss) per common share, basic and diluted, for Class A redeemable common stock is calculated by dividing the interest income earned on the Trust Account, net of applicable taxes, by the weighted average number of shares of Class A redeemable common stock outstanding for the period. Net income (loss) per common share, basic and diluted, for Class A and Class B non-redeemable common stock is calculated by dividing net income (loss) less income attributable to Class A redeemable common stock, by the weighted average number of shares of Class A and Class B non-redeemable common stock outstanding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2020, the FASB issued Accounting Standards Update (“ASU”) No. 2020-06, Debt --debt with Conversion and Other Options (Subtopic 470-20) and Derivatives and Hedging --Contracts in Entity’ Own Equity (Subtopic 815-40): Accounting for Convertible Instruments and Contracts in an Entity’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June 30, 2021. Based upon their evaluation, our Chief Executive Officer and Chief Financial Officer concluded that our disclosure controls and procedures (as defined in Rules 13a-15(e) and 15d-15(e) under the Exchange Act) were ineffective as of June 30, 2021, due solely to the material weakness in our internal control over financial reporting with respect to the classification of the Company’s Private Warrants as components of equity instead of as derivative liabilities. In light of this material weakness, we performed additional analysis as deemed necessary to ensure that our consolidated financial statements were prepared in accordance with U.S. GAAP.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and six months ended June 30, 2021, there has been no change in our internal control over financial reporting that has materially affected, or is reasonably likely to materially affect, our internal control over financial reporting, as the circumstances that led to the restatement of our consolidated financial statements described in our Annual Report on Form 10-K/A were identified during the second quarter of 2021 before the issuance of our amended Form 10-K.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As of June 30, 2021, the material weakness has not been remediated.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Litigation and Demands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December 3, 2020, a purported stockholder of SRAC filed a complaint against us and our board of directors in the United States District Court for the Southern District of New York, in a case captioned </w:t>
      </w:r>
      <w:r>
        <w:rPr>
          <w:rFonts w:ascii="Arial" w:cs="Arial" w:eastAsia="Arial" w:hAnsi="Arial"/>
          <w:sz w:val="17"/>
          <w:szCs w:val="17"/>
          <w:i w:val="1"/>
          <w:iCs w:val="1"/>
          <w:color w:val="auto"/>
        </w:rPr>
        <w:t>Wallace v. Stable Road Acquisition Corp., et al.</w:t>
      </w:r>
      <w:r>
        <w:rPr>
          <w:rFonts w:ascii="Arial" w:cs="Arial" w:eastAsia="Arial" w:hAnsi="Arial"/>
          <w:sz w:val="17"/>
          <w:szCs w:val="17"/>
          <w:color w:val="auto"/>
        </w:rPr>
        <w:t xml:space="preserve">, No. 1:20-cv-10193, alleging that our Registration Statement on Form S-4, originally filed with the SEC on November 2, 2020, as amended, omitted certain material information regarding the Proposed Transaction with Momentus, in violation of the securities laws. As relief, the complaint seeks an injunction barring us from proceeding with a stockholder vote with respect to, or consummating, the Proposed Transaction absent additional disclosures, as well as unspecified costs and damages. On December 9, 2020, another purported stockholder of filed a complaint against us and our board of directors in the Supreme Court of the State of New York for the County of New York, in a case captioned </w:t>
      </w:r>
      <w:r>
        <w:rPr>
          <w:rFonts w:ascii="Arial" w:cs="Arial" w:eastAsia="Arial" w:hAnsi="Arial"/>
          <w:sz w:val="17"/>
          <w:szCs w:val="17"/>
          <w:i w:val="1"/>
          <w:iCs w:val="1"/>
          <w:color w:val="auto"/>
        </w:rPr>
        <w:t>Ciccotelli v. Stable Road Acquisition Corp., et al.</w:t>
      </w:r>
      <w:r>
        <w:rPr>
          <w:rFonts w:ascii="Arial" w:cs="Arial" w:eastAsia="Arial" w:hAnsi="Arial"/>
          <w:sz w:val="17"/>
          <w:szCs w:val="17"/>
          <w:color w:val="auto"/>
        </w:rPr>
        <w:t xml:space="preserve">, No. 656895/2020, raising similar allegations and seeking similar relief as the complaint from the </w:t>
      </w:r>
      <w:r>
        <w:rPr>
          <w:rFonts w:ascii="Arial" w:cs="Arial" w:eastAsia="Arial" w:hAnsi="Arial"/>
          <w:sz w:val="17"/>
          <w:szCs w:val="17"/>
          <w:i w:val="1"/>
          <w:iCs w:val="1"/>
          <w:color w:val="auto"/>
        </w:rPr>
        <w:t>Wallace</w:t>
      </w:r>
      <w:r>
        <w:rPr>
          <w:rFonts w:ascii="Arial" w:cs="Arial" w:eastAsia="Arial" w:hAnsi="Arial"/>
          <w:sz w:val="17"/>
          <w:szCs w:val="17"/>
          <w:color w:val="auto"/>
        </w:rPr>
        <w:t xml:space="preserve"> action. In addition to the two complaints, the Company received three letters, dated November 9, 2020, November 19, 2020, and August 3, 2021, respectively, from purported stockholders raising similar allegations.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July 15, 2021, a purported stockholder of SRAC filed a putative class action complaint against SRAC, Sponsor, Brian Kabot, James Norris, Momentus, and Mikhail Kokorich in the United States District Court for the Central District of California, in a case captioned Jensen v. Stable Road Acquisition Corp., et al., No. 2:21-cv-05744. The complaint alleges that the defendants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 On July 22, 2021, and August 4, 2021, respectively, two other purported stockholders filed putative class action complaints in the same court, in cases captioned </w:t>
      </w:r>
      <w:r>
        <w:rPr>
          <w:rFonts w:ascii="Arial" w:cs="Arial" w:eastAsia="Arial" w:hAnsi="Arial"/>
          <w:sz w:val="18"/>
          <w:szCs w:val="18"/>
          <w:i w:val="1"/>
          <w:iCs w:val="1"/>
          <w:color w:val="auto"/>
        </w:rPr>
        <w:t>Hall v. Stable Road Acquisition Corp., et al.</w:t>
      </w:r>
      <w:r>
        <w:rPr>
          <w:rFonts w:ascii="Arial" w:cs="Arial" w:eastAsia="Arial" w:hAnsi="Arial"/>
          <w:sz w:val="18"/>
          <w:szCs w:val="18"/>
          <w:color w:val="auto"/>
        </w:rPr>
        <w:t xml:space="preserve">, No. 2:21-cv-05943, and </w:t>
      </w:r>
      <w:r>
        <w:rPr>
          <w:rFonts w:ascii="Arial" w:cs="Arial" w:eastAsia="Arial" w:hAnsi="Arial"/>
          <w:sz w:val="18"/>
          <w:szCs w:val="18"/>
          <w:i w:val="1"/>
          <w:iCs w:val="1"/>
          <w:color w:val="auto"/>
        </w:rPr>
        <w:t>Depoy v. Stable</w:t>
      </w:r>
      <w:r>
        <w:rPr>
          <w:rFonts w:ascii="Arial" w:cs="Arial" w:eastAsia="Arial" w:hAnsi="Arial"/>
          <w:sz w:val="18"/>
          <w:szCs w:val="18"/>
          <w:color w:val="auto"/>
        </w:rPr>
        <w:t xml:space="preserve"> </w:t>
      </w:r>
      <w:r>
        <w:rPr>
          <w:rFonts w:ascii="Arial" w:cs="Arial" w:eastAsia="Arial" w:hAnsi="Arial"/>
          <w:sz w:val="18"/>
          <w:szCs w:val="18"/>
          <w:i w:val="1"/>
          <w:iCs w:val="1"/>
          <w:color w:val="auto"/>
        </w:rPr>
        <w:t>Road Acquisition Corp., et al.</w:t>
      </w:r>
      <w:r>
        <w:rPr>
          <w:rFonts w:ascii="Arial" w:cs="Arial" w:eastAsia="Arial" w:hAnsi="Arial"/>
          <w:sz w:val="18"/>
          <w:szCs w:val="18"/>
          <w:color w:val="auto"/>
        </w:rPr>
        <w:t>, No. 2:21-cv-06287, asserting substantially similar claims and seeking substantially similar relief. Other, similar suits may</w:t>
      </w:r>
      <w:r>
        <w:rPr>
          <w:rFonts w:ascii="Arial" w:cs="Arial" w:eastAsia="Arial" w:hAnsi="Arial"/>
          <w:sz w:val="18"/>
          <w:szCs w:val="18"/>
          <w:i w:val="1"/>
          <w:iCs w:val="1"/>
          <w:color w:val="auto"/>
        </w:rPr>
        <w:t xml:space="preserve"> </w:t>
      </w:r>
      <w:r>
        <w:rPr>
          <w:rFonts w:ascii="Arial" w:cs="Arial" w:eastAsia="Arial" w:hAnsi="Arial"/>
          <w:sz w:val="18"/>
          <w:szCs w:val="18"/>
          <w:color w:val="auto"/>
        </w:rPr>
        <w:t>follow. Other, similar suits may follow.</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20, 2021, a purported stockholder of the Company sent a letter demanding that the Company provide holders of the Company’s Class A Common Stock with a separate class vote on the Class A Share Increase Amendment. The Company has responded to this stockholder in writing to explain its view that the demand is without merit.</w:t>
      </w:r>
      <w:r>
        <w:rPr>
          <w:rFonts w:ascii="Arial" w:cs="Arial" w:eastAsia="Arial" w:hAnsi="Arial"/>
          <w:sz w:val="18"/>
          <w:szCs w:val="18"/>
          <w:i w:val="1"/>
          <w:iCs w:val="1"/>
          <w:color w:val="auto"/>
        </w:rPr>
        <w:t>SEC Settlement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13, 2021, the SEC announced charges against SRAC, Momentus, and Momentus’s founder and former CEO, Mikhail Kokorich, for misleading claims about Momentus’s technology and about the U.S. government’s national security concerns about Mr. Kokorich. The SEC’s settled order finds that Momentus and Mr. Kokorich knowingly or recklessly made misrepresentations of material fact and misleading omissions in violation of antifraud provisions of U.S. federal securities laws, and that SRAC negligently made misrepresentations of material fact and misleading omissions in violation of antifraud provisions of U.S. federal securities laws, as well as related reporting and proxy solicitation provisions. The SEC also announced charges against the Sponsor and Brian Kabot, finding that Mr. Kabot negligently violated provisions of U.S. federal securities laws related to proxy solicitations and that Mr. Kabot and the Sponsor caused SRAC’s violation of negligence-based antifraud provisions of the federal securities laws. The SEC’s litigation is proceeding against Mr. Kokorich, against whom the SEC filed a complaint in the U.S. District Court for the District of Columbia. All parties except for Mr. Kokorich have settled with the SEC.</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According to the SEC’s settled order, Mr. Kokorich and Momentus misled SRAC’s investors, including PIPE Investors, in two respects. First, “Momentus and SRAC both claimed that in 2019, Momentus had ‘successfully tested’ in space its key technology, a microwave electro-thermal (“MET”) water plasma thruster, that Momentus claimed was designed to move a satellite into custom orbit after launch. In fact, that 2019 test failed to meet Momentus’s own public and internal pre-launch criteria for success, and was conducted on a prototype that was not designed to generate commercially significant amounts of thrust.” Second, the order finds that Momentus and Mr. Kokorich also misrepresented the extent to which national security concerns involving Mr. Kokorich undermined Momentus’ ability to secure required governmental licenses essential to its operations. In addition, the order finds that SRAC repeated Momentus’s misleading statements in public filings associated with the Business Combination and failed its due diligence obligations to investors. According to the order, while SRAC claimed to have conducted extensive due diligence of Momentus, it never reviewed the results of Momentus’s in-space test or received sufficient documents relevant to assessing the national security risks posed by Mr. Kokorich. The order finds that Mr. Kabot participated in SRAC’s inadequate due diligence and in filing its inaccurate registration statements and proxy solicitations. The SEC’s complaint against Mr. Kokorich includes factual allegations that are consistent with the findings in the order.</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Without admitting or denying the SEC’s findings, Momentus, SRAC, Mr. Kabot, and the Sponsor consented to an order requiring them to cease and desist from future violations. Momentus will pay a civil penalty of $7.0 million, SRAC will pay a civil penalty of $1.0 million, and Mr. Kabot will pay a civil penalty of $40,000. Momentus and SRAC have also agreed to provide PIPE Investors with the right to terminate their Subscription Agreements prior to the stockholder vote to approve the Business Combination with Momentus; the Sponsor has agreed to relinquish 250,000 founders’ shares it would otherwise have received upon consummation of the Business Combination with Momentus; and Momentus has agreed to undertakings requiring enhancements to its disclosure controls, including the creation of an independent board committee and retention of an internal compliance consultant for a period of two years.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to the knowledge of our management, there is no material litigation currently pending against us, any of our officers or directors in their capacity as such or against any of our property.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10-K/A for the year ended December 31, 2020 filed with the SEC on June 10, 2021, and the definitive proxy statement/consent solicitation statement/prospectus filed with the SEC on July 23, 2021. As of the date of this Report, there have been no material changes to the risk factors disclosed in our Annual Report on Form 10-K/A filed with the SEC, except for those described in the definitive proxy statement/consent solicitation statement/prospectus filed with the SEC on July 23,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80" w:type="dxa"/>
            <w:vAlign w:val="bottom"/>
            <w:gridSpan w:val="2"/>
          </w:tcPr>
          <w:p>
            <w:pPr>
              <w:ind w:left="780"/>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7"/>
            <w:shd w:val="clear" w:color="auto" w:fill="CCEEFF"/>
          </w:tcPr>
          <w:p>
            <w:pPr>
              <w:spacing w:after="0" w:line="17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Amendment No. 2 to Agreement and Plan of Merger, dated as of April 6, 2021, by and among Stable Road Acquisition Corp., Project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Marvel First Merger Sub, Inc., Project Marvel Second Merger Sub, LLC, and Momentus Inc. (incorporated by reference to SRAC’s Current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Report on Form 8-K, filed on April 8, 2021).</w:t>
              </w:r>
            </w:hyperlink>
          </w:p>
        </w:tc>
        <w:tc>
          <w:tcPr>
            <w:tcW w:w="686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7"/>
          </w:tcPr>
          <w:p>
            <w:pPr>
              <w:spacing w:after="0" w:line="176"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Amendment No. 3 to the Merger Agreement, dated as of June 29, 2021, by and among Parent, Project Marvel First Merger Sub, Inc.,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Project Marvel Second Merger Sub, LLC and Momentus Inc. (incorporated by reference to SRAC’s Current Report on Form 8-K,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June 29,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r:id="rId60">
              <w:r>
                <w:rPr>
                  <w:rFonts w:ascii="Arial" w:cs="Arial" w:eastAsia="Arial" w:hAnsi="Arial"/>
                  <w:sz w:val="18"/>
                  <w:szCs w:val="18"/>
                  <w:color w:val="0000EE"/>
                  <w:w w:val="94"/>
                </w:rPr>
                <w:t>Amendment to Amended and Restated Certificate of Incorporation (incorporated by reference to SRAC’s Current Report on Form 8-K,</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filed on May 13, 2021).</w:t>
              </w:r>
            </w:hyperlink>
          </w:p>
        </w:tc>
        <w:tc>
          <w:tcPr>
            <w:tcW w:w="838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7"/>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10080" w:type="dxa"/>
            <w:vAlign w:val="bottom"/>
            <w:tcBorders>
              <w:bottom w:val="single" w:sz="8" w:color="0000EE"/>
            </w:tcBorders>
            <w:gridSpan w:val="6"/>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2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7" w:lineRule="exact"/>
        <w:rPr>
          <w:sz w:val="20"/>
          <w:szCs w:val="20"/>
          <w:color w:val="auto"/>
        </w:rPr>
      </w:pPr>
    </w:p>
    <w:p>
      <w:pPr>
        <w:ind w:right="9800" w:firstLine="8"/>
        <w:spacing w:after="0" w:line="342" w:lineRule="auto"/>
        <w:tabs>
          <w:tab w:leader="none" w:pos="337"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STABLE ROAD ACQUISITION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James Norris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June 30, 2021,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June 30, 2021,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emdash "/>
      <w:numFmt w:val="bullet"/>
      <w:start w:val="1"/>
    </w:lvl>
  </w:abstractNum>
  <w:abstractNum w:abstractNumId="4">
    <w:nsid w:val="4DB127F8"/>
    <w:multiLevelType w:val="hybridMultilevel"/>
    <w:lvl w:ilvl="0">
      <w:lvlJc w:val="left"/>
      <w:lvlText w:val="\emdash "/>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58" Type="http://schemas.openxmlformats.org/officeDocument/2006/relationships/hyperlink" Target="http://www.sec.gov/Archives/edgar/data/1781162/000121390021020806/ea139255ex2-1_stableroad.htm" TargetMode="External"/><Relationship Id="rId59" Type="http://schemas.openxmlformats.org/officeDocument/2006/relationships/hyperlink" Target="http://www.sec.gov/Archives/edgar/data/1781162/000121390021034706/ea143483ex2-1_stableroad.htm" TargetMode="External"/><Relationship Id="rId60" Type="http://schemas.openxmlformats.org/officeDocument/2006/relationships/hyperlink" Target="http://www.sec.gov/Archives/edgar/data/1781162/000121390021026008/ea140812ex3-1_stableroad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2021-08-11T16:05:47Z</dcterms:created>
  <dcterms:modified xsi:type="dcterms:W3CDTF">2021-08-11T16:05:47Z</dcterms:modified>
</cp:coreProperties>
</file>