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31, 2022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Momentus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001-39128</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84-1905538</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40" w:type="dxa"/>
            <w:vAlign w:val="bottom"/>
            <w:gridSpan w:val="3"/>
          </w:tcPr>
          <w:p>
            <w:pPr>
              <w:jc w:val="center"/>
              <w:ind w:right="820"/>
              <w:spacing w:after="0"/>
              <w:rPr>
                <w:sz w:val="20"/>
                <w:szCs w:val="20"/>
                <w:color w:val="auto"/>
              </w:rPr>
            </w:pPr>
            <w:r>
              <w:rPr>
                <w:rFonts w:ascii="Arial" w:cs="Arial" w:eastAsia="Arial" w:hAnsi="Arial"/>
                <w:sz w:val="18"/>
                <w:szCs w:val="18"/>
                <w:color w:val="auto"/>
                <w:w w:val="93"/>
              </w:rPr>
              <w:t>incorporation or organization)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0"/>
              </w:rPr>
              <w:t>3901 N. First Street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San Jose, California</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95134</w:t>
            </w:r>
          </w:p>
        </w:tc>
      </w:tr>
      <w:tr>
        <w:trPr>
          <w:trHeight w:val="230"/>
        </w:trPr>
        <w:tc>
          <w:tcPr>
            <w:tcW w:w="44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564-7820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Stable Road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3257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1345 Abbot Kinney Blvd. Venice, California</w:t>
      </w:r>
    </w:p>
    <w:p>
      <w:pPr>
        <w:spacing w:after="0" w:line="23" w:lineRule="exact"/>
        <w:rPr>
          <w:sz w:val="24"/>
          <w:szCs w:val="24"/>
          <w:color w:val="auto"/>
        </w:rPr>
      </w:pPr>
    </w:p>
    <w:tbl>
      <w:tblPr>
        <w:tblLayout w:type="fixed"/>
        <w:tblInd w:w="2820" w:type="dxa"/>
        <w:tblCellMar>
          <w:top w:w="0" w:type="dxa"/>
          <w:left w:w="0" w:type="dxa"/>
          <w:bottom w:w="0" w:type="dxa"/>
          <w:right w:w="0" w:type="dxa"/>
        </w:tblCellMar>
      </w:tblPr>
      <w:tr>
        <w:trPr>
          <w:trHeight w:val="230"/>
        </w:trPr>
        <w:tc>
          <w:tcPr>
            <w:tcW w:w="2820" w:type="dxa"/>
            <w:vAlign w:val="bottom"/>
            <w:tcBorders>
              <w:top w:val="single" w:sz="8" w:color="auto"/>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2020</w:t>
            </w:r>
          </w:p>
        </w:tc>
        <w:tc>
          <w:tcPr>
            <w:tcW w:w="28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rPr>
              <w:t>90291</w:t>
            </w:r>
          </w:p>
        </w:tc>
      </w:tr>
    </w:tbl>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12(g)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MNTS</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Capital Market LLC</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Warrants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MNTSW</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The Nasdaq Capital Market LLC</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May 31, 2022, Momentus, Inc. (the “Company”) held its 2022 Annual Meeting of Stockholders. A quorum was present at the meeting. The final results of voting for each matter submitted to a vote of stockholders at the Annual Meeting are set forth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Election of Three Directors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Voting Results for the election of directors were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Broker</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Momentus Nominees</w:t>
            </w:r>
          </w:p>
        </w:tc>
        <w:tc>
          <w:tcPr>
            <w:tcW w:w="1360" w:type="dxa"/>
            <w:vAlign w:val="bottom"/>
            <w:gridSpan w:val="2"/>
          </w:tcPr>
          <w:p>
            <w:pPr>
              <w:ind w:left="480"/>
              <w:spacing w:after="0"/>
              <w:rPr>
                <w:sz w:val="20"/>
                <w:szCs w:val="20"/>
                <w:color w:val="auto"/>
              </w:rPr>
            </w:pPr>
            <w:r>
              <w:rPr>
                <w:rFonts w:ascii="Arial" w:cs="Arial" w:eastAsia="Arial" w:hAnsi="Arial"/>
                <w:sz w:val="18"/>
                <w:szCs w:val="18"/>
                <w:b w:val="1"/>
                <w:bCs w:val="1"/>
                <w:color w:val="auto"/>
              </w:rPr>
              <w:t>For</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Withheld</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Non-Votes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Kabot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23,296,620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1,970,978</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16,882,532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Mitchel B. Kugler</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25,054,874</w:t>
            </w:r>
          </w:p>
        </w:tc>
        <w:tc>
          <w:tcPr>
            <w:tcW w:w="1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2"/>
              </w:rPr>
              <w:t>212,724</w:t>
            </w: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16,882,532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A. Reed</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25,062,323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205,275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16,882,532</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Accordingly, all three of the Company’s nominees were elected to serve as directors of the Company until the 2025 Meeting of Stockholders and until their respective successors are appointed, elected and qualified.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Ratification of Appointment of Auditors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Ratification of the appointment of Armanino LLP as the Company’s independent registered public accounting firm for the 2022 fiscal year was approved by the following vote: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t>
            </w:r>
          </w:p>
        </w:tc>
        <w:tc>
          <w:tcPr>
            <w:tcW w:w="4140" w:type="dxa"/>
            <w:vAlign w:val="bottom"/>
            <w:gridSpan w:val="2"/>
          </w:tcPr>
          <w:p>
            <w:pPr>
              <w:ind w:left="1660"/>
              <w:spacing w:after="0"/>
              <w:rPr>
                <w:sz w:val="20"/>
                <w:szCs w:val="20"/>
                <w:color w:val="auto"/>
              </w:rPr>
            </w:pPr>
            <w:r>
              <w:rPr>
                <w:rFonts w:ascii="Arial" w:cs="Arial" w:eastAsia="Arial" w:hAnsi="Arial"/>
                <w:sz w:val="18"/>
                <w:szCs w:val="18"/>
                <w:b w:val="1"/>
                <w:bCs w:val="1"/>
                <w:color w:val="auto"/>
              </w:rPr>
              <w:t>Against</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16"/>
        </w:trPr>
        <w:tc>
          <w:tcPr>
            <w:tcW w:w="350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rPr>
              <w:t>41,792,516</w:t>
            </w:r>
          </w:p>
        </w:tc>
        <w:tc>
          <w:tcPr>
            <w:tcW w:w="24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259,033</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98,581</w:t>
            </w:r>
          </w:p>
        </w:tc>
      </w:tr>
      <w:tr>
        <w:trPr>
          <w:trHeight w:val="655"/>
        </w:trPr>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June 1, 2022</w:t>
      </w:r>
      <w:r>
        <w:rPr>
          <w:sz w:val="20"/>
          <w:szCs w:val="20"/>
          <w:color w:val="auto"/>
        </w:rPr>
        <w:tab/>
      </w:r>
      <w:r>
        <w:rPr>
          <w:rFonts w:ascii="Arial" w:cs="Arial" w:eastAsia="Arial" w:hAnsi="Arial"/>
          <w:sz w:val="18"/>
          <w:szCs w:val="18"/>
          <w:b w:val="1"/>
          <w:bCs w:val="1"/>
          <w:color w:val="auto"/>
        </w:rPr>
        <w:t>MOMENTUS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Jikun Kim</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60"/>
      </w:cols>
      <w:pgMar w:left="320" w:top="90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2022-06-02T05:15:01Z</dcterms:created>
  <dcterms:modified xsi:type="dcterms:W3CDTF">2022-06-02T05:15:01Z</dcterms:modified>
</cp:coreProperties>
</file>