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jc w:val="center"/>
        <w:ind w:left="3880" w:right="940" w:hanging="2932"/>
        <w:spacing w:after="0" w:line="438" w:lineRule="auto"/>
        <w:tabs>
          <w:tab w:leader="none" w:pos="115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98"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35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780" w:type="dxa"/>
            <w:vAlign w:val="bottom"/>
          </w:tcPr>
          <w:p>
            <w:pPr>
              <w:ind w:left="460"/>
              <w:spacing w:after="0"/>
              <w:rPr>
                <w:sz w:val="20"/>
                <w:szCs w:val="20"/>
                <w:color w:val="auto"/>
              </w:rPr>
            </w:pPr>
            <w:r>
              <w:rPr>
                <w:rFonts w:ascii="Arial" w:cs="Arial" w:eastAsia="Arial" w:hAnsi="Arial"/>
                <w:sz w:val="18"/>
                <w:szCs w:val="18"/>
                <w:b w:val="1"/>
                <w:bCs w:val="1"/>
                <w:color w:val="auto"/>
              </w:rPr>
              <w:t>to</w:t>
            </w:r>
          </w:p>
        </w:tc>
      </w:tr>
      <w:tr>
        <w:trPr>
          <w:trHeight w:val="310"/>
        </w:trPr>
        <w:tc>
          <w:tcPr>
            <w:tcW w:w="3560" w:type="dxa"/>
            <w:vAlign w:val="bottom"/>
            <w:gridSpan w:val="2"/>
          </w:tcPr>
          <w:p>
            <w:pPr>
              <w:ind w:left="700"/>
              <w:spacing w:after="0"/>
              <w:rPr>
                <w:sz w:val="20"/>
                <w:szCs w:val="20"/>
                <w:color w:val="auto"/>
              </w:rPr>
            </w:pPr>
            <w:r>
              <w:rPr>
                <w:rFonts w:ascii="Arial" w:cs="Arial" w:eastAsia="Arial" w:hAnsi="Arial"/>
                <w:sz w:val="18"/>
                <w:szCs w:val="18"/>
                <w:b w:val="1"/>
                <w:bCs w:val="1"/>
                <w:color w:val="auto"/>
                <w:w w:val="90"/>
              </w:rPr>
              <w:t>Commission File Number: 001-39128</w:t>
            </w:r>
          </w:p>
        </w:tc>
      </w:tr>
      <w:tr>
        <w:trPr>
          <w:trHeight w:val="20"/>
        </w:trPr>
        <w:tc>
          <w:tcPr>
            <w:tcW w:w="2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1345 Abbot Kinney Blvd.</w:t>
            </w:r>
          </w:p>
        </w:tc>
        <w:tc>
          <w:tcPr>
            <w:tcW w:w="3560" w:type="dxa"/>
            <w:vAlign w:val="bottom"/>
          </w:tcPr>
          <w:p>
            <w:pPr>
              <w:spacing w:after="0"/>
              <w:rPr>
                <w:sz w:val="24"/>
                <w:szCs w:val="24"/>
                <w:color w:val="auto"/>
              </w:rPr>
            </w:pPr>
          </w:p>
        </w:tc>
      </w:tr>
      <w:tr>
        <w:trPr>
          <w:trHeight w:val="241"/>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Venice, California</w:t>
            </w:r>
          </w:p>
        </w:tc>
        <w:tc>
          <w:tcPr>
            <w:tcW w:w="3560" w:type="dxa"/>
            <w:vAlign w:val="bottom"/>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1"/>
              </w:rPr>
              <w:t>(Zip Code)</w:t>
            </w:r>
          </w:p>
        </w:tc>
      </w:tr>
      <w:tr>
        <w:trPr>
          <w:trHeight w:val="344"/>
        </w:trPr>
        <w:tc>
          <w:tcPr>
            <w:tcW w:w="7680" w:type="dxa"/>
            <w:vAlign w:val="bottom"/>
            <w:tcBorders>
              <w:bottom w:val="single" w:sz="8" w:color="auto"/>
            </w:tcBorders>
            <w:gridSpan w:val="3"/>
          </w:tcPr>
          <w:p>
            <w:pPr>
              <w:jc w:val="right"/>
              <w:ind w:right="1500"/>
              <w:spacing w:after="0"/>
              <w:rPr>
                <w:sz w:val="20"/>
                <w:szCs w:val="20"/>
                <w:color w:val="auto"/>
              </w:rPr>
            </w:pPr>
            <w:r>
              <w:rPr>
                <w:rFonts w:ascii="Arial" w:cs="Arial" w:eastAsia="Arial" w:hAnsi="Arial"/>
                <w:sz w:val="18"/>
                <w:szCs w:val="18"/>
                <w:b w:val="1"/>
                <w:bCs w:val="1"/>
                <w:color w:val="auto"/>
              </w:rPr>
              <w:t>(883) 478-2253</w:t>
            </w:r>
          </w:p>
        </w:tc>
        <w:tc>
          <w:tcPr>
            <w:tcW w:w="3560" w:type="dxa"/>
            <w:vAlign w:val="bottom"/>
            <w:tcBorders>
              <w:bottom w:val="single" w:sz="8" w:color="auto"/>
            </w:tcBorders>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8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w:t>
            </w:r>
          </w:p>
        </w:tc>
        <w:tc>
          <w:tcPr>
            <w:tcW w:w="24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SRACU</w:t>
            </w:r>
          </w:p>
        </w:tc>
        <w:tc>
          <w:tcPr>
            <w:tcW w:w="24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Common Stock and one-half of one Redeemable</w:t>
            </w: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30"/>
        </w:trPr>
        <w:tc>
          <w:tcPr>
            <w:tcW w:w="4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Warrant</w:t>
            </w:r>
          </w:p>
        </w:tc>
        <w:tc>
          <w:tcPr>
            <w:tcW w:w="3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Class A Common Stock, par value $0.0001 per share</w:t>
            </w:r>
          </w:p>
        </w:tc>
        <w:tc>
          <w:tcPr>
            <w:tcW w:w="37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SRAC</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0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Redeemable Warrants, each whole warrant</w:t>
            </w:r>
          </w:p>
        </w:tc>
        <w:tc>
          <w:tcPr>
            <w:tcW w:w="37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5"/>
              </w:rPr>
              <w:t>SRACW</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exercisable for one share of Class A Common Stock</w:t>
            </w: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30"/>
        </w:trPr>
        <w:tc>
          <w:tcPr>
            <w:tcW w:w="4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at an exercise price of $11.50</w:t>
            </w:r>
          </w:p>
        </w:tc>
        <w:tc>
          <w:tcPr>
            <w:tcW w:w="3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8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As of August 11, 2020, there were 17,795,000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4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STABLE ROAD ACQUISITION CORP.</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40" w:type="dxa"/>
            <w:vAlign w:val="bottom"/>
          </w:tcPr>
          <w:p>
            <w:pPr>
              <w:jc w:val="center"/>
              <w:ind w:left="930"/>
              <w:spacing w:after="0"/>
              <w:rPr>
                <w:sz w:val="20"/>
                <w:szCs w:val="20"/>
                <w:color w:val="auto"/>
              </w:rPr>
            </w:pPr>
            <w:r>
              <w:rPr>
                <w:rFonts w:ascii="Arial" w:cs="Arial" w:eastAsia="Arial" w:hAnsi="Arial"/>
                <w:sz w:val="18"/>
                <w:szCs w:val="18"/>
                <w:b w:val="1"/>
                <w:bCs w:val="1"/>
                <w:color w:val="auto"/>
                <w:w w:val="97"/>
              </w:rPr>
              <w:t>FORM 10-Q FOR THE QUARTER ENDED JUNE 30, 2020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4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40" w:type="dxa"/>
            <w:vAlign w:val="bottom"/>
            <w:vMerge w:val="restart"/>
          </w:tcPr>
          <w:p>
            <w:pPr>
              <w:spacing w:after="0"/>
              <w:rPr>
                <w:sz w:val="20"/>
                <w:szCs w:val="20"/>
                <w:color w:val="auto"/>
              </w:rPr>
            </w:pPr>
            <w:r>
              <w:rPr>
                <w:rFonts w:ascii="Arial" w:cs="Arial" w:eastAsia="Arial" w:hAnsi="Arial"/>
                <w:sz w:val="18"/>
                <w:szCs w:val="18"/>
                <w:color w:val="auto"/>
              </w:rPr>
              <w:t>Part I. Financial Information</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2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10240" w:type="dxa"/>
            <w:vAlign w:val="bottom"/>
          </w:tcPr>
          <w:p>
            <w:pPr>
              <w:ind w:left="3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3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Statements of Operations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10240" w:type="dxa"/>
            <w:vAlign w:val="bottom"/>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Changes in Stockholders’ Equity (unaudited)</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Cash Flows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10240" w:type="dxa"/>
            <w:vAlign w:val="bottom"/>
          </w:tcPr>
          <w:p>
            <w:pPr>
              <w:ind w:left="3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10240" w:type="dxa"/>
            <w:vAlign w:val="bottom"/>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3. Quantitative and Qualitative Disclosures About Market Risk</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 Controls and Procedures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10240" w:type="dxa"/>
            <w:vAlign w:val="bottom"/>
          </w:tcPr>
          <w:p>
            <w:pPr>
              <w:ind w:left="180"/>
              <w:spacing w:after="0"/>
              <w:rPr>
                <w:sz w:val="20"/>
                <w:szCs w:val="20"/>
                <w:color w:val="auto"/>
              </w:rPr>
            </w:pPr>
            <w:r>
              <w:rPr>
                <w:rFonts w:ascii="Arial" w:cs="Arial" w:eastAsia="Arial" w:hAnsi="Arial"/>
                <w:sz w:val="18"/>
                <w:szCs w:val="18"/>
                <w:color w:val="auto"/>
              </w:rPr>
              <w:t>Part II. Other Information</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 Legal Proceedings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24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 Risk Factors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Unregistered Sales of Equity Securities and Use of Proceeds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24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Defaults Upon Senior Securities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Mine Safety Disclosures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240" w:type="dxa"/>
            <w:vAlign w:val="bottom"/>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5. Other Information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6. Exhibits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30"/>
        </w:trPr>
        <w:tc>
          <w:tcPr>
            <w:tcW w:w="1024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Signatures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STABLE ROAD ACQUISITION CORP.</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933,897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1,093,184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135,193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268,616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330,980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1,400,070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1,361,800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173,046,751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172,846,011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174,446,821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174,207,811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7,038,476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7,095,309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Class A common stock subject to possible redemption, 16,240,834 and 16,211,250 shares at $10.00 per share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redemption value at June 30, 2020 and December 31, 2019,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162,408,340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162,112,500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Class A common stock, $0.0001 par value; 100,000,000 shares authorized; 1,554,166 and 1,583,750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5"/>
              </w:rPr>
              <w:t>outstanding (excluding 16,240,834 and 16,211,250 shares subject to possible redemption) at June 30, 2020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4,312,500 shares issued and outstanding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2020 and December 31, 2019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4,641,217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4,937,054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358,202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174,446,821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174,207,811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4"/>
              </w:rPr>
              <w:t>May 28, 2019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Through June</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315,695</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552,574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(315,695)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(552,574)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355,824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1,025,613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40,129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473,039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(177,196)</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36,372</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295,843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line="256" w:lineRule="exact"/>
              <w:rPr>
                <w:sz w:val="20"/>
                <w:szCs w:val="20"/>
                <w:color w:val="auto"/>
              </w:rPr>
            </w:pPr>
            <w:r>
              <w:rPr>
                <w:rFonts w:ascii="Arial" w:cs="Arial" w:eastAsia="Arial" w:hAnsi="Arial"/>
                <w:sz w:val="18"/>
                <w:szCs w:val="18"/>
                <w:color w:val="auto"/>
                <w:w w:val="93"/>
              </w:rPr>
              <w:t xml:space="preserve">Weighted average shares outstanding of Class A and Class B non-redeemable common stock </w:t>
            </w:r>
            <w:r>
              <w:rPr>
                <w:rFonts w:ascii="Arial" w:cs="Arial" w:eastAsia="Arial" w:hAnsi="Arial"/>
                <w:sz w:val="29"/>
                <w:szCs w:val="29"/>
                <w:color w:val="auto"/>
                <w:w w:val="93"/>
                <w:vertAlign w:val="superscript"/>
              </w:rPr>
              <w:t>(1)</w:t>
            </w:r>
          </w:p>
        </w:tc>
        <w:tc>
          <w:tcPr>
            <w:tcW w:w="180" w:type="dxa"/>
            <w:vAlign w:val="bottom"/>
          </w:tcPr>
          <w:p>
            <w:pPr>
              <w:spacing w:after="0"/>
              <w:rPr>
                <w:sz w:val="24"/>
                <w:szCs w:val="24"/>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4,857,500</w:t>
            </w:r>
          </w:p>
        </w:tc>
        <w:tc>
          <w:tcPr>
            <w:tcW w:w="10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4,857,500</w:t>
            </w:r>
          </w:p>
        </w:tc>
        <w:tc>
          <w:tcPr>
            <w:tcW w:w="10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A and Class B</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June 30, 2019, excluded up to 562,500 shares subject to forfeiture if the over-allotment option was not exercised in full or in part by the underwriter.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left="340" w:right="2500"/>
        <w:spacing w:after="0" w:line="275" w:lineRule="auto"/>
        <w:rPr>
          <w:sz w:val="20"/>
          <w:szCs w:val="20"/>
          <w:color w:val="auto"/>
        </w:rPr>
      </w:pPr>
      <w:r>
        <w:rPr>
          <w:rFonts w:ascii="Arial" w:cs="Arial" w:eastAsia="Arial" w:hAnsi="Arial"/>
          <w:sz w:val="18"/>
          <w:szCs w:val="18"/>
          <w:b w:val="1"/>
          <w:bCs w:val="1"/>
          <w:color w:val="auto"/>
        </w:rPr>
        <w:t>STABLE ROAD ACQUISITION CORP. CONDENSED STATEMENTS OF CHANGES IN STOCKHOLDERS’ EQUITY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6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Class 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87"/>
              </w:rPr>
              <w:t>Class 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Additional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440" w:type="dxa"/>
            <w:vAlign w:val="bottom"/>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gridSpan w:val="6"/>
          </w:tcPr>
          <w:p>
            <w:pPr>
              <w:jc w:val="center"/>
              <w:ind w:left="290"/>
              <w:spacing w:after="0"/>
              <w:rPr>
                <w:sz w:val="20"/>
                <w:szCs w:val="20"/>
                <w:color w:val="auto"/>
              </w:rPr>
            </w:pPr>
            <w:r>
              <w:rPr>
                <w:rFonts w:ascii="Arial" w:cs="Arial" w:eastAsia="Arial" w:hAnsi="Arial"/>
                <w:sz w:val="18"/>
                <w:szCs w:val="18"/>
                <w:b w:val="1"/>
                <w:bCs w:val="1"/>
                <w:color w:val="auto"/>
                <w:w w:val="89"/>
              </w:rPr>
              <w:t>Common Stock</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Paid-in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7"/>
        </w:trPr>
        <w:tc>
          <w:tcPr>
            <w:tcW w:w="34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rPr>
              <w:t>1,583,750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$ 4,937,054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Change in value of common stock subject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possible redemption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(25,947)</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(259,468)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(259,470)</w:t>
            </w: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259,471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259,471</w:t>
            </w:r>
          </w:p>
        </w:tc>
      </w:tr>
      <w:tr>
        <w:trPr>
          <w:trHeight w:val="216"/>
        </w:trPr>
        <w:tc>
          <w:tcPr>
            <w:tcW w:w="34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1,557,803</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156</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4,312,500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431</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4,677,586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321,830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5,000,003</w:t>
            </w: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Change in value of common stock subject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possible redemption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(3,637)</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(36,369)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(36,370)</w:t>
            </w: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36,372</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36,372</w:t>
            </w:r>
          </w:p>
        </w:tc>
      </w:tr>
      <w:tr>
        <w:trPr>
          <w:trHeight w:val="216"/>
        </w:trPr>
        <w:tc>
          <w:tcPr>
            <w:tcW w:w="34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1,554,166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155</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4,312,500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431</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$ 4,641,217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358,202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5,000,005</w:t>
            </w:r>
          </w:p>
        </w:tc>
      </w:tr>
      <w:tr>
        <w:trPr>
          <w:trHeight w:val="21"/>
        </w:trPr>
        <w:tc>
          <w:tcPr>
            <w:tcW w:w="3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9060" w:type="dxa"/>
            <w:vAlign w:val="bottom"/>
            <w:gridSpan w:val="24"/>
          </w:tcPr>
          <w:p>
            <w:pPr>
              <w:jc w:val="right"/>
              <w:ind w:right="47"/>
              <w:spacing w:after="0"/>
              <w:rPr>
                <w:sz w:val="20"/>
                <w:szCs w:val="20"/>
                <w:color w:val="auto"/>
              </w:rPr>
            </w:pPr>
            <w:r>
              <w:rPr>
                <w:rFonts w:ascii="Arial" w:cs="Arial" w:eastAsia="Arial" w:hAnsi="Arial"/>
                <w:sz w:val="18"/>
                <w:szCs w:val="18"/>
                <w:b w:val="1"/>
                <w:bCs w:val="1"/>
                <w:color w:val="auto"/>
              </w:rPr>
              <w:t>FOR THE PERIOD FROM MAY 28, 2019 (INCEPTION) THROUGH JUNE 30, 2019</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87"/>
              </w:rPr>
              <w:t>Class B</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Common Stock</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6"/>
        </w:trPr>
        <w:tc>
          <w:tcPr>
            <w:tcW w:w="3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Shares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Capital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28, 2019 (inception)</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454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Issuance of Class B common stock to Sponsor </w:t>
            </w:r>
            <w:r>
              <w:rPr>
                <w:rFonts w:ascii="Arial" w:cs="Arial" w:eastAsia="Arial" w:hAnsi="Arial"/>
                <w:sz w:val="29"/>
                <w:szCs w:val="29"/>
                <w:color w:val="auto"/>
                <w:vertAlign w:val="superscript"/>
              </w:rPr>
              <w:t>(1)</w:t>
            </w:r>
          </w:p>
        </w:tc>
        <w:tc>
          <w:tcPr>
            <w:tcW w:w="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4,312,500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431</w:t>
            </w:r>
          </w:p>
        </w:tc>
        <w:tc>
          <w:tcPr>
            <w:tcW w:w="6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r>
      <w:tr>
        <w:trPr>
          <w:trHeight w:val="216"/>
        </w:trPr>
        <w:tc>
          <w:tcPr>
            <w:tcW w:w="34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2019</w:t>
            </w: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4,312,500</w:t>
            </w:r>
          </w:p>
        </w:tc>
        <w:tc>
          <w:tcPr>
            <w:tcW w:w="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431</w:t>
            </w:r>
          </w:p>
        </w:tc>
        <w:tc>
          <w:tcPr>
            <w:tcW w:w="6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24,569</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(865</w:t>
            </w:r>
            <w:r>
              <w:rPr>
                <w:rFonts w:ascii="Arial" w:cs="Arial" w:eastAsia="Arial" w:hAnsi="Arial"/>
                <w:sz w:val="29"/>
                <w:szCs w:val="29"/>
                <w:b w:val="1"/>
                <w:bCs w:val="1"/>
                <w:color w:val="auto"/>
                <w:vertAlign w:val="superscript"/>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24,135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260" w:right="1200" w:hanging="2252"/>
        <w:spacing w:after="0" w:line="623" w:lineRule="auto"/>
        <w:tabs>
          <w:tab w:leader="none" w:pos="47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up to 562,500 shares subject to forfeiture if the over-allotment option was not exercised in full or in part by the underwriter. The accompanying notes are an integral part of the unaudited condensed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880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080" w:type="dxa"/>
            <w:vAlign w:val="bottom"/>
          </w:tcPr>
          <w:p>
            <w:pPr>
              <w:spacing w:after="0"/>
              <w:rPr>
                <w:sz w:val="18"/>
                <w:szCs w:val="18"/>
                <w:color w:val="auto"/>
              </w:rPr>
            </w:pP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1080" w:type="dxa"/>
            <w:vAlign w:val="bottom"/>
          </w:tcPr>
          <w:p>
            <w:pPr>
              <w:spacing w:after="0"/>
              <w:rPr>
                <w:sz w:val="18"/>
                <w:szCs w:val="18"/>
                <w:color w:val="auto"/>
              </w:rPr>
            </w:pP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May 28, 2019</w:t>
            </w:r>
          </w:p>
        </w:tc>
      </w:tr>
      <w:tr>
        <w:trPr>
          <w:trHeight w:val="216"/>
        </w:trPr>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Six Months</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0</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Formation costs paid by Sponsor</w:t>
      </w:r>
    </w:p>
    <w:p>
      <w:pPr>
        <w:spacing w:after="0" w:line="9" w:lineRule="exact"/>
        <w:rPr>
          <w:sz w:val="20"/>
          <w:szCs w:val="20"/>
          <w:color w:val="auto"/>
        </w:rPr>
      </w:pPr>
    </w:p>
    <w:p>
      <w:pPr>
        <w:ind w:left="180" w:right="3300"/>
        <w:spacing w:after="0" w:line="250" w:lineRule="auto"/>
        <w:rPr>
          <w:sz w:val="20"/>
          <w:szCs w:val="20"/>
          <w:color w:val="auto"/>
        </w:rPr>
      </w:pPr>
      <w:r>
        <w:rPr>
          <w:rFonts w:ascii="Arial" w:cs="Arial" w:eastAsia="Arial" w:hAnsi="Arial"/>
          <w:sz w:val="18"/>
          <w:szCs w:val="18"/>
          <w:color w:val="auto"/>
        </w:rPr>
        <w:t>Interest earned on marketable securities held in Trust Account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Prepaid income taxes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taxes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520" w:val="left"/>
          <w:tab w:leader="none" w:pos="132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295,843</w:t>
        <w:tab/>
        <w:t>$</w:t>
      </w:r>
      <w:r>
        <w:rPr>
          <w:sz w:val="20"/>
          <w:szCs w:val="20"/>
          <w:color w:val="auto"/>
        </w:rPr>
        <w:tab/>
      </w:r>
      <w:r>
        <w:rPr>
          <w:rFonts w:ascii="Arial" w:cs="Arial" w:eastAsia="Arial" w:hAnsi="Arial"/>
          <w:sz w:val="17"/>
          <w:szCs w:val="17"/>
          <w:color w:val="auto"/>
        </w:rPr>
        <w:t>(865)</w:t>
      </w:r>
    </w:p>
    <w:p>
      <w:pPr>
        <w:spacing w:after="0" w:line="200" w:lineRule="exact"/>
        <w:rPr>
          <w:sz w:val="20"/>
          <w:szCs w:val="20"/>
          <w:color w:val="auto"/>
        </w:rPr>
      </w:pPr>
    </w:p>
    <w:p>
      <w:pPr>
        <w:spacing w:after="0" w:line="241" w:lineRule="exact"/>
        <w:rPr>
          <w:sz w:val="20"/>
          <w:szCs w:val="20"/>
          <w:color w:val="auto"/>
        </w:rPr>
      </w:pPr>
    </w:p>
    <w:p>
      <w:pPr>
        <w:ind w:left="340"/>
        <w:spacing w:after="0"/>
        <w:tabs>
          <w:tab w:leader="none" w:pos="2160" w:val="left"/>
        </w:tabs>
        <w:rPr>
          <w:sz w:val="20"/>
          <w:szCs w:val="20"/>
          <w:color w:val="auto"/>
        </w:rPr>
      </w:pPr>
      <w:r>
        <w:rPr>
          <w:rFonts w:ascii="Arial" w:cs="Arial" w:eastAsia="Arial" w:hAnsi="Arial"/>
          <w:sz w:val="18"/>
          <w:szCs w:val="18"/>
          <w:color w:val="auto"/>
        </w:rPr>
        <w:t>(1,025,613)</w:t>
      </w:r>
      <w:r>
        <w:rPr>
          <w:sz w:val="20"/>
          <w:szCs w:val="20"/>
          <w:color w:val="auto"/>
        </w:rPr>
        <w:tab/>
      </w:r>
      <w:r>
        <w:rPr>
          <w:rFonts w:ascii="Arial" w:cs="Arial" w:eastAsia="Arial" w:hAnsi="Arial"/>
          <w:sz w:val="18"/>
          <w:szCs w:val="18"/>
          <w:color w:val="auto"/>
        </w:rPr>
        <w:t>865</w:t>
      </w:r>
    </w:p>
    <w:p>
      <w:pPr>
        <w:spacing w:after="0" w:line="221"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133,423</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(330,980)</w:t>
      </w:r>
    </w:p>
    <w:p>
      <w:pPr>
        <w:spacing w:after="0" w:line="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(9,266)</w:t>
      </w:r>
      <w:r>
        <w:rPr>
          <w:sz w:val="20"/>
          <w:szCs w:val="20"/>
          <w:color w:val="auto"/>
        </w:rPr>
        <w:tab/>
      </w:r>
      <w:r>
        <w:rPr>
          <w:rFonts w:ascii="Arial" w:cs="Arial" w:eastAsia="Arial" w:hAnsi="Arial"/>
          <w:sz w:val="18"/>
          <w:szCs w:val="18"/>
          <w:b w:val="1"/>
          <w:bCs w:val="1"/>
          <w:color w:val="auto"/>
        </w:rPr>
        <w:t>—</w:t>
      </w:r>
    </w:p>
    <w:p>
      <w:pPr>
        <w:spacing w:after="0" w:line="9"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(47,567)</w:t>
      </w:r>
      <w:r>
        <w:rPr>
          <w:sz w:val="20"/>
          <w:szCs w:val="20"/>
          <w:color w:val="auto"/>
        </w:rPr>
        <w:tab/>
      </w:r>
      <w:r>
        <w:rPr>
          <w:rFonts w:ascii="Arial" w:cs="Arial" w:eastAsia="Arial" w:hAnsi="Arial"/>
          <w:sz w:val="18"/>
          <w:szCs w:val="18"/>
          <w:b w:val="1"/>
          <w:bCs w:val="1"/>
          <w:color w:val="auto"/>
        </w:rPr>
        <w:t>—</w:t>
      </w:r>
    </w:p>
    <w:p>
      <w:pPr>
        <w:spacing w:after="0" w:line="23"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b w:val="1"/>
          <w:bCs w:val="1"/>
          <w:color w:val="auto"/>
        </w:rPr>
        <w:t>(984,160)</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0"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824,873</w:t>
      </w:r>
      <w:r>
        <w:rPr>
          <w:sz w:val="20"/>
          <w:szCs w:val="20"/>
          <w:color w:val="auto"/>
        </w:rPr>
        <w:tab/>
      </w:r>
      <w:r>
        <w:rPr>
          <w:rFonts w:ascii="Arial" w:cs="Arial" w:eastAsia="Arial" w:hAnsi="Arial"/>
          <w:sz w:val="18"/>
          <w:szCs w:val="18"/>
          <w:b w:val="1"/>
          <w:bCs w:val="1"/>
          <w:color w:val="auto"/>
        </w:rPr>
        <w:t>—</w:t>
      </w:r>
    </w:p>
    <w:p>
      <w:pPr>
        <w:spacing w:after="0" w:line="36"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b w:val="1"/>
          <w:bCs w:val="1"/>
          <w:color w:val="auto"/>
        </w:rPr>
        <w:t>824,873</w:t>
      </w:r>
      <w:r>
        <w:rPr>
          <w:sz w:val="20"/>
          <w:szCs w:val="20"/>
          <w:color w:val="auto"/>
        </w:rPr>
        <w:tab/>
      </w:r>
      <w:r>
        <w:rPr>
          <w:rFonts w:ascii="Arial" w:cs="Arial" w:eastAsia="Arial" w:hAnsi="Arial"/>
          <w:sz w:val="18"/>
          <w:szCs w:val="18"/>
          <w:b w:val="1"/>
          <w:bCs w:val="1"/>
          <w:color w:val="auto"/>
        </w:rPr>
        <w:t>—</w:t>
      </w:r>
    </w:p>
    <w:p>
      <w:pPr>
        <w:spacing w:after="0" w:line="252"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b w:val="1"/>
          <w:bCs w:val="1"/>
          <w:color w:val="auto"/>
        </w:rPr>
        <w:t>(159,287)</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ind w:left="400"/>
        <w:spacing w:after="0"/>
        <w:tabs>
          <w:tab w:leader="none" w:pos="2260" w:val="left"/>
        </w:tabs>
        <w:rPr>
          <w:sz w:val="20"/>
          <w:szCs w:val="20"/>
          <w:color w:val="auto"/>
        </w:rPr>
      </w:pPr>
      <w:r>
        <w:rPr>
          <w:rFonts w:ascii="Arial" w:cs="Arial" w:eastAsia="Arial" w:hAnsi="Arial"/>
          <w:sz w:val="18"/>
          <w:szCs w:val="18"/>
          <w:color w:val="auto"/>
        </w:rPr>
        <w:t>1,093,184</w:t>
      </w:r>
      <w:r>
        <w:rPr>
          <w:sz w:val="20"/>
          <w:szCs w:val="20"/>
          <w:color w:val="auto"/>
        </w:rPr>
        <w:tab/>
      </w:r>
      <w:r>
        <w:rPr>
          <w:rFonts w:ascii="Arial" w:cs="Arial" w:eastAsia="Arial" w:hAnsi="Arial"/>
          <w:sz w:val="18"/>
          <w:szCs w:val="18"/>
          <w:b w:val="1"/>
          <w:bCs w:val="1"/>
          <w:color w:val="auto"/>
        </w:rPr>
        <w:t>—</w:t>
      </w:r>
    </w:p>
    <w:p>
      <w:pPr>
        <w:spacing w:after="0" w:line="58" w:lineRule="exact"/>
        <w:rPr>
          <w:sz w:val="20"/>
          <w:szCs w:val="20"/>
          <w:color w:val="auto"/>
        </w:rPr>
      </w:pPr>
    </w:p>
    <w:p>
      <w:pPr>
        <w:spacing w:after="0"/>
        <w:tabs>
          <w:tab w:leader="none" w:pos="520" w:val="left"/>
          <w:tab w:leader="none" w:pos="2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933,897</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657,590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295,840</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included in accrued offering costs</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w:t>
            </w: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paid directly by Sponsor from proceeds from issuance of Class B common stock</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Stable Road Acquisition Corp. (the “Company”)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is focusing its search on companies in the cannabis industry.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2020, the Company had not commenced any operations. All activity through June 30, 2020 relates to the Company’s formation, the initial public offering (“Initial Public Offering”), which is described below, and identifying a target company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 &amp; Co. (“Cantor”), the underwriter of the Initial Public Offering, generating gross proceeds of $5,450,000, which is described in Note 4.</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 In addition, as of June 30, 2020, cash of $933,897 was held outside of the Trust Account (as defined below) and is available for working capital purposes.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 (i) 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have until May 13, 2021 to complete a Business Combination (the “Combination Period”).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May 13, 2021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May 13,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2019 as filed with the SEC on March 26,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and six months ended June 30, 2020 are not necessarily indicative of the results to be expected for the year ending December 31, 2020 or for any future interim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June 30, 2020 and December 31, 2019, there were 16,240,834 and 16,211,250 shares of Class A common stock subject to possible redemption, respectively, presented as temporary equity, outside of the stockholders’ equity section of the Company’s condensed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closing date of the Initial Public Offering that are directly related to the Initial Public Offering. Offering costs amounting to $10,924,857 were charged to stockholders’ equity upon the completion of the Initial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shares of common stock outstanding for the period. The Company has not considered the effect of warrants sold in the Initial Public Offering and as part of the Placement Units to purchase 8,897,500 shares of Class A common stock in the calculation of diluted income (loss) per share, since the exercise of such warrants are contingent upon the occurrence of future events and the inclusion of such warrants would be anti-dilutive.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statement of operations includes a presentation of income (loss) per share for common shares subject to redemption in a manner similar to the two-class method of income per share. Net income per common share, basic and diluted, for Class A redeemable common stock held by Public Stockholders for the three and six months ended June 30, 2020 is calculated by dividing the interest income earned on the Trust Account of $355,824 and $1,025,613, respectively, net of applicable franchise and income taxes of approximately $54,000 and $277,000, respectively, for the three and six months ended June 30, 2020, by the weighted average number of shares of Class A redeemable common stock held by Public Stockholders since issuance. Net loss per common share, basic and diluted, for Class A and Class B non-redeemable common stock is calculated by dividing net income for the three and six months ended June 30, 2020 of $36,372 and $295,843, less income attributable to Class A redeemable common stock of $302,067 and $748,417, respectively, by the weighted average number of Class A and Class B non-redeemable common stock outstanding for the period. Class A and Class B non-redeemable common stock includes the Founder Shares and the shares included in the Placement Units as these shares do not have any redemption features and do not participate in the income earned on the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June 30, 2020 and December 31, 2019,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63"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June 30,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For the three and six months ended June 30, 2020, the Company incurred $30,000 and $60,000, respectively, in fees for these services, of which $80,000 and $20,000, are included in accrued expenses in the accompanying condensed balance sheets at June 30, 2020 and December 31,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June 30, 2020 and December 31, 2019, there were no shares of preferred stock issued or outstanding.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A common stock are entitled to one vote for each share. At June 30, 2020 and December 31, 2019, there were 1,554,166 and 1,583,750 shares of Class A common stock issued or outstanding, excluding 16,240,834 and 16,211,250 shares of common stock subject to possible redemption, respectively.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B common stock are entitled to one vote for each share. At June 30, 2020 and December 31, 2019, there were 4,312,500 shares of Class B common stock issued and outstanding.</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Public Warrants may only be exercised for a whole number of shares. No fractional warrants will be issued upon separation of the Units and</w:t>
      </w:r>
      <w:r>
        <w:rPr>
          <w:rFonts w:ascii="Arial" w:cs="Arial" w:eastAsia="Arial" w:hAnsi="Arial"/>
          <w:sz w:val="16"/>
          <w:szCs w:val="16"/>
          <w:b w:val="1"/>
          <w:bCs w:val="1"/>
          <w:color w:val="auto"/>
        </w:rPr>
        <w:t xml:space="preserve"> </w:t>
      </w:r>
      <w:r>
        <w:rPr>
          <w:rFonts w:ascii="Arial" w:cs="Arial" w:eastAsia="Arial" w:hAnsi="Arial"/>
          <w:sz w:val="16"/>
          <w:szCs w:val="16"/>
          <w:color w:val="auto"/>
        </w:rPr>
        <w:t>only whole warrants will trade. The Public Warrants will become exercisable on the later of (a) 30 days after the completion of a Business Combination or</w:t>
      </w:r>
    </w:p>
    <w:p>
      <w:pPr>
        <w:spacing w:after="0" w:line="1" w:lineRule="exact"/>
        <w:rPr>
          <w:sz w:val="20"/>
          <w:szCs w:val="20"/>
          <w:color w:val="auto"/>
        </w:rPr>
      </w:pPr>
    </w:p>
    <w:p>
      <w:pPr>
        <w:ind w:firstLine="8"/>
        <w:spacing w:after="0" w:line="260"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800" w:hanging="33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800" w:hanging="33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 w:lineRule="exact"/>
        <w:rPr>
          <w:rFonts w:ascii="Arial" w:cs="Arial" w:eastAsia="Arial" w:hAnsi="Arial"/>
          <w:sz w:val="18"/>
          <w:szCs w:val="18"/>
          <w:color w:val="auto"/>
        </w:rPr>
      </w:pPr>
    </w:p>
    <w:p>
      <w:pPr>
        <w:ind w:left="800" w:hanging="333"/>
        <w:spacing w:after="0" w:line="323"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23"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assets held in the Trust Account were comprised of $111 in cash and $173,046,640 in U.S. Treasury securities. During the six months ended June 30, 2020, the Company withdrew $824,873 of interest income from the Trust Account to pay for franchise taxes.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assets held in the Trust Account were comprised of $873 in cash and $172,845,138 in U.S. Treasury securities. During the period from May 28, 2019 (inception) through December 31, 2019, the Company did not withdraw any interest income from the Trust Account.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gross holding gains and fair value of held-to-maturity securities at June 30, 2020 and December 31,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940" w:type="dxa"/>
            <w:vAlign w:val="bottom"/>
            <w:tcBorders>
              <w:bottom w:val="single" w:sz="8" w:color="CCEEFF"/>
            </w:tcBorders>
          </w:tcPr>
          <w:p>
            <w:pPr>
              <w:spacing w:after="0"/>
              <w:rPr>
                <w:sz w:val="20"/>
                <w:szCs w:val="20"/>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Held-To-Maturity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Borders>
              <w:bottom w:val="single" w:sz="8" w:color="CCEEFF"/>
            </w:tcBorders>
          </w:tcPr>
          <w:p>
            <w:pPr>
              <w:spacing w:after="0"/>
              <w:rPr>
                <w:sz w:val="20"/>
                <w:szCs w:val="20"/>
                <w:color w:val="auto"/>
              </w:rPr>
            </w:pPr>
          </w:p>
        </w:tc>
      </w:tr>
      <w:tr>
        <w:trPr>
          <w:trHeight w:val="26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June 30, 2020</w:t>
            </w:r>
          </w:p>
        </w:tc>
        <w:tc>
          <w:tcPr>
            <w:tcW w:w="5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Treasury Securities (Mature on 11/12/2020)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173,046,640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173,034,849</w:t>
            </w:r>
          </w:p>
        </w:tc>
      </w:tr>
      <w:tr>
        <w:trPr>
          <w:trHeight w:val="21"/>
        </w:trPr>
        <w:tc>
          <w:tcPr>
            <w:tcW w:w="19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9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54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U.S. Treasury Securities (Mature on 5/14/2020)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172,845,138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13,410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172,858,548</w:t>
            </w:r>
          </w:p>
        </w:tc>
      </w:tr>
      <w:tr>
        <w:trPr>
          <w:trHeight w:val="21"/>
        </w:trPr>
        <w:tc>
          <w:tcPr>
            <w:tcW w:w="19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60" w:hanging="890"/>
        <w:spacing w:after="0" w:line="308" w:lineRule="auto"/>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360" w:right="20" w:hanging="890"/>
        <w:spacing w:after="0" w:line="277" w:lineRule="auto"/>
        <w:tabs>
          <w:tab w:leader="none" w:pos="1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subsequent events that would have required adjustment or disclosure in the condensed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Stable Road Acquisition Corp. References to our “management” or our “management team” refer to our officers and directors, and references to the “Sponsor” refer to SRC-NI Holdings,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2019 filed with the SEC on March 26,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jc w:val="both"/>
        <w:ind w:left="1020" w:hanging="337"/>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common stock resulted in the issuance of Class A shares on a greater than one-to-one basis upon conversion of the Class B common stock;</w:t>
      </w:r>
    </w:p>
    <w:p>
      <w:pPr>
        <w:spacing w:after="0" w:line="2"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32" w:lineRule="exact"/>
        <w:rPr>
          <w:rFonts w:ascii="Arial" w:cs="Arial" w:eastAsia="Arial" w:hAnsi="Arial"/>
          <w:sz w:val="16"/>
          <w:szCs w:val="16"/>
          <w:color w:val="auto"/>
        </w:rPr>
      </w:pPr>
    </w:p>
    <w:p>
      <w:pPr>
        <w:ind w:left="1020" w:hanging="337"/>
        <w:spacing w:after="0" w:line="28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 w:lineRule="exact"/>
        <w:rPr>
          <w:rFonts w:ascii="Arial" w:cs="Arial" w:eastAsia="Arial" w:hAnsi="Arial"/>
          <w:sz w:val="16"/>
          <w:szCs w:val="16"/>
          <w:color w:val="auto"/>
        </w:rPr>
      </w:pPr>
    </w:p>
    <w:p>
      <w:pPr>
        <w:ind w:left="1020" w:hanging="337"/>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debt to banks or other lenders or the owners of a target, it could result in:</w:t>
      </w:r>
    </w:p>
    <w:p>
      <w:pPr>
        <w:spacing w:after="0" w:line="225" w:lineRule="exact"/>
        <w:rPr>
          <w:sz w:val="20"/>
          <w:szCs w:val="20"/>
          <w:color w:val="auto"/>
        </w:rPr>
      </w:pPr>
    </w:p>
    <w:p>
      <w:pPr>
        <w:ind w:left="1020" w:right="20" w:hanging="337"/>
        <w:spacing w:after="0" w:line="25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 w:lineRule="exact"/>
        <w:rPr>
          <w:rFonts w:ascii="Arial" w:cs="Arial" w:eastAsia="Arial" w:hAnsi="Arial"/>
          <w:sz w:val="18"/>
          <w:szCs w:val="18"/>
          <w:color w:val="auto"/>
        </w:rPr>
      </w:pPr>
    </w:p>
    <w:p>
      <w:pPr>
        <w:ind w:left="1020" w:hanging="337"/>
        <w:spacing w:after="0" w:line="265"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1020" w:hanging="33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9" w:lineRule="exact"/>
        <w:rPr>
          <w:rFonts w:ascii="Arial" w:cs="Arial" w:eastAsia="Arial" w:hAnsi="Arial"/>
          <w:sz w:val="18"/>
          <w:szCs w:val="18"/>
          <w:color w:val="auto"/>
        </w:rPr>
      </w:pPr>
    </w:p>
    <w:p>
      <w:pPr>
        <w:ind w:left="1020" w:right="20" w:hanging="337"/>
        <w:spacing w:after="0" w:line="25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ind w:left="1020" w:hanging="33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1020" w:hanging="337"/>
        <w:spacing w:after="0" w:line="25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2" w:lineRule="exact"/>
        <w:rPr>
          <w:rFonts w:ascii="Arial" w:cs="Arial" w:eastAsia="Arial" w:hAnsi="Arial"/>
          <w:sz w:val="18"/>
          <w:szCs w:val="18"/>
          <w:color w:val="auto"/>
        </w:rPr>
      </w:pPr>
    </w:p>
    <w:p>
      <w:pPr>
        <w:ind w:left="1020" w:hanging="33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1020" w:hanging="337"/>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ind w:left="1020" w:hanging="337"/>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ind w:left="1020" w:hanging="33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our Initial Public Offering, described below, and identifying a target for our initial Business Combination.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2020, we had net income of $36,372, which consists of interest income on marketable securities held in the trust account (“Trust Account”) of $355,824, offset by operating costs of $315,695 and a provision for income taxes of $3,757.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2020, we had net income of $295,843, which consists of interest income on marketable securities held in the Trust Account of $1,025,613, offset by operating costs of $552,574 and a provision for income taxes of $177,196.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May 28, 2019 (inception) through June 30, 2019, we had net loss of $865, which consists of formation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cash used in operating activities was $984,160. Net income of $295,843 was offset by interest earned on marketable securities held in the Trust Account of $1,025,613 and changes in operating assets and liabilities, which used $254,390 of cash from operating activities.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2020, we had cash and marketable securities in the Trust Account of $173,046,751.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six months ended June 30, 2020, we withdrew $824,873 of interest income from the Trust Account to pay for franchise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we had cash of $933,897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May 13, 2021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common stock subject to possible redemption is presented as temporary equity, outside of the stockholders’ equity section of our condensed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2020. Based upon their evaluation, our Chief Executive Officer and Chief Financial Officer concluded that our disclosure controls and procedures (as defined in Rules 13a-15(e) and 15d-15(e)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2019 filed with the SEC on March 26, 2020. As of the date of this Report, other than as described below, there have been no material changes to the risk factors disclosed in our Annual Report filed with the SEC.</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11, 2020, the World Health Organization officially declared the outbreak of the COVID-19 a “pandemic.” COVID-19 has caused a widespread health crisis that has adversely affected the economies and financial markets worldwide as well as the businesses of many potential business combination targets.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Section 302 of the Sarbanes-Oxley 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240"/>
          </w:cols>
          <w:pgMar w:left="320" w:top="904" w:right="339" w:bottom="0" w:gutter="0" w:footer="0" w:header="0"/>
        </w:sectPr>
      </w:pPr>
    </w:p>
    <w:bookmarkStart w:id="20" w:name="page21"/>
    <w:bookmarkEnd w:id="20"/>
    <w:p>
      <w:pPr>
        <w:ind w:right="8699" w:firstLine="8"/>
        <w:spacing w:after="0" w:line="342" w:lineRule="auto"/>
        <w:tabs>
          <w:tab w:leader="none" w:pos="3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33"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STABLE ROAD ACQUISITION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James Norris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June 30, 2020,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June 30, 2020,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2"/>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2020-08-11T15:28:59Z</dcterms:created>
  <dcterms:modified xsi:type="dcterms:W3CDTF">2020-08-11T15:28:59Z</dcterms:modified>
</cp:coreProperties>
</file>