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8" w:lineRule="exact"/>
        <w:rPr>
          <w:sz w:val="24"/>
          <w:szCs w:val="24"/>
          <w:color w:val="auto"/>
        </w:rPr>
      </w:pPr>
    </w:p>
    <w:p>
      <w:pPr>
        <w:ind w:left="620" w:hanging="600"/>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4"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460" w:right="1900" w:hanging="440"/>
        <w:spacing w:after="0" w:line="395" w:lineRule="auto"/>
        <w:tabs>
          <w:tab w:leader="none" w:pos="60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001-39128</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Momentus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7" w:lineRule="exact"/>
        <w:rPr>
          <w:sz w:val="24"/>
          <w:szCs w:val="24"/>
          <w:color w:val="auto"/>
        </w:rPr>
      </w:pPr>
    </w:p>
    <w:p>
      <w:pPr>
        <w:ind w:left="2460"/>
        <w:spacing w:after="0"/>
        <w:tabs>
          <w:tab w:leader="none" w:pos="800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84-1905538</w:t>
      </w:r>
    </w:p>
    <w:p>
      <w:pPr>
        <w:spacing w:after="0" w:line="55" w:lineRule="exact"/>
        <w:rPr>
          <w:sz w:val="24"/>
          <w:szCs w:val="24"/>
          <w:color w:val="auto"/>
        </w:rPr>
      </w:pPr>
    </w:p>
    <w:p>
      <w:pPr>
        <w:ind w:left="760"/>
        <w:spacing w:after="0"/>
        <w:tabs>
          <w:tab w:leader="none" w:pos="7160" w:val="left"/>
        </w:tabs>
        <w:rPr>
          <w:sz w:val="20"/>
          <w:szCs w:val="20"/>
          <w:color w:val="auto"/>
        </w:rPr>
      </w:pPr>
      <w:r>
        <w:rPr>
          <w:rFonts w:ascii="Arial" w:cs="Arial" w:eastAsia="Arial" w:hAnsi="Arial"/>
          <w:sz w:val="17"/>
          <w:szCs w:val="17"/>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ectPr>
          <w:pgSz w:w="11900" w:h="16838" w:orient="portrait"/>
          <w:cols w:equalWidth="0" w:num="1">
            <w:col w:w="11260"/>
          </w:cols>
          <w:pgMar w:left="320" w:top="230" w:right="319" w:bottom="1440" w:gutter="0" w:footer="0" w:header="0"/>
        </w:sectPr>
      </w:pPr>
    </w:p>
    <w:p>
      <w:pPr>
        <w:spacing w:after="0" w:line="95" w:lineRule="exact"/>
        <w:rPr>
          <w:sz w:val="24"/>
          <w:szCs w:val="24"/>
          <w:color w:val="auto"/>
        </w:rPr>
      </w:pPr>
    </w:p>
    <w:p>
      <w:pPr>
        <w:ind w:left="2100"/>
        <w:spacing w:after="0"/>
        <w:rPr>
          <w:sz w:val="20"/>
          <w:szCs w:val="20"/>
          <w:color w:val="auto"/>
        </w:rPr>
      </w:pPr>
      <w:r>
        <w:rPr>
          <w:rFonts w:ascii="Arial" w:cs="Arial" w:eastAsia="Arial" w:hAnsi="Arial"/>
          <w:sz w:val="17"/>
          <w:szCs w:val="17"/>
          <w:b w:val="1"/>
          <w:bCs w:val="1"/>
          <w:color w:val="auto"/>
        </w:rPr>
        <w:t>3901 N. First Street</w:t>
      </w:r>
    </w:p>
    <w:p>
      <w:pPr>
        <w:spacing w:after="0" w:line="18"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San Jose, California</w:t>
      </w:r>
    </w:p>
    <w:p>
      <w:pPr>
        <w:spacing w:after="0" w:line="48"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(Address of Principal Executive Offices)</w:t>
      </w:r>
    </w:p>
    <w:p>
      <w:pPr>
        <w:spacing w:after="0" w:line="301" w:lineRule="exact"/>
        <w:rPr>
          <w:sz w:val="24"/>
          <w:szCs w:val="24"/>
          <w:color w:val="auto"/>
        </w:rPr>
      </w:pPr>
    </w:p>
    <w:p>
      <w:pPr>
        <w:jc w:val="center"/>
        <w:ind w:left="3880"/>
        <w:spacing w:after="0"/>
        <w:rPr>
          <w:sz w:val="20"/>
          <w:szCs w:val="20"/>
          <w:color w:val="auto"/>
        </w:rPr>
      </w:pPr>
      <w:r>
        <w:rPr>
          <w:rFonts w:ascii="Arial" w:cs="Arial" w:eastAsia="Arial" w:hAnsi="Arial"/>
          <w:sz w:val="17"/>
          <w:szCs w:val="17"/>
          <w:b w:val="1"/>
          <w:bCs w:val="1"/>
          <w:color w:val="auto"/>
        </w:rPr>
        <w:t>(650) 564-7820</w:t>
      </w:r>
    </w:p>
    <w:p>
      <w:pPr>
        <w:spacing w:after="0" w:line="30" w:lineRule="exact"/>
        <w:rPr>
          <w:sz w:val="24"/>
          <w:szCs w:val="24"/>
          <w:color w:val="auto"/>
        </w:rPr>
      </w:pPr>
    </w:p>
    <w:p>
      <w:pPr>
        <w:jc w:val="center"/>
        <w:ind w:left="3880"/>
        <w:spacing w:after="0"/>
        <w:rPr>
          <w:sz w:val="20"/>
          <w:szCs w:val="20"/>
          <w:color w:val="auto"/>
        </w:rPr>
      </w:pPr>
      <w:r>
        <w:rPr>
          <w:rFonts w:ascii="Arial" w:cs="Arial" w:eastAsia="Arial" w:hAnsi="Arial"/>
          <w:sz w:val="15"/>
          <w:szCs w:val="15"/>
          <w:color w:val="auto"/>
        </w:rPr>
        <w:t>Registrant's telephone number, including area code</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440"/>
        <w:spacing w:after="0"/>
        <w:rPr>
          <w:sz w:val="20"/>
          <w:szCs w:val="20"/>
          <w:color w:val="auto"/>
        </w:rPr>
      </w:pPr>
      <w:r>
        <w:rPr>
          <w:rFonts w:ascii="Arial" w:cs="Arial" w:eastAsia="Arial" w:hAnsi="Arial"/>
          <w:sz w:val="17"/>
          <w:szCs w:val="17"/>
          <w:b w:val="1"/>
          <w:bCs w:val="1"/>
          <w:color w:val="auto"/>
        </w:rPr>
        <w:t>95134</w:t>
      </w:r>
    </w:p>
    <w:p>
      <w:pPr>
        <w:spacing w:after="0" w:line="159"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1345" w:lineRule="exact"/>
        <w:rPr>
          <w:sz w:val="24"/>
          <w:szCs w:val="24"/>
          <w:color w:val="auto"/>
        </w:rPr>
      </w:pPr>
    </w:p>
    <w:p>
      <w:pPr>
        <w:sectPr>
          <w:pgSz w:w="11900" w:h="16838" w:orient="portrait"/>
          <w:cols w:equalWidth="0" w:num="2">
            <w:col w:w="7380" w:space="680"/>
            <w:col w:w="3200"/>
          </w:cols>
          <w:pgMar w:left="320" w:top="230" w:right="319" w:bottom="1440" w:gutter="0" w:footer="0" w:header="0"/>
          <w:type w:val="continuous"/>
        </w:sectPr>
      </w:pP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The Nasdaq Capital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The Nasdaq Capital Market LLC</w:t>
            </w:r>
          </w:p>
        </w:tc>
      </w:tr>
    </w:tbl>
    <w:p>
      <w:pPr>
        <w:spacing w:after="0" w:line="181"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o</w:t>
            </w:r>
          </w:p>
        </w:tc>
        <w:tc>
          <w:tcPr>
            <w:tcW w:w="3740" w:type="dxa"/>
            <w:vAlign w:val="bottom"/>
          </w:tcPr>
          <w:p>
            <w:pPr>
              <w:ind w:left="1180"/>
              <w:spacing w:after="0"/>
              <w:rPr>
                <w:sz w:val="20"/>
                <w:szCs w:val="20"/>
                <w:color w:val="auto"/>
              </w:rPr>
            </w:pPr>
            <w:r>
              <w:rPr>
                <w:rFonts w:ascii="Arial" w:cs="Arial" w:eastAsia="Arial" w:hAnsi="Arial"/>
                <w:sz w:val="17"/>
                <w:szCs w:val="17"/>
                <w:color w:val="auto"/>
              </w:rPr>
              <w:t>Accelerated filer</w:t>
            </w:r>
          </w:p>
        </w:tc>
        <w:tc>
          <w:tcPr>
            <w:tcW w:w="3020" w:type="dxa"/>
            <w:vAlign w:val="bottom"/>
          </w:tcPr>
          <w:p>
            <w:pPr>
              <w:ind w:left="660"/>
              <w:spacing w:after="0"/>
              <w:rPr>
                <w:sz w:val="20"/>
                <w:szCs w:val="20"/>
                <w:color w:val="auto"/>
              </w:rPr>
            </w:pPr>
            <w:r>
              <w:rPr>
                <w:rFonts w:ascii="Arial" w:cs="Arial" w:eastAsia="Arial" w:hAnsi="Arial"/>
                <w:sz w:val="17"/>
                <w:szCs w:val="17"/>
                <w:color w:val="auto"/>
              </w:rPr>
              <w:t>o</w:t>
            </w:r>
          </w:p>
        </w:tc>
      </w:tr>
      <w:tr>
        <w:trPr>
          <w:trHeight w:val="245"/>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x</w:t>
            </w:r>
          </w:p>
        </w:tc>
        <w:tc>
          <w:tcPr>
            <w:tcW w:w="3740" w:type="dxa"/>
            <w:vAlign w:val="bottom"/>
          </w:tcPr>
          <w:p>
            <w:pPr>
              <w:ind w:left="1180"/>
              <w:spacing w:after="0"/>
              <w:rPr>
                <w:sz w:val="20"/>
                <w:szCs w:val="20"/>
                <w:color w:val="auto"/>
              </w:rPr>
            </w:pPr>
            <w:r>
              <w:rPr>
                <w:rFonts w:ascii="Arial" w:cs="Arial" w:eastAsia="Arial" w:hAnsi="Arial"/>
                <w:sz w:val="17"/>
                <w:szCs w:val="17"/>
                <w:color w:val="auto"/>
              </w:rPr>
              <w:t>Smaller reporting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245"/>
        </w:trPr>
        <w:tc>
          <w:tcPr>
            <w:tcW w:w="2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40" w:type="dxa"/>
            <w:vAlign w:val="bottom"/>
          </w:tcPr>
          <w:p>
            <w:pPr>
              <w:ind w:left="1180"/>
              <w:spacing w:after="0"/>
              <w:rPr>
                <w:sz w:val="20"/>
                <w:szCs w:val="20"/>
                <w:color w:val="auto"/>
              </w:rPr>
            </w:pPr>
            <w:r>
              <w:rPr>
                <w:rFonts w:ascii="Arial" w:cs="Arial" w:eastAsia="Arial" w:hAnsi="Arial"/>
                <w:sz w:val="17"/>
                <w:szCs w:val="17"/>
                <w:color w:val="auto"/>
              </w:rPr>
              <w:t>Emerging growth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709"/>
        </w:trPr>
        <w:tc>
          <w:tcPr>
            <w:tcW w:w="2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40" w:type="dxa"/>
            <w:vAlign w:val="bottom"/>
          </w:tcPr>
          <w:p>
            <w:pPr>
              <w:jc w:val="right"/>
              <w:ind w:right="2474"/>
              <w:spacing w:after="0"/>
              <w:rPr>
                <w:sz w:val="20"/>
                <w:szCs w:val="20"/>
                <w:color w:val="auto"/>
              </w:rPr>
            </w:pPr>
            <w:r>
              <w:rPr>
                <w:rFonts w:ascii="Arial" w:cs="Arial" w:eastAsia="Arial" w:hAnsi="Arial"/>
                <w:sz w:val="17"/>
                <w:szCs w:val="17"/>
                <w:color w:val="auto"/>
              </w:rPr>
              <w:t>1</w:t>
            </w:r>
          </w:p>
        </w:tc>
        <w:tc>
          <w:tcPr>
            <w:tcW w:w="3020" w:type="dxa"/>
            <w:vAlign w:val="bottom"/>
          </w:tcPr>
          <w:p>
            <w:pPr>
              <w:spacing w:after="0"/>
              <w:rPr>
                <w:sz w:val="24"/>
                <w:szCs w:val="24"/>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o  No x</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outstanding 84,149,721 shares of common stock as of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Arial" w:cs="Arial" w:eastAsia="Arial" w:hAnsi="Arial"/>
                <w:sz w:val="17"/>
                <w:szCs w:val="17"/>
                <w:color w:val="3051F2"/>
              </w:rPr>
              <w:t>Tables of Contents</w:t>
            </w:r>
          </w:p>
        </w:tc>
        <w:tc>
          <w:tcPr>
            <w:tcW w:w="920" w:type="dxa"/>
            <w:vAlign w:val="bottom"/>
          </w:tcPr>
          <w:p>
            <w:pPr>
              <w:spacing w:after="0"/>
              <w:rPr>
                <w:sz w:val="16"/>
                <w:szCs w:val="16"/>
                <w:color w:val="auto"/>
              </w:rPr>
            </w:pPr>
          </w:p>
        </w:tc>
      </w:tr>
      <w:tr>
        <w:trPr>
          <w:trHeight w:val="636"/>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Arial" w:cs="Arial" w:eastAsia="Arial" w:hAnsi="Arial"/>
                <w:sz w:val="17"/>
                <w:szCs w:val="17"/>
                <w:b w:val="1"/>
                <w:bCs w:val="1"/>
                <w:color w:val="auto"/>
              </w:rPr>
              <w:t>TABLE OF CONTENTS</w:t>
            </w:r>
          </w:p>
        </w:tc>
        <w:tc>
          <w:tcPr>
            <w:tcW w:w="920" w:type="dxa"/>
            <w:vAlign w:val="bottom"/>
          </w:tcPr>
          <w:p>
            <w:pPr>
              <w:spacing w:after="0"/>
              <w:rPr>
                <w:sz w:val="24"/>
                <w:szCs w:val="24"/>
                <w:color w:val="auto"/>
              </w:rPr>
            </w:pPr>
          </w:p>
        </w:tc>
      </w:tr>
      <w:tr>
        <w:trPr>
          <w:trHeight w:val="246"/>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Page</w:t>
            </w:r>
          </w:p>
        </w:tc>
      </w:tr>
      <w:tr>
        <w:trPr>
          <w:trHeight w:val="213"/>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 - Financial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Unaudited Condensed Consolidated Financial Statements</w:t>
            </w:r>
          </w:p>
        </w:tc>
        <w:tc>
          <w:tcPr>
            <w:tcW w:w="9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Statements of Stockholders’ Equity (Deficit)</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7"/>
                <w:szCs w:val="17"/>
                <w:color w:val="auto"/>
              </w:rPr>
              <w:t>9</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Notes to the Condensed Consolidated Financial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37</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Controls and Procedures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59</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II -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Legal Proceedings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60</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1A. Risk Factors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64</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64</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Mine Safety Disclosures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64</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5.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64</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6. Exhibits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65</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Signatures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6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described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9, 2022.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9, 2022, may not be exhaustive.</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September 30,</w:t>
            </w:r>
          </w:p>
        </w:tc>
        <w:tc>
          <w:tcPr>
            <w:tcW w:w="240" w:type="dxa"/>
            <w:vAlign w:val="bottom"/>
          </w:tcPr>
          <w:p>
            <w:pPr>
              <w:spacing w:after="0"/>
              <w:rPr>
                <w:sz w:val="14"/>
                <w:szCs w:val="14"/>
                <w:color w:val="auto"/>
              </w:rPr>
            </w:pPr>
          </w:p>
        </w:tc>
        <w:tc>
          <w:tcPr>
            <w:tcW w:w="1440" w:type="dxa"/>
            <w:vAlign w:val="bottom"/>
          </w:tcPr>
          <w:p>
            <w:pPr>
              <w:jc w:val="right"/>
              <w:ind w:right="30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4"/>
        </w:trPr>
        <w:tc>
          <w:tcPr>
            <w:tcW w:w="7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w w:val="95"/>
              </w:rPr>
              <w:t>2022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5"/>
                <w:szCs w:val="15"/>
                <w:i w:val="1"/>
                <w:iCs w:val="1"/>
                <w:color w:val="auto"/>
                <w:w w:val="94"/>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160,036</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Restricted cash,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9,431</w:t>
            </w:r>
          </w:p>
        </w:tc>
        <w:tc>
          <w:tcPr>
            <w:tcW w:w="0" w:type="dxa"/>
            <w:vAlign w:val="bottom"/>
          </w:tcPr>
          <w:p>
            <w:pPr>
              <w:spacing w:after="0"/>
              <w:rPr>
                <w:sz w:val="1"/>
                <w:szCs w:val="1"/>
                <w:color w:val="auto"/>
              </w:rPr>
            </w:pPr>
          </w:p>
        </w:tc>
      </w:tr>
      <w:tr>
        <w:trPr>
          <w:trHeight w:val="196"/>
        </w:trPr>
        <w:tc>
          <w:tcPr>
            <w:tcW w:w="7800" w:type="dxa"/>
            <w:vAlign w:val="bottom"/>
          </w:tcPr>
          <w:p>
            <w:pPr>
              <w:ind w:left="32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92,796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169,664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machinery and equipment, net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4,829</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Intangible assets,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right of use asset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Deferred offering costs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Restricted cash, non-current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3,065</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185,825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1,596</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expenses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Loan payable,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10,844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20,907</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Contract liabilities, 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liability,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1,189</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liability</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current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5,075</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38,867</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Contract liabilities, non-current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1,554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 payable, non-current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Warrant liability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5,749</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 liability, non-current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7,284</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16,012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15,070</w:t>
            </w:r>
          </w:p>
        </w:tc>
        <w:tc>
          <w:tcPr>
            <w:tcW w:w="0" w:type="dxa"/>
            <w:vAlign w:val="bottom"/>
          </w:tcPr>
          <w:p>
            <w:pPr>
              <w:spacing w:after="0"/>
              <w:rPr>
                <w:sz w:val="1"/>
                <w:szCs w:val="1"/>
                <w:color w:val="auto"/>
              </w:rPr>
            </w:pPr>
          </w:p>
        </w:tc>
      </w:tr>
      <w:tr>
        <w:trPr>
          <w:trHeight w:val="196"/>
        </w:trPr>
        <w:tc>
          <w:tcPr>
            <w:tcW w:w="7800" w:type="dxa"/>
            <w:vAlign w:val="bottom"/>
          </w:tcPr>
          <w:p>
            <w:pPr>
              <w:ind w:left="440"/>
              <w:spacing w:after="0"/>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48,809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53,937</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Commitments and Contingencies (Note 12</w:t>
            </w: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Common stock, $0.00001 par value; 250,000,000 shares authorized and 83,984,571 issued and outstanding as of</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September 30, 2022; 250,000,000 shares authorized and 81,211,781 issued and outstanding as of December 31, 2021</w:t>
            </w:r>
          </w:p>
        </w:tc>
        <w:tc>
          <w:tcPr>
            <w:tcW w:w="2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339,576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340,570</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(279,686)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(208,683)</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59,891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131,888</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185,825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balance sheet as of December 31, 2021 has been derived from the audited financial statements as of that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sz w:val="20"/>
                <w:szCs w:val="20"/>
                <w:color w:val="auto"/>
              </w:rPr>
            </w:pPr>
            <w:r>
              <w:rPr>
                <w:rFonts w:ascii="Arial" w:cs="Arial" w:eastAsia="Arial" w:hAnsi="Arial"/>
                <w:sz w:val="17"/>
                <w:szCs w:val="17"/>
                <w:color w:val="3051F2"/>
              </w:rPr>
              <w:t>Tables of Contents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5"/>
        </w:trPr>
        <w:tc>
          <w:tcPr>
            <w:tcW w:w="1280" w:type="dxa"/>
            <w:vAlign w:val="bottom"/>
            <w:tcBorders>
              <w:top w:val="single" w:sz="8" w:color="3051F2"/>
            </w:tcBorders>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MOMENTUS INC.</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7140" w:type="dxa"/>
            <w:vAlign w:val="bottom"/>
            <w:gridSpan w:val="9"/>
          </w:tcPr>
          <w:p>
            <w:pPr>
              <w:jc w:val="center"/>
              <w:ind w:left="1474"/>
              <w:spacing w:after="0" w:line="194" w:lineRule="exact"/>
              <w:rPr>
                <w:sz w:val="20"/>
                <w:szCs w:val="20"/>
                <w:color w:val="auto"/>
              </w:rPr>
            </w:pPr>
            <w:r>
              <w:rPr>
                <w:rFonts w:ascii="Arial" w:cs="Arial" w:eastAsia="Arial" w:hAnsi="Arial"/>
                <w:sz w:val="17"/>
                <w:szCs w:val="17"/>
                <w:b w:val="1"/>
                <w:bCs w:val="1"/>
                <w:color w:val="auto"/>
                <w:w w:val="99"/>
              </w:rPr>
              <w:t>CONDENSED CONSOLIDATED STATEMENTS OF OPERATIONS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(UNAUDITED)</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20" w:type="dxa"/>
            <w:vAlign w:val="bottom"/>
            <w:gridSpan w:val="5"/>
          </w:tcPr>
          <w:p>
            <w:pPr>
              <w:jc w:val="center"/>
              <w:ind w:left="394"/>
              <w:spacing w:after="0"/>
              <w:rPr>
                <w:sz w:val="20"/>
                <w:szCs w:val="20"/>
                <w:color w:val="auto"/>
              </w:rPr>
            </w:pPr>
            <w:r>
              <w:rPr>
                <w:rFonts w:ascii="Arial" w:cs="Arial" w:eastAsia="Arial" w:hAnsi="Arial"/>
                <w:sz w:val="17"/>
                <w:szCs w:val="17"/>
                <w:i w:val="1"/>
                <w:iCs w:val="1"/>
                <w:color w:val="auto"/>
                <w:w w:val="90"/>
              </w:rPr>
              <w:t>(in thousands, except per share data)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ind w:left="68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282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revenue</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Gross margin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Research and development expenses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39,747</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38,898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35,802</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Total operating expenses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70,336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75,549</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Loss from operations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(70,183)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(75,084)</w:t>
            </w:r>
          </w:p>
        </w:tc>
        <w:tc>
          <w:tcPr>
            <w:tcW w:w="0" w:type="dxa"/>
            <w:vAlign w:val="bottom"/>
          </w:tcPr>
          <w:p>
            <w:pPr>
              <w:spacing w:after="0"/>
              <w:rPr>
                <w:sz w:val="1"/>
                <w:szCs w:val="1"/>
                <w:color w:val="auto"/>
              </w:rPr>
            </w:pPr>
          </w:p>
        </w:tc>
      </w:tr>
      <w:tr>
        <w:trPr>
          <w:trHeight w:val="187"/>
        </w:trPr>
        <w:tc>
          <w:tcPr>
            <w:tcW w:w="12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Decrease in fair value of SAFE notes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209,291</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Decrease (increase) in fair value of warrants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9,826</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Realized loss on disposal of asset</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Interest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(8,685)</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SEC settlement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Other income (expense)</w:t>
            </w:r>
          </w:p>
        </w:tc>
        <w:tc>
          <w:tcPr>
            <w:tcW w:w="9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(4,965)</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Total other income (expense)</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198,469</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123,385</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provision</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(71,004)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123,384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(loss) income per share, basic</w:t>
            </w: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gridSpan w:val="2"/>
            <w:vMerge w:val="continue"/>
          </w:tcPr>
          <w:p>
            <w:pPr>
              <w:spacing w:after="0"/>
              <w:rPr>
                <w:sz w:val="16"/>
                <w:szCs w:val="16"/>
                <w:color w:val="auto"/>
              </w:rPr>
            </w:pPr>
          </w:p>
        </w:tc>
        <w:tc>
          <w:tcPr>
            <w:tcW w:w="106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1" w:lineRule="exact"/>
              <w:rPr>
                <w:sz w:val="20"/>
                <w:szCs w:val="20"/>
                <w:color w:val="auto"/>
              </w:rPr>
            </w:pPr>
            <w:r>
              <w:rPr>
                <w:rFonts w:ascii="Arial" w:cs="Arial" w:eastAsia="Arial" w:hAnsi="Arial"/>
                <w:sz w:val="17"/>
                <w:szCs w:val="17"/>
                <w:color w:val="auto"/>
              </w:rPr>
              <w:t>(0.26)</w:t>
            </w:r>
          </w:p>
        </w:tc>
        <w:tc>
          <w:tcPr>
            <w:tcW w:w="80" w:type="dxa"/>
            <w:vAlign w:val="bottom"/>
          </w:tcPr>
          <w:p>
            <w:pPr>
              <w:spacing w:after="0"/>
              <w:rPr>
                <w:sz w:val="16"/>
                <w:szCs w:val="16"/>
                <w:color w:val="auto"/>
              </w:rPr>
            </w:pPr>
          </w:p>
        </w:tc>
        <w:tc>
          <w:tcPr>
            <w:tcW w:w="560" w:type="dxa"/>
            <w:vAlign w:val="bottom"/>
          </w:tcPr>
          <w:p>
            <w:pPr>
              <w:jc w:val="right"/>
              <w:ind w:right="374"/>
              <w:spacing w:after="0" w:line="191"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1" w:lineRule="exact"/>
              <w:rPr>
                <w:sz w:val="20"/>
                <w:szCs w:val="20"/>
                <w:color w:val="auto"/>
              </w:rPr>
            </w:pPr>
            <w:r>
              <w:rPr>
                <w:rFonts w:ascii="Arial" w:cs="Arial" w:eastAsia="Arial" w:hAnsi="Arial"/>
                <w:sz w:val="17"/>
                <w:szCs w:val="17"/>
                <w:color w:val="auto"/>
              </w:rPr>
              <w:t>(0.09)</w:t>
            </w:r>
          </w:p>
        </w:tc>
        <w:tc>
          <w:tcPr>
            <w:tcW w:w="100" w:type="dxa"/>
            <w:vAlign w:val="bottom"/>
          </w:tcPr>
          <w:p>
            <w:pPr>
              <w:spacing w:after="0"/>
              <w:rPr>
                <w:sz w:val="16"/>
                <w:szCs w:val="16"/>
                <w:color w:val="auto"/>
              </w:rPr>
            </w:pPr>
          </w:p>
        </w:tc>
        <w:tc>
          <w:tcPr>
            <w:tcW w:w="380" w:type="dxa"/>
            <w:vAlign w:val="bottom"/>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(0.88)</w:t>
            </w:r>
          </w:p>
        </w:tc>
        <w:tc>
          <w:tcPr>
            <w:tcW w:w="80" w:type="dxa"/>
            <w:vAlign w:val="bottom"/>
          </w:tcPr>
          <w:p>
            <w:pPr>
              <w:spacing w:after="0"/>
              <w:rPr>
                <w:sz w:val="16"/>
                <w:szCs w:val="16"/>
                <w:color w:val="auto"/>
              </w:rPr>
            </w:pPr>
          </w:p>
        </w:tc>
        <w:tc>
          <w:tcPr>
            <w:tcW w:w="540" w:type="dxa"/>
            <w:vAlign w:val="bottom"/>
          </w:tcPr>
          <w:p>
            <w:pPr>
              <w:jc w:val="right"/>
              <w:ind w:right="354"/>
              <w:spacing w:after="0" w:line="191"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 per share, diluted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82,066,795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60,589,566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81,122,541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59,873,199</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diluted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82,066,795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60,589,566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81,122,541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64,232,537</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right"/>
        <w:ind w:right="2060"/>
        <w:spacing w:after="0"/>
        <w:rPr>
          <w:sz w:val="20"/>
          <w:szCs w:val="20"/>
          <w:color w:val="auto"/>
        </w:rPr>
      </w:pPr>
      <w:r>
        <w:rPr>
          <w:rFonts w:ascii="Arial" w:cs="Arial" w:eastAsia="Arial" w:hAnsi="Arial"/>
          <w:sz w:val="17"/>
          <w:szCs w:val="17"/>
          <w:b w:val="1"/>
          <w:bCs w:val="1"/>
          <w:color w:val="auto"/>
        </w:rPr>
        <w:t>CONDENSED 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December 31, 2021</w:t>
      </w:r>
    </w:p>
    <w:p>
      <w:pPr>
        <w:spacing w:after="0" w:line="30" w:lineRule="exact"/>
        <w:rPr>
          <w:sz w:val="20"/>
          <w:szCs w:val="20"/>
          <w:color w:val="auto"/>
        </w:rPr>
      </w:pPr>
    </w:p>
    <w:p>
      <w:pPr>
        <w:ind w:left="320" w:right="1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320" w:right="160" w:hanging="154"/>
        <w:spacing w:after="0" w:line="234" w:lineRule="auto"/>
        <w:rPr>
          <w:sz w:val="20"/>
          <w:szCs w:val="20"/>
          <w:color w:val="auto"/>
        </w:rPr>
      </w:pPr>
      <w:r>
        <w:rPr>
          <w:rFonts w:ascii="Arial" w:cs="Arial" w:eastAsia="Arial" w:hAnsi="Arial"/>
          <w:sz w:val="12"/>
          <w:szCs w:val="12"/>
          <w:color w:val="auto"/>
        </w:rPr>
        <w:t>Issuance of common stock upon vesting of RSUs</w:t>
      </w:r>
    </w:p>
    <w:p>
      <w:pPr>
        <w:spacing w:after="0" w:line="27"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Share repurchase related to Section 16 Officer tax coverage exchange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 repurchase valuation adjustment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Shares issued upon exercise of warrant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March 31, 2022</w:t>
      </w:r>
    </w:p>
    <w:p>
      <w:pPr>
        <w:spacing w:after="0" w:line="30" w:lineRule="exact"/>
        <w:rPr>
          <w:sz w:val="20"/>
          <w:szCs w:val="20"/>
          <w:color w:val="auto"/>
        </w:rPr>
      </w:pPr>
    </w:p>
    <w:p>
      <w:pPr>
        <w:ind w:left="320" w:right="1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320" w:right="160" w:hanging="154"/>
        <w:spacing w:after="0" w:line="234" w:lineRule="auto"/>
        <w:rPr>
          <w:sz w:val="20"/>
          <w:szCs w:val="20"/>
          <w:color w:val="auto"/>
        </w:rPr>
      </w:pPr>
      <w:r>
        <w:rPr>
          <w:rFonts w:ascii="Arial" w:cs="Arial" w:eastAsia="Arial" w:hAnsi="Arial"/>
          <w:sz w:val="12"/>
          <w:szCs w:val="12"/>
          <w:color w:val="auto"/>
        </w:rPr>
        <w:t>Issuance of common stock upon vesting of RSUs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Issuance of common stock upon purchase of</w:t>
      </w:r>
    </w:p>
    <w:p>
      <w:pPr>
        <w:ind w:left="320"/>
        <w:spacing w:after="0"/>
        <w:rPr>
          <w:sz w:val="20"/>
          <w:szCs w:val="20"/>
          <w:color w:val="auto"/>
        </w:rPr>
      </w:pPr>
      <w:r>
        <w:rPr>
          <w:rFonts w:ascii="Arial" w:cs="Arial" w:eastAsia="Arial" w:hAnsi="Arial"/>
          <w:sz w:val="12"/>
          <w:szCs w:val="12"/>
          <w:color w:val="auto"/>
        </w:rPr>
        <w:t>ESPP</w:t>
      </w:r>
    </w:p>
    <w:p>
      <w:pPr>
        <w:spacing w:after="0" w:line="32"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Share repurchase related to Section 16 Officer tax coverage exchange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 repurchase valuation adjustment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June 30, 2022</w:t>
      </w:r>
    </w:p>
    <w:p>
      <w:pPr>
        <w:spacing w:after="0" w:line="30" w:lineRule="exact"/>
        <w:rPr>
          <w:sz w:val="20"/>
          <w:szCs w:val="20"/>
          <w:color w:val="auto"/>
        </w:rPr>
      </w:pPr>
    </w:p>
    <w:p>
      <w:pPr>
        <w:ind w:left="320" w:right="1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320" w:right="160" w:hanging="154"/>
        <w:spacing w:after="0" w:line="234" w:lineRule="auto"/>
        <w:rPr>
          <w:sz w:val="20"/>
          <w:szCs w:val="20"/>
          <w:color w:val="auto"/>
        </w:rPr>
      </w:pPr>
      <w:r>
        <w:rPr>
          <w:rFonts w:ascii="Arial" w:cs="Arial" w:eastAsia="Arial" w:hAnsi="Arial"/>
          <w:sz w:val="12"/>
          <w:szCs w:val="12"/>
          <w:color w:val="auto"/>
        </w:rPr>
        <w:t>Issuance of common stock upon vesting of RSUs</w:t>
      </w:r>
    </w:p>
    <w:p>
      <w:pPr>
        <w:spacing w:after="0" w:line="27"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Share repurchase related to Section 16 Officer tax coverage exchange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 repurchase valuation adjustment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September 30, 2022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Three and nine months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ind w:left="140"/>
              <w:spacing w:after="0" w:line="125" w:lineRule="exact"/>
              <w:rPr>
                <w:sz w:val="20"/>
                <w:szCs w:val="20"/>
                <w:color w:val="auto"/>
              </w:rPr>
            </w:pPr>
            <w:r>
              <w:rPr>
                <w:rFonts w:ascii="Arial" w:cs="Arial" w:eastAsia="Arial" w:hAnsi="Arial"/>
                <w:sz w:val="12"/>
                <w:szCs w:val="12"/>
                <w:b w:val="1"/>
                <w:bCs w:val="1"/>
                <w:color w:val="auto"/>
              </w:rPr>
              <w:t>Common stock –</w:t>
            </w:r>
          </w:p>
        </w:tc>
        <w:tc>
          <w:tcPr>
            <w:tcW w:w="1260" w:type="dxa"/>
            <w:vAlign w:val="bottom"/>
            <w:tcBorders>
              <w:top w:val="single" w:sz="8" w:color="auto"/>
            </w:tcBorders>
            <w:gridSpan w:val="5"/>
          </w:tcPr>
          <w:p>
            <w:pPr>
              <w:ind w:left="140"/>
              <w:spacing w:after="0" w:line="125" w:lineRule="exact"/>
              <w:rPr>
                <w:sz w:val="20"/>
                <w:szCs w:val="20"/>
                <w:color w:val="auto"/>
              </w:rPr>
            </w:pPr>
            <w:r>
              <w:rPr>
                <w:rFonts w:ascii="Arial" w:cs="Arial" w:eastAsia="Arial" w:hAnsi="Arial"/>
                <w:sz w:val="12"/>
                <w:szCs w:val="12"/>
                <w:b w:val="1"/>
                <w:bCs w:val="1"/>
                <w:color w:val="auto"/>
              </w:rPr>
              <w:t>Common stock –</w:t>
            </w:r>
          </w:p>
        </w:tc>
        <w:tc>
          <w:tcPr>
            <w:tcW w:w="1000" w:type="dxa"/>
            <w:vAlign w:val="bottom"/>
            <w:tcBorders>
              <w:top w:val="single" w:sz="8" w:color="auto"/>
            </w:tcBorders>
            <w:gridSpan w:val="3"/>
          </w:tcPr>
          <w:p>
            <w:pPr>
              <w:ind w:left="140"/>
              <w:spacing w:after="0" w:line="125" w:lineRule="exact"/>
              <w:rPr>
                <w:sz w:val="20"/>
                <w:szCs w:val="20"/>
                <w:color w:val="auto"/>
              </w:rPr>
            </w:pPr>
            <w:r>
              <w:rPr>
                <w:rFonts w:ascii="Arial" w:cs="Arial" w:eastAsia="Arial" w:hAnsi="Arial"/>
                <w:sz w:val="12"/>
                <w:szCs w:val="12"/>
                <w:b w:val="1"/>
                <w:bCs w:val="1"/>
                <w:color w:val="auto"/>
                <w:w w:val="86"/>
              </w:rPr>
              <w:t>Common stock –</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9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w w:val="88"/>
              </w:rPr>
              <w:t>Preferred stock</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FF Preferred stock</w:t>
            </w:r>
          </w:p>
        </w:tc>
        <w:tc>
          <w:tcPr>
            <w:tcW w:w="88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Class A</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400"/>
              <w:spacing w:after="0" w:line="129" w:lineRule="exact"/>
              <w:rPr>
                <w:sz w:val="20"/>
                <w:szCs w:val="20"/>
                <w:color w:val="auto"/>
              </w:rPr>
            </w:pPr>
            <w:r>
              <w:rPr>
                <w:rFonts w:ascii="Arial" w:cs="Arial" w:eastAsia="Arial" w:hAnsi="Arial"/>
                <w:sz w:val="12"/>
                <w:szCs w:val="12"/>
                <w:b w:val="1"/>
                <w:bCs w:val="1"/>
                <w:color w:val="auto"/>
              </w:rPr>
              <w:t>Class B</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2"/>
                <w:szCs w:val="12"/>
                <w:b w:val="1"/>
                <w:bCs w:val="1"/>
                <w:color w:val="auto"/>
              </w:rPr>
              <w:t>Class 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jc w:val="center"/>
              <w:ind w:right="180"/>
              <w:spacing w:after="0" w:line="45" w:lineRule="exact"/>
              <w:rPr>
                <w:sz w:val="20"/>
                <w:szCs w:val="20"/>
                <w:color w:val="auto"/>
              </w:rPr>
            </w:pPr>
            <w:r>
              <w:rPr>
                <w:rFonts w:ascii="Arial" w:cs="Arial" w:eastAsia="Arial" w:hAnsi="Arial"/>
                <w:sz w:val="5"/>
                <w:szCs w:val="5"/>
                <w:b w:val="1"/>
                <w:bCs w:val="1"/>
                <w:color w:val="auto"/>
              </w:rPr>
              <w:t>paid in</w:t>
            </w:r>
          </w:p>
        </w:tc>
        <w:tc>
          <w:tcPr>
            <w:tcW w:w="860" w:type="dxa"/>
            <w:vAlign w:val="bottom"/>
            <w:gridSpan w:val="3"/>
          </w:tcPr>
          <w:p>
            <w:pPr>
              <w:ind w:left="40"/>
              <w:spacing w:after="0" w:line="45" w:lineRule="exact"/>
              <w:rPr>
                <w:sz w:val="20"/>
                <w:szCs w:val="20"/>
                <w:color w:val="auto"/>
              </w:rPr>
            </w:pPr>
            <w:r>
              <w:rPr>
                <w:rFonts w:ascii="Arial" w:cs="Arial" w:eastAsia="Arial" w:hAnsi="Arial"/>
                <w:sz w:val="5"/>
                <w:szCs w:val="5"/>
                <w:b w:val="1"/>
                <w:bCs w:val="1"/>
                <w:color w:val="auto"/>
              </w:rPr>
              <w:t>Accumulated</w:t>
            </w:r>
          </w:p>
        </w:tc>
        <w:tc>
          <w:tcPr>
            <w:tcW w:w="760" w:type="dxa"/>
            <w:vAlign w:val="bottom"/>
            <w:gridSpan w:val="2"/>
          </w:tcPr>
          <w:p>
            <w:pPr>
              <w:ind w:left="40"/>
              <w:spacing w:after="0" w:line="45"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66"/>
        </w:trPr>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81,211,781</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340,570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(208,683)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131,888</w:t>
            </w:r>
          </w:p>
        </w:tc>
        <w:tc>
          <w:tcPr>
            <w:tcW w:w="0" w:type="dxa"/>
            <w:vAlign w:val="bottom"/>
          </w:tcPr>
          <w:p>
            <w:pPr>
              <w:spacing w:after="0"/>
              <w:rPr>
                <w:sz w:val="1"/>
                <w:szCs w:val="1"/>
                <w:color w:val="auto"/>
              </w:rPr>
            </w:pPr>
          </w:p>
        </w:tc>
      </w:tr>
      <w:tr>
        <w:trPr>
          <w:trHeight w:val="204"/>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170,751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113,710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(18,673)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2,212</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278,146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(26,834)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(26,834)</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81,755,715</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336,771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(235,517)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101,255</w:t>
            </w:r>
          </w:p>
        </w:tc>
        <w:tc>
          <w:tcPr>
            <w:tcW w:w="0" w:type="dxa"/>
            <w:vAlign w:val="bottom"/>
          </w:tcPr>
          <w:p>
            <w:pPr>
              <w:spacing w:after="0"/>
              <w:rPr>
                <w:sz w:val="1"/>
                <w:szCs w:val="1"/>
                <w:color w:val="auto"/>
              </w:rPr>
            </w:pPr>
          </w:p>
        </w:tc>
      </w:tr>
      <w:tr>
        <w:trPr>
          <w:trHeight w:val="204"/>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1,294,668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149,953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77,162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(12,666)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3,105</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76"/>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(22,872)</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83,264,832</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340,593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(258,389)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82,205</w:t>
            </w:r>
          </w:p>
        </w:tc>
        <w:tc>
          <w:tcPr>
            <w:tcW w:w="0" w:type="dxa"/>
            <w:vAlign w:val="bottom"/>
          </w:tcPr>
          <w:p>
            <w:pPr>
              <w:spacing w:after="0"/>
              <w:rPr>
                <w:sz w:val="1"/>
                <w:szCs w:val="1"/>
                <w:color w:val="auto"/>
              </w:rPr>
            </w:pPr>
          </w:p>
        </w:tc>
      </w:tr>
      <w:tr>
        <w:trPr>
          <w:trHeight w:val="204"/>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482,551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326,758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(89,570)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3,247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3,247</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(4,220)</w:t>
            </w:r>
          </w:p>
        </w:tc>
        <w:tc>
          <w:tcPr>
            <w:tcW w:w="0" w:type="dxa"/>
            <w:vAlign w:val="bottom"/>
          </w:tcPr>
          <w:p>
            <w:pPr>
              <w:spacing w:after="0"/>
              <w:rPr>
                <w:sz w:val="1"/>
                <w:szCs w:val="1"/>
                <w:color w:val="auto"/>
              </w:rPr>
            </w:pPr>
          </w:p>
        </w:tc>
      </w:tr>
      <w:tr>
        <w:trPr>
          <w:trHeight w:val="176"/>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(21,298)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(21,298)</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83,984,571</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339,576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(279,686)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-3413125</wp:posOffset>
            </wp:positionV>
            <wp:extent cx="713867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-3110230</wp:posOffset>
            </wp:positionV>
            <wp:extent cx="713867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-2733675</wp:posOffset>
            </wp:positionV>
            <wp:extent cx="7138670" cy="10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-2520950</wp:posOffset>
            </wp:positionV>
            <wp:extent cx="7138670" cy="106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-2308225</wp:posOffset>
            </wp:positionV>
            <wp:extent cx="713867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-2005330</wp:posOffset>
            </wp:positionV>
            <wp:extent cx="713867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-1628140</wp:posOffset>
            </wp:positionV>
            <wp:extent cx="713867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-1333500</wp:posOffset>
            </wp:positionV>
            <wp:extent cx="7138670" cy="106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-1120775</wp:posOffset>
            </wp:positionV>
            <wp:extent cx="713867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-817880</wp:posOffset>
            </wp:positionV>
            <wp:extent cx="713867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-441325</wp:posOffset>
            </wp:positionV>
            <wp:extent cx="7138670" cy="106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-228600</wp:posOffset>
            </wp:positionV>
            <wp:extent cx="7138670" cy="106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06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20"/>
            <w:col w:w="8720"/>
          </w:cols>
          <w:pgMar w:left="320" w:top="127" w:right="339" w:bottom="1440" w:gutter="0" w:footer="0" w:header="0"/>
          <w:type w:val="continuous"/>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360" w:type="dxa"/>
            <w:vAlign w:val="bottom"/>
            <w:tcBorders>
              <w:top w:val="single" w:sz="8" w:color="auto"/>
              <w:bottom w:val="single" w:sz="8" w:color="auto"/>
            </w:tcBorders>
            <w:gridSpan w:val="12"/>
          </w:tcPr>
          <w:p>
            <w:pPr>
              <w:ind w:left="560"/>
              <w:spacing w:after="0"/>
              <w:rPr>
                <w:sz w:val="20"/>
                <w:szCs w:val="20"/>
                <w:color w:val="auto"/>
              </w:rPr>
            </w:pPr>
            <w:r>
              <w:rPr>
                <w:rFonts w:ascii="Arial" w:cs="Arial" w:eastAsia="Arial" w:hAnsi="Arial"/>
                <w:sz w:val="12"/>
                <w:szCs w:val="12"/>
                <w:b w:val="1"/>
                <w:bCs w:val="1"/>
                <w:color w:val="auto"/>
                <w:w w:val="97"/>
              </w:rPr>
              <w:t>Three and nine months ended September 30, 2021</w:t>
            </w:r>
          </w:p>
        </w:tc>
        <w:tc>
          <w:tcPr>
            <w:tcW w:w="3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r>
      <w:tr>
        <w:trPr>
          <w:trHeight w:val="127"/>
        </w:trPr>
        <w:tc>
          <w:tcPr>
            <w:tcW w:w="2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160"/>
              <w:spacing w:after="0" w:line="127" w:lineRule="exact"/>
              <w:rPr>
                <w:sz w:val="20"/>
                <w:szCs w:val="20"/>
                <w:color w:val="auto"/>
              </w:rPr>
            </w:pPr>
            <w:r>
              <w:rPr>
                <w:rFonts w:ascii="Arial" w:cs="Arial" w:eastAsia="Arial" w:hAnsi="Arial"/>
                <w:sz w:val="12"/>
                <w:szCs w:val="12"/>
                <w:b w:val="1"/>
                <w:bCs w:val="1"/>
                <w:color w:val="auto"/>
                <w:w w:val="88"/>
              </w:rPr>
              <w:t>Common stock –</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160"/>
              <w:spacing w:after="0" w:line="127" w:lineRule="exact"/>
              <w:rPr>
                <w:sz w:val="20"/>
                <w:szCs w:val="20"/>
                <w:color w:val="auto"/>
              </w:rPr>
            </w:pPr>
            <w:r>
              <w:rPr>
                <w:rFonts w:ascii="Arial" w:cs="Arial" w:eastAsia="Arial" w:hAnsi="Arial"/>
                <w:sz w:val="12"/>
                <w:szCs w:val="12"/>
                <w:b w:val="1"/>
                <w:bCs w:val="1"/>
                <w:color w:val="auto"/>
                <w:w w:val="88"/>
              </w:rPr>
              <w:t>Common stock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80"/>
              <w:spacing w:after="0" w:line="127" w:lineRule="exact"/>
              <w:rPr>
                <w:sz w:val="20"/>
                <w:szCs w:val="20"/>
                <w:color w:val="auto"/>
              </w:rPr>
            </w:pPr>
            <w:r>
              <w:rPr>
                <w:rFonts w:ascii="Arial" w:cs="Arial" w:eastAsia="Arial" w:hAnsi="Arial"/>
                <w:sz w:val="12"/>
                <w:szCs w:val="12"/>
                <w:b w:val="1"/>
                <w:bCs w:val="1"/>
                <w:color w:val="auto"/>
                <w:w w:val="88"/>
              </w:rPr>
              <w:t>Common stock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83"/>
              <w:spacing w:after="0" w:line="127" w:lineRule="exact"/>
              <w:rPr>
                <w:sz w:val="20"/>
                <w:szCs w:val="20"/>
                <w:color w:val="auto"/>
              </w:rPr>
            </w:pPr>
            <w:r>
              <w:rPr>
                <w:rFonts w:ascii="Arial" w:cs="Arial" w:eastAsia="Arial" w:hAnsi="Arial"/>
                <w:sz w:val="12"/>
                <w:szCs w:val="12"/>
                <w:b w:val="1"/>
                <w:bCs w:val="1"/>
                <w:color w:val="auto"/>
                <w:w w:val="90"/>
              </w:rPr>
              <w:t>Total</w:t>
            </w:r>
          </w:p>
        </w:tc>
      </w:tr>
      <w:tr>
        <w:trPr>
          <w:trHeight w:val="129"/>
        </w:trPr>
        <w:tc>
          <w:tcPr>
            <w:tcW w:w="2180" w:type="dxa"/>
            <w:vAlign w:val="bottom"/>
          </w:tcPr>
          <w:p>
            <w:pPr>
              <w:spacing w:after="0"/>
              <w:rPr>
                <w:sz w:val="11"/>
                <w:szCs w:val="11"/>
                <w:color w:val="auto"/>
              </w:rPr>
            </w:pPr>
          </w:p>
        </w:tc>
        <w:tc>
          <w:tcPr>
            <w:tcW w:w="1080" w:type="dxa"/>
            <w:vAlign w:val="bottom"/>
            <w:gridSpan w:val="3"/>
          </w:tcPr>
          <w:p>
            <w:pPr>
              <w:jc w:val="right"/>
              <w:spacing w:after="0" w:line="129" w:lineRule="exact"/>
              <w:rPr>
                <w:sz w:val="20"/>
                <w:szCs w:val="20"/>
                <w:color w:val="auto"/>
              </w:rPr>
            </w:pPr>
            <w:r>
              <w:rPr>
                <w:rFonts w:ascii="Arial" w:cs="Arial" w:eastAsia="Arial" w:hAnsi="Arial"/>
                <w:sz w:val="12"/>
                <w:szCs w:val="12"/>
                <w:b w:val="1"/>
                <w:bCs w:val="1"/>
                <w:color w:val="auto"/>
              </w:rPr>
              <w:t>Preferred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FF Preferred stock</w:t>
            </w:r>
          </w:p>
        </w:tc>
        <w:tc>
          <w:tcPr>
            <w:tcW w:w="1040" w:type="dxa"/>
            <w:vAlign w:val="bottom"/>
            <w:gridSpan w:val="3"/>
          </w:tcPr>
          <w:p>
            <w:pPr>
              <w:jc w:val="right"/>
              <w:ind w:right="165"/>
              <w:spacing w:after="0" w:line="129" w:lineRule="exact"/>
              <w:rPr>
                <w:sz w:val="20"/>
                <w:szCs w:val="20"/>
                <w:color w:val="auto"/>
              </w:rPr>
            </w:pPr>
            <w:r>
              <w:rPr>
                <w:rFonts w:ascii="Arial" w:cs="Arial" w:eastAsia="Arial" w:hAnsi="Arial"/>
                <w:sz w:val="12"/>
                <w:szCs w:val="12"/>
                <w:b w:val="1"/>
                <w:bCs w:val="1"/>
                <w:color w:val="auto"/>
              </w:rPr>
              <w:t>Class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rPr>
              <w:t>Class B</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rPr>
              <w:t>Class 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7"/>
              </w:rPr>
              <w:t>stockholders’</w:t>
            </w:r>
          </w:p>
        </w:tc>
      </w:tr>
      <w:tr>
        <w:trPr>
          <w:trHeight w:val="70"/>
        </w:trPr>
        <w:tc>
          <w:tcPr>
            <w:tcW w:w="2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160"/>
              <w:spacing w:after="0" w:line="71" w:lineRule="exact"/>
              <w:rPr>
                <w:sz w:val="20"/>
                <w:szCs w:val="20"/>
                <w:color w:val="auto"/>
              </w:rPr>
            </w:pPr>
            <w:r>
              <w:rPr>
                <w:rFonts w:ascii="Arial" w:cs="Arial" w:eastAsia="Arial" w:hAnsi="Arial"/>
                <w:sz w:val="8"/>
                <w:szCs w:val="8"/>
                <w:b w:val="1"/>
                <w:bCs w:val="1"/>
                <w:color w:val="auto"/>
              </w:rPr>
              <w:t>paid in</w:t>
            </w:r>
          </w:p>
        </w:tc>
        <w:tc>
          <w:tcPr>
            <w:tcW w:w="860" w:type="dxa"/>
            <w:vAlign w:val="bottom"/>
            <w:gridSpan w:val="3"/>
          </w:tcPr>
          <w:p>
            <w:pPr>
              <w:jc w:val="center"/>
              <w:ind w:right="100"/>
              <w:spacing w:after="0" w:line="71" w:lineRule="exact"/>
              <w:rPr>
                <w:sz w:val="20"/>
                <w:szCs w:val="20"/>
                <w:color w:val="auto"/>
              </w:rPr>
            </w:pPr>
            <w:r>
              <w:rPr>
                <w:rFonts w:ascii="Arial" w:cs="Arial" w:eastAsia="Arial" w:hAnsi="Arial"/>
                <w:sz w:val="8"/>
                <w:szCs w:val="8"/>
                <w:b w:val="1"/>
                <w:bCs w:val="1"/>
                <w:color w:val="auto"/>
              </w:rPr>
              <w:t>Accumulated</w:t>
            </w:r>
          </w:p>
        </w:tc>
        <w:tc>
          <w:tcPr>
            <w:tcW w:w="120" w:type="dxa"/>
            <w:vAlign w:val="bottom"/>
          </w:tcPr>
          <w:p>
            <w:pPr>
              <w:spacing w:after="0"/>
              <w:rPr>
                <w:sz w:val="6"/>
                <w:szCs w:val="6"/>
                <w:color w:val="auto"/>
              </w:rPr>
            </w:pPr>
          </w:p>
        </w:tc>
        <w:tc>
          <w:tcPr>
            <w:tcW w:w="640" w:type="dxa"/>
            <w:vAlign w:val="bottom"/>
          </w:tcPr>
          <w:p>
            <w:pPr>
              <w:jc w:val="center"/>
              <w:ind w:right="63"/>
              <w:spacing w:after="0" w:line="71" w:lineRule="exact"/>
              <w:rPr>
                <w:sz w:val="20"/>
                <w:szCs w:val="20"/>
                <w:color w:val="auto"/>
              </w:rPr>
            </w:pPr>
            <w:r>
              <w:rPr>
                <w:rFonts w:ascii="Arial" w:cs="Arial" w:eastAsia="Arial" w:hAnsi="Arial"/>
                <w:sz w:val="8"/>
                <w:szCs w:val="8"/>
                <w:b w:val="1"/>
                <w:bCs w:val="1"/>
                <w:color w:val="auto"/>
              </w:rPr>
              <w:t>equity</w:t>
            </w:r>
          </w:p>
        </w:tc>
      </w:tr>
      <w:tr>
        <w:trPr>
          <w:trHeight w:val="173"/>
        </w:trPr>
        <w:tc>
          <w:tcPr>
            <w:tcW w:w="218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deficit</w:t>
            </w:r>
          </w:p>
        </w:tc>
        <w:tc>
          <w:tcPr>
            <w:tcW w:w="120" w:type="dxa"/>
            <w:vAlign w:val="bottom"/>
          </w:tcPr>
          <w:p>
            <w:pPr>
              <w:spacing w:after="0"/>
              <w:rPr>
                <w:sz w:val="15"/>
                <w:szCs w:val="15"/>
                <w:color w:val="auto"/>
              </w:rPr>
            </w:pPr>
          </w:p>
        </w:tc>
        <w:tc>
          <w:tcPr>
            <w:tcW w:w="640" w:type="dxa"/>
            <w:vAlign w:val="bottom"/>
          </w:tcPr>
          <w:p>
            <w:pPr>
              <w:jc w:val="center"/>
              <w:ind w:right="63"/>
              <w:spacing w:after="0"/>
              <w:rPr>
                <w:sz w:val="20"/>
                <w:szCs w:val="20"/>
                <w:color w:val="auto"/>
              </w:rPr>
            </w:pPr>
            <w:r>
              <w:rPr>
                <w:rFonts w:ascii="Arial" w:cs="Arial" w:eastAsia="Arial" w:hAnsi="Arial"/>
                <w:sz w:val="12"/>
                <w:szCs w:val="12"/>
                <w:b w:val="1"/>
                <w:bCs w:val="1"/>
                <w:color w:val="auto"/>
                <w:w w:val="92"/>
              </w:rPr>
              <w:t>(deficit)</w:t>
            </w:r>
          </w:p>
        </w:tc>
      </w:tr>
      <w:tr>
        <w:trPr>
          <w:trHeight w:val="16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144,875,941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20,000,000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18,398,005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70,000,000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39,866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(289,472)</w:t>
            </w:r>
          </w:p>
        </w:tc>
      </w:tr>
      <w:tr>
        <w:trPr>
          <w:trHeight w:val="160"/>
        </w:trPr>
        <w:tc>
          <w:tcPr>
            <w:tcW w:w="2180" w:type="dxa"/>
            <w:vAlign w:val="bottom"/>
          </w:tcPr>
          <w:p>
            <w:pPr>
              <w:ind w:left="20"/>
              <w:spacing w:after="0"/>
              <w:rPr>
                <w:sz w:val="20"/>
                <w:szCs w:val="20"/>
                <w:color w:val="auto"/>
              </w:rPr>
            </w:pPr>
            <w:r>
              <w:rPr>
                <w:rFonts w:ascii="Arial" w:cs="Arial" w:eastAsia="Arial" w:hAnsi="Arial"/>
                <w:sz w:val="12"/>
                <w:szCs w:val="12"/>
                <w:color w:val="auto"/>
                <w:w w:val="98"/>
              </w:rPr>
              <w:t>Retroactive application of recapitalization</w:t>
            </w:r>
          </w:p>
        </w:tc>
        <w:tc>
          <w:tcPr>
            <w:tcW w:w="720" w:type="dxa"/>
            <w:vAlign w:val="bottom"/>
          </w:tcPr>
          <w:p>
            <w:pPr>
              <w:jc w:val="right"/>
              <w:spacing w:after="0"/>
              <w:rPr>
                <w:sz w:val="20"/>
                <w:szCs w:val="20"/>
                <w:color w:val="auto"/>
              </w:rPr>
            </w:pPr>
            <w:r>
              <w:rPr>
                <w:rFonts w:ascii="Arial" w:cs="Arial" w:eastAsia="Arial" w:hAnsi="Arial"/>
                <w:sz w:val="12"/>
                <w:szCs w:val="12"/>
                <w:color w:val="auto"/>
                <w:w w:val="90"/>
              </w:rPr>
              <w:t>(144,875,941)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(20,000,000)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(18,398,005)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88"/>
              </w:rPr>
              <w:t>(70,000,000)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62,510,690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6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5"/>
              </w:rPr>
              <w:t>Balance, December 31, 2020, as adjusted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62,510,690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39,866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0</wp:posOffset>
            </wp:positionV>
            <wp:extent cx="57550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ind w:left="320" w:hanging="154"/>
        <w:spacing w:after="0" w:line="233"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180" w:right="680"/>
        <w:spacing w:after="0" w:line="330" w:lineRule="auto"/>
        <w:rPr>
          <w:sz w:val="20"/>
          <w:szCs w:val="20"/>
          <w:color w:val="auto"/>
        </w:rPr>
      </w:pPr>
      <w:r>
        <w:rPr>
          <w:rFonts w:ascii="Arial" w:cs="Arial" w:eastAsia="Arial" w:hAnsi="Arial"/>
          <w:sz w:val="11"/>
          <w:szCs w:val="11"/>
          <w:color w:val="auto"/>
        </w:rPr>
        <w:t>Stock-based compensation Net income</w:t>
      </w:r>
    </w:p>
    <w:p>
      <w:pPr>
        <w:ind w:left="20"/>
        <w:spacing w:after="0"/>
        <w:rPr>
          <w:sz w:val="20"/>
          <w:szCs w:val="20"/>
          <w:color w:val="auto"/>
        </w:rPr>
      </w:pPr>
      <w:r>
        <w:rPr>
          <w:rFonts w:ascii="Arial" w:cs="Arial" w:eastAsia="Arial" w:hAnsi="Arial"/>
          <w:sz w:val="12"/>
          <w:szCs w:val="12"/>
          <w:color w:val="auto"/>
        </w:rPr>
        <w:t>Balance, March 31, 2021</w:t>
      </w:r>
    </w:p>
    <w:p>
      <w:pPr>
        <w:spacing w:after="0" w:line="30"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 repurchase</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June 30, 2021</w:t>
      </w:r>
    </w:p>
    <w:p>
      <w:pPr>
        <w:spacing w:after="0" w:line="30"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180" w:right="320"/>
        <w:spacing w:after="0" w:line="349" w:lineRule="auto"/>
        <w:rPr>
          <w:sz w:val="20"/>
          <w:szCs w:val="20"/>
          <w:color w:val="auto"/>
        </w:rPr>
      </w:pPr>
      <w:r>
        <w:rPr>
          <w:rFonts w:ascii="Arial" w:cs="Arial" w:eastAsia="Arial" w:hAnsi="Arial"/>
          <w:sz w:val="10"/>
          <w:szCs w:val="10"/>
          <w:color w:val="auto"/>
        </w:rPr>
        <w:t>Stock-based compensation Warrant conversion upon exercise</w:t>
      </w:r>
    </w:p>
    <w:p>
      <w:pPr>
        <w:spacing w:after="0" w:line="1" w:lineRule="exact"/>
        <w:rPr>
          <w:sz w:val="20"/>
          <w:szCs w:val="20"/>
          <w:color w:val="auto"/>
        </w:rPr>
      </w:pPr>
    </w:p>
    <w:p>
      <w:pPr>
        <w:ind w:left="320" w:right="40" w:hanging="154"/>
        <w:spacing w:after="0" w:line="234" w:lineRule="auto"/>
        <w:rPr>
          <w:sz w:val="20"/>
          <w:szCs w:val="20"/>
          <w:color w:val="auto"/>
        </w:rPr>
      </w:pPr>
      <w:r>
        <w:rPr>
          <w:rFonts w:ascii="Arial" w:cs="Arial" w:eastAsia="Arial" w:hAnsi="Arial"/>
          <w:sz w:val="12"/>
          <w:szCs w:val="12"/>
          <w:color w:val="auto"/>
        </w:rPr>
        <w:t>Shares issued upon conversion of SAFE Notes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 repurchase</w:t>
      </w:r>
    </w:p>
    <w:p>
      <w:pPr>
        <w:spacing w:after="0" w:line="30"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Issuance of common stock and warrants, in connection with PIPE</w:t>
      </w:r>
    </w:p>
    <w:p>
      <w:pPr>
        <w:spacing w:after="0" w:line="27" w:lineRule="exact"/>
        <w:rPr>
          <w:sz w:val="20"/>
          <w:szCs w:val="20"/>
          <w:color w:val="auto"/>
        </w:rPr>
      </w:pPr>
    </w:p>
    <w:p>
      <w:pPr>
        <w:jc w:val="right"/>
        <w:ind w:left="180"/>
        <w:spacing w:after="0" w:line="309" w:lineRule="auto"/>
        <w:rPr>
          <w:sz w:val="20"/>
          <w:szCs w:val="20"/>
          <w:color w:val="auto"/>
        </w:rPr>
      </w:pPr>
      <w:r>
        <w:rPr>
          <w:rFonts w:ascii="Arial" w:cs="Arial" w:eastAsia="Arial" w:hAnsi="Arial"/>
          <w:sz w:val="10"/>
          <w:szCs w:val="10"/>
          <w:color w:val="auto"/>
        </w:rPr>
        <w:t>Issuance of common stock and warrants, net of transaction costs, upon merger</w:t>
      </w: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September 30, 2021</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5,768</w:t>
            </w:r>
          </w:p>
        </w:tc>
      </w:tr>
      <w:tr>
        <w:trPr>
          <w:trHeight w:val="176"/>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64,671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64,671</w:t>
            </w:r>
          </w:p>
        </w:tc>
      </w:tr>
      <w:tr>
        <w:trPr>
          <w:trHeight w:val="160"/>
        </w:trPr>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62,781,272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45,658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(264,667)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(219,009)</w:t>
            </w:r>
          </w:p>
        </w:tc>
      </w:tr>
      <w:tr>
        <w:trPr>
          <w:trHeight w:val="20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39,515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2,344</w:t>
            </w:r>
          </w:p>
        </w:tc>
      </w:tr>
      <w:tr>
        <w:trPr>
          <w:trHeight w:val="168"/>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(25,601,733)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(22,000)</w:t>
            </w:r>
          </w:p>
        </w:tc>
      </w:tr>
      <w:tr>
        <w:trPr>
          <w:trHeight w:val="176"/>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64,327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64,327</w:t>
            </w:r>
          </w:p>
        </w:tc>
      </w:tr>
      <w:tr>
        <w:trPr>
          <w:trHeight w:val="160"/>
        </w:trPr>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37,219,054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26,013</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(200,340)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(174,326)</w:t>
            </w:r>
          </w:p>
        </w:tc>
      </w:tr>
      <w:tr>
        <w:trPr>
          <w:trHeight w:val="20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966,827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245</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3,075</w:t>
            </w:r>
          </w:p>
        </w:tc>
      </w:tr>
      <w:tr>
        <w:trPr>
          <w:trHeight w:val="168"/>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638,125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6,999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6,999</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6"/>
              </w:rPr>
              <w:t>12,403,469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136,001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136,001</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(18,000)</w:t>
            </w:r>
          </w:p>
        </w:tc>
      </w:tr>
      <w:tr>
        <w:trPr>
          <w:trHeight w:val="232"/>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6"/>
              </w:rPr>
              <w:t>11,000,000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75,114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75,114</w:t>
            </w:r>
          </w:p>
        </w:tc>
      </w:tr>
      <w:tr>
        <w:trPr>
          <w:trHeight w:val="297"/>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6"/>
              </w:rPr>
              <w:t>18,352,757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104,022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104,022</w:t>
            </w:r>
          </w:p>
        </w:tc>
      </w:tr>
      <w:tr>
        <w:trPr>
          <w:trHeight w:val="241"/>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(5,614)</w:t>
            </w:r>
          </w:p>
        </w:tc>
      </w:tr>
      <w:tr>
        <w:trPr>
          <w:trHeight w:val="160"/>
        </w:trPr>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80,580,232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333,471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(205,954)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127,518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-2250440</wp:posOffset>
            </wp:positionV>
            <wp:extent cx="7138670" cy="106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-2037715</wp:posOffset>
            </wp:positionV>
            <wp:extent cx="713867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-1734820</wp:posOffset>
            </wp:positionV>
            <wp:extent cx="7138670" cy="106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-1522095</wp:posOffset>
            </wp:positionV>
            <wp:extent cx="7138670" cy="106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-1301115</wp:posOffset>
            </wp:positionV>
            <wp:extent cx="71386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-1006475</wp:posOffset>
            </wp:positionV>
            <wp:extent cx="7138670" cy="106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-711835</wp:posOffset>
            </wp:positionV>
            <wp:extent cx="7138670" cy="106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-416560</wp:posOffset>
            </wp:positionV>
            <wp:extent cx="713867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-121920</wp:posOffset>
            </wp:positionV>
            <wp:extent cx="713867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1430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140" w:space="40"/>
            <w:col w:w="9060"/>
          </w:cols>
          <w:pgMar w:left="320" w:top="127"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4" w:lineRule="exact"/>
        <w:rPr>
          <w:sz w:val="20"/>
          <w:szCs w:val="20"/>
          <w:color w:val="auto"/>
        </w:rPr>
      </w:pPr>
    </w:p>
    <w:p>
      <w:pPr>
        <w:jc w:val="center"/>
        <w:ind w:left="7780"/>
        <w:spacing w:after="0"/>
        <w:rPr>
          <w:sz w:val="20"/>
          <w:szCs w:val="20"/>
          <w:color w:val="auto"/>
        </w:rPr>
      </w:pPr>
      <w:r>
        <w:rPr>
          <w:rFonts w:ascii="Arial" w:cs="Arial" w:eastAsia="Arial" w:hAnsi="Arial"/>
          <w:sz w:val="15"/>
          <w:szCs w:val="15"/>
          <w:b w:val="1"/>
          <w:bCs w:val="1"/>
          <w:color w:val="auto"/>
        </w:rPr>
        <w:t>Nine Months Ended</w:t>
      </w:r>
    </w:p>
    <w:p>
      <w:pPr>
        <w:jc w:val="center"/>
        <w:ind w:left="778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r>
      <w:tr>
        <w:trPr>
          <w:trHeight w:val="188"/>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Net (loss) income</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(71,004)</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123,384</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Adjustments to reconcile net (loss) income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768</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Amortization of debt discount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6,935</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Amortization of right-of-use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889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971</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Decrease in fair value of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(9,826)</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Decrease in fair value of SAFE notes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(209,291)</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Impairment of prepaid launch costs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9,450</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Loss on disposal of fixed and intangible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11,187</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Prepaids and other 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(15,350)</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Other non-current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(677)</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Accounts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4,357</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Accrued expenses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(1,873)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4,546</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Accrued interest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Other current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4,829</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Contract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Lease liability</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Other non-current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operating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(71,495)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(69,897)</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property, machinery and equipment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sale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(2,852)</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issuance of SAFE notes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30,853</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issuance of loan payable</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Repurchase of Section 16 Officer shares for tax coverage exchange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Payment of loan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(6,686)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 of debt issuance costs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Payment of warrant issuance costs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 for repurchase of common shares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issuance of common shares in PIPE</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110,000</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Payments of issuances costs related to PIPE</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(4,416)</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upon Business Combination</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128,167</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Payments for issuance costs related to Business Combination</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(21,285)</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provided by financing activities</w:t>
            </w:r>
          </w:p>
        </w:tc>
        <w:tc>
          <w:tcPr>
            <w:tcW w:w="10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(6,244)</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228,421</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(Decrease) Increase in cash, cash equivalents and restricted cash</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(78,380)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155,672</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Cash, cash equivalents and restricted cash, beginning of period</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160,547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23,520</w:t>
            </w:r>
          </w:p>
        </w:tc>
      </w:tr>
      <w:tr>
        <w:trPr>
          <w:trHeight w:val="196"/>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Cash, cash equivalents and restricted cash, end of period</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82,167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179,191</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related to conversion of SAFE notes</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136,001</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Issuance of common stock related to exercise of warrant liabilities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6,999</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Reclassification of deferred offering costs</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Deferred offering costs in accounts payable and accrued expenses at period end</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238</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Assumption of merger warrants liability</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31,225</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right-of-use assets in exchange for lease obligations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8,501</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liability fair value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55"/>
        </w:trPr>
        <w:tc>
          <w:tcPr>
            <w:tcW w:w="7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7800" w:type="dxa"/>
            <w:vAlign w:val="bottom"/>
          </w:tcPr>
          <w:p>
            <w:pPr>
              <w:ind w:left="220"/>
              <w:spacing w:after="0"/>
              <w:rPr>
                <w:sz w:val="20"/>
                <w:szCs w:val="20"/>
                <w:color w:val="auto"/>
              </w:rPr>
            </w:pPr>
            <w:r>
              <w:rPr>
                <w:rFonts w:ascii="Arial" w:cs="Arial" w:eastAsia="Arial" w:hAnsi="Arial"/>
                <w:sz w:val="15"/>
                <w:szCs w:val="15"/>
                <w:color w:val="auto"/>
              </w:rPr>
              <w:t>Cash paid for income taxes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interest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127" w:right="339" w:bottom="592"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592"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Momentus Inc. (together with its consolidated subsidiaries “Momentus” or the “Company”) is a U.S. commercial space company that offers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pursue solutions to be implemented in advance of future missions.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28, 2022, Momentus was able to deploy two customer satellites from Vigoride 3 (of nine total customer satellites onboard Vigoride 3). The Company then continued efforts to deploy other customer satellites.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has continued to apply for 30-day extensions for its STA, which the FCC has granted, most recently on October 20, 2022.</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third quarter of 2022, the Vigoride spacecraft deployed five additional customer satellites including two on July 17, 2022, two on July 29, 2022, and one at the end of August 2022. Momentus has now deployed a total of eight customer satellites in low-earth orbit, comprising seven satellites from Vigoride 3 and one satellite from the third-party deployer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3 spacecraft during its inaugural mission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 and Business Combination</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(the “First Merger Sub”), and Project Marvel Second Merger Sub, LLC, a Delaware limited liability company and a direct, wholly owned subsidiary of SRAC (the “Second Merger Sub”), pursuant to which the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Business Combination was accounted for as a reverse recapitalization 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(“Common Stock”), without any further action by the Company or any stockholder thereof.</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the Business Combination, SRAC’s units, public shares, and public warrants were listed on the Nasdaq under the symbols “SRACU,” “SRAC,” and “SRACW,” respectively. On August 13, 2021, the Company's Common Stock and public warrants began trading on the Nasdaq, under the symbols “MNTS” and “MNTSW,” respectively.</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On October 7, 2020 and July 15, 2021, SRAC entered into subscription agreements with certain investors (the “PIPE Investors”) to which such investors collectively subscribed for an aggregate of 11,000,000 shares of the Company’s Common Stock at $10.00 per share for aggregate gross proceeds of $110.0 million (the “PIPE Investment”). The PIPE Investors were also granted an equal number of private warrants to purchase the Company’s Common Stock at $11.50 per share. The warrants were recorded as a derivative liability under ASC Topic 815, </w:t>
      </w:r>
      <w:r>
        <w:rPr>
          <w:rFonts w:ascii="Arial" w:cs="Arial" w:eastAsia="Arial" w:hAnsi="Arial"/>
          <w:sz w:val="17"/>
          <w:szCs w:val="17"/>
          <w:i w:val="1"/>
          <w:iCs w:val="1"/>
          <w:color w:val="auto"/>
        </w:rPr>
        <w:t>Derivatives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Hedging</w:t>
      </w:r>
      <w:r>
        <w:rPr>
          <w:rFonts w:ascii="Arial" w:cs="Arial" w:eastAsia="Arial" w:hAnsi="Arial"/>
          <w:sz w:val="17"/>
          <w:szCs w:val="17"/>
          <w:color w:val="auto"/>
        </w:rPr>
        <w:t>, (“ASC 815”) and the warrant liability was initially valued at $30.5 million. See Note 11 for more information. The PIPE Investment was consummated</w:t>
      </w:r>
      <w:r>
        <w:rPr>
          <w:rFonts w:ascii="Arial" w:cs="Arial" w:eastAsia="Arial" w:hAnsi="Arial"/>
          <w:sz w:val="17"/>
          <w:szCs w:val="17"/>
          <w:i w:val="1"/>
          <w:iCs w:val="1"/>
          <w:color w:val="auto"/>
        </w:rPr>
        <w:t xml:space="preserve"> </w:t>
      </w:r>
      <w:r>
        <w:rPr>
          <w:rFonts w:ascii="Arial" w:cs="Arial" w:eastAsia="Arial" w:hAnsi="Arial"/>
          <w:sz w:val="17"/>
          <w:szCs w:val="17"/>
          <w:color w:val="auto"/>
        </w:rPr>
        <w:t>concurrently with the closing of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2021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September 30, 2022 and December 31, 2021, the results of operations for the three and nine months ended September 30, 2022 and 2021, the statement of stockholders’ equity (deficit) for the three and nine months ended September 30, 2022 and 2021, and cash flows for the nine months ended September 30, 2022 and 2021. Such adjustments are of a normal and recurring nature. The results for the three and nine months ended September 30, 2022 are not necessarily indicative of the results for the year ending December 31, 2022, or for any future period. These interim condensed consolidated financial statements should be read in conjunction with the audited financial statements as of and for the years ended December 31, 2021 and 2020, filed with the SEC in our Annual Report on Form 10-K filed by the Company on March 9, 2022.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Business Combination was accounted for as a reverse recapitalization in accordance with GAAP. Under this method of accounting, SRAC is treated as the acquired company and Momentus Inc. is treated as the acquirer for financial statement reporting purposes (the “Combined Company”).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Accordingly, for accounting purposes, the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historical cost, with no goodwill or other intangible assets recorded.</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Business Combination, outstanding units of Legacy Momentus were converted into Common Stock of the Company, par value $0.00001 per share, representing a recapitalization. Momentus is deemed to be the predecessor of the Company, and the consolidated assets and liabilities and results of operations prior to the date of the Closing (the “Closing Date”) are those of Momentus. The shares and corresponding capital amounts and net (loss) income per share available to common stockholders, prior to the Business Combination, have been retroactively restated as shares reflecting the exchange ratio established in the Merger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During the three months ended September 30, 2022, the Company reclassified certain cloud computing implementation costs from intangible assets to prepaid and other current assets, and other non-current assets to properly present the capitalized costs with their related subscription fees. In accordance with </w:t>
      </w:r>
      <w:r>
        <w:rPr>
          <w:rFonts w:ascii="Arial" w:cs="Arial" w:eastAsia="Arial" w:hAnsi="Arial"/>
          <w:sz w:val="17"/>
          <w:szCs w:val="17"/>
          <w:i w:val="1"/>
          <w:iCs w:val="1"/>
          <w:color w:val="auto"/>
        </w:rPr>
        <w:t>ASC 350</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Intangibles</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presents capitalized implementation costs for cloud computing arrangements within the same line item that the prepayment of these fees would be presented. The reclassification was determined to be immaterial and will be accounted for prospectively.</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fourth quarter of 2021, we modified the presentation of cash flows related to the Business Combination. The presented impact of the issuance costs allocated to expense (described in Note 3), was moved into the issuance costs line. Additionally the presentation of capitalized issuance costs which were paid during the two quarters prior to the Business Combination was updated to present those expenditures within cash flows from financing activities, rather than cash flows from operations.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other reclassifications have been made to the prior year’s financial statements to conform to the current year’s presentation. None of the reclassifications have changed the total assets, liabilities, stockholders’ equity (deficit), income, expenses or net losses previously reported.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include the financial statements of all the subsidiaries. All inter-company transactions and balances have been eliminated upon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in the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financial statements include, but are not limited to, accounting for useful lives of property, machinery and equipment, net, intangible assets, net, accrued liabilities, income taxes including deferred tax assets and liabilities, impairment valuation, stock-based awards, Simple Agreement for Future Equity (“SAFE”) notes, warrant liabilities and repurchase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a result of the COVID-19 pandemic, the U.S. government and various states implemented quarantine requirements and travel restrictions. The extent of the impact of COVID-19 on the Company’s financial statements will depend on future developments, including the duration of the outbreak, resurgences and emergence of variants, all of which are highly uncertain and cannot be predicted. The potential impact of COVID-19 on the Company’s operations is inherently difficult to predict and could adversely impact the Company’s business, financial condition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emerging growth company or is an emerging growth company that has chosen not to take advantage of the extended transition period exemptions because of the potential differences in accounting standards used.</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Restricted cash primarily represents deposited cash that is restricted by financial institutions for two purposes. $0.3 million is restricted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September 30, 2022. $0.3 million is restricted for expenditures related to the National Security Agreement (“NSA”). See Note 12.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prepay for certain launch costs to third 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September 30, 2022, and December 31, 2021, the Company had $6.6 million and $3.0 million, respectively, of deferred fulfillment and prepaid launch costs recorded within prepaids and other current assets and other non-current assets in the accompanying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nine months ended September 30, 2021. There was an unrelated impairment of $0.8 million in the nine months ended September 30, 2021.</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pursue solutions to be implemented in advance of future missions.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28, 2022, Momentus was able to deploy two customer satellites from Vigoride 3 (of nine total customer satellites onboard Vigoride 3). The Company then continued efforts to deploy other customer satellites.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has continued to apply for 30-day extensions for its STA, which the FCC has granted, most recently on October 20, 2022.</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third quarter of 2022, the Vigoride spacecraft deployed five additional customer satellites including two on July 17, 2022, two on July 29, 2022, and one at the end of August 2022. Momentus has now deployed a total of eight customer satellites in low-earth orbit, comprising seven satellites from Vigoride 3 and one satellite from the third-party deployer system.</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3 spacecraft during its inaugural mission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In connection with the launch of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Arial" w:cs="Arial" w:eastAsia="Arial" w:hAnsi="Arial"/>
          <w:sz w:val="15"/>
          <w:szCs w:val="15"/>
          <w:i w:val="1"/>
          <w:iCs w:val="1"/>
          <w:color w:val="auto"/>
        </w:rPr>
        <w:t>Research and Development Costs</w:t>
      </w:r>
      <w:r>
        <w:rPr>
          <w:rFonts w:ascii="Arial" w:cs="Arial" w:eastAsia="Arial" w:hAnsi="Arial"/>
          <w:sz w:val="15"/>
          <w:szCs w:val="15"/>
          <w:color w:val="auto"/>
        </w:rPr>
        <w:t xml:space="preserve"> below.</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2022, the Company resolved the variable consideration uncertainties that had caused it to defer revenue and cost of revenue from its inaugural launch. As a result, the Company amortized the deferred $14 thousand to cost of revenue.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Machinery and Equipment, net</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gridSpan w:val="2"/>
          </w:tcPr>
          <w:p>
            <w:pPr>
              <w:ind w:left="20"/>
              <w:spacing w:after="0"/>
              <w:rPr>
                <w:sz w:val="20"/>
                <w:szCs w:val="20"/>
                <w:color w:val="auto"/>
              </w:rPr>
            </w:pPr>
            <w:r>
              <w:rPr>
                <w:rFonts w:ascii="Arial" w:cs="Arial" w:eastAsia="Arial" w:hAnsi="Arial"/>
                <w:sz w:val="15"/>
                <w:szCs w:val="15"/>
                <w:b w:val="1"/>
                <w:bCs w:val="1"/>
                <w:color w:val="auto"/>
              </w:rPr>
              <w:t>Fixed Assets</w:t>
            </w:r>
          </w:p>
        </w:tc>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years</w:t>
            </w:r>
          </w:p>
        </w:tc>
      </w:tr>
      <w:tr>
        <w:trPr>
          <w:trHeight w:val="238"/>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8260" w:type="dxa"/>
            <w:vAlign w:val="bottom"/>
          </w:tcPr>
          <w:p>
            <w:pPr>
              <w:ind w:left="20"/>
              <w:spacing w:after="0"/>
              <w:rPr>
                <w:sz w:val="20"/>
                <w:szCs w:val="20"/>
                <w:color w:val="auto"/>
              </w:rPr>
            </w:pPr>
            <w:r>
              <w:rPr>
                <w:rFonts w:ascii="Arial" w:cs="Arial" w:eastAsia="Arial" w:hAnsi="Arial"/>
                <w:sz w:val="17"/>
                <w:szCs w:val="17"/>
                <w:color w:val="auto"/>
              </w:rPr>
              <w:t>Five years</w:t>
            </w:r>
          </w:p>
        </w:tc>
      </w:tr>
      <w:tr>
        <w:trPr>
          <w:trHeight w:val="25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Lesser of estimated useful life or remaining lease term (one year to seven years)</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8260" w:type="dxa"/>
            <w:vAlign w:val="bottom"/>
          </w:tcPr>
          <w:p>
            <w:pPr>
              <w:ind w:left="20"/>
              <w:spacing w:after="0"/>
              <w:rPr>
                <w:sz w:val="20"/>
                <w:szCs w:val="20"/>
                <w:color w:val="auto"/>
              </w:rPr>
            </w:pPr>
            <w:r>
              <w:rPr>
                <w:rFonts w:ascii="Arial" w:cs="Arial" w:eastAsia="Arial" w:hAnsi="Arial"/>
                <w:sz w:val="17"/>
                <w:szCs w:val="17"/>
                <w:color w:val="auto"/>
              </w:rPr>
              <w:t>Seven years</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Costs of maintenance or repairs that do not extend the lives of the respective assets are charged to expenses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Intangible assets consist of patents (in accordance with ASU 2018-15) and are reported at cost less accumulated amortization and accumulated impairment loss, if any. Amortization is recognized on a straight-line basis over 10 years for patents, and 3 years for internal-use software implementation costs, which is the estimated useful lives of the 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Offering costs consist of legal, accounting, underwriting fees and other costs incurred that are directly related to fundraising activities. During the year ended December 31, 2021, deferred offering costs were attributable to the Business Combination and upon completion of the Business Combination, all deferred offering costs were netted with the proceeds, with costs relating to the issuance of equity recorded as a reduction of additional paid in capital, while all costs related to the liability classified warrants were charged to expense. See Note 3 for more information. During the nine months ended September 30, 2022, deferred offering costs were attributable to the Company’s S-3 Universal Shelf registration and the at-the-market offering program. These costs will be netted with the proceeds proportional to the at-the-market program fundraising and any future fundraising under that S-3 registration. Refer to Note 11.</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estimate loss contingencies in accordance with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which states that a loss contingency shall be accrued by a charge to income if both of the following conditions are met: (i) information available before the condensed consolidated financial statements are issued or are available to be issued indicates that it is probable that a liability had been incurred at the date of the condensed consolidated financial statements and (ii) the amount of loss can be reasonably estimated. We regularly evaluate current information available to us to determine whether such accruals should be adjusted and whether new accruals are required. Refer to Note 12.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enters into contracts for ‘last-mile’ satellite and cargo delivery, payload hosting and in-orbit servicing options with customers that are primarily in the aerospace industry. The Company recognizes revenue (along with any other fees that have been paid) upon satisfaction of the Company’s performance obligation.</w:t>
      </w:r>
    </w:p>
    <w:p>
      <w:pPr>
        <w:spacing w:after="0" w:line="9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2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part of its contracts with customers, the Company collects up-front non-refundable deposits prior to launch. As of September 30, 2022, and December 31, 2021, the Company had customer deposit balances of $2.4 million and $1.6 million, respectively, in related to signed contracts with customers, including firm orders and options (some of which have already been exercised by customers). These deposits are recorded as current and non-current contract liabilities in the Company’s condensed consolidated balance sheets. Included in the collected amount as of September 30, 2022 and December 31, 2021 are $1.2 million and $1.6 million, respectively, of non-current deposits.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 Due to this uncertainty, the Company recorded the related customer deposits of $133 thousand as deferred revenues within current contract liabilities as of June 30, 2022.</w:t>
      </w:r>
    </w:p>
    <w:p>
      <w:pPr>
        <w:spacing w:after="0" w:line="11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three months ended September 30,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year ended December 31, 2021, the Company recognized revenue related to customer cancelled contracts of $0.3 million, which were previously recorded as contract liabilities. The Company also recorded $(135) thousand as a reduction of cost of revenue which represents the reversal of a contingency recorded during the prior year for loss contracts, partially offset by costs incurred related to one of the cancelled contracts. During the year ended December 31, 2021, in conjunction with the isolated refunds described below, the Company signed amendments with those customers considered in the contingency, such that the services will no longer be free of charge.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62" w:lineRule="exact"/>
        <w:rPr>
          <w:sz w:val="20"/>
          <w:szCs w:val="20"/>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w:t>
      </w:r>
    </w:p>
    <w:p>
      <w:pPr>
        <w:spacing w:after="0" w:line="152" w:lineRule="exact"/>
        <w:rPr>
          <w:rFonts w:ascii="Arial" w:cs="Arial" w:eastAsia="Arial" w:hAnsi="Arial"/>
          <w:sz w:val="17"/>
          <w:szCs w:val="17"/>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the quoted prices in active markets that are observable either directly or indirectly; and</w:t>
      </w:r>
    </w:p>
    <w:p>
      <w:pPr>
        <w:spacing w:after="0" w:line="152" w:lineRule="exact"/>
        <w:rPr>
          <w:rFonts w:ascii="Arial" w:cs="Arial" w:eastAsia="Arial" w:hAnsi="Arial"/>
          <w:sz w:val="17"/>
          <w:szCs w:val="17"/>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in which there is little or no market data, which requires that the Company develop its own assumptions.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nine months ended September 30, 2022 and and fiscal year ended December 31, 2021.</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SAFE note liabilities, prior to conversion, were marked-to-market liabilities pursuant to ASC 480 and are classified within Level 3 of the fair value hierarchy as the Company is using a backsolve method within the Black Scholes Option Pricing model, which allowed the Company to solve for the implied value of the business based on the terms of the SAFE investments. Significant unobservable inputs included volatility and expected term. Volatility is based upon on the actual historical volatility of a group of comparable publicly traded companies observed over a historical period equal to the expected remaining life of the SAFE investments. The expected term was based on the anticipated time until the SAFE investments would have a conversion event. Upon conversion, the SAFE notes were valued based on the closing price of Company’s Common Stock on the Closing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warrants are recorded as a derivative liability pursuant to ASC 815 and are classified within Level 3 of the fair value hierarchy as the Company is using the Black Scholes Option Pricing model. Significant unobservable inputs include stock price, volatility and expected term.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performance awards under the equity incentive plans are recorded as contingent liabilities pursuant to ASC 480, measured at fair value. The performance awards are classified within Level 3 of the hierarchy as the fair value is dependent on management assumptions about the likelihood of non-market outcomes (see Note 11).</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stock repurchase agreements with the Co-Founders are recorded as contingent liabilities pursuant to ASC 480, measured at fair value. The stock repurchase agreements are classified within Level 3 of the hierarchy as the fair value is dependent on management assumptions about the likelihood of non-market outcomes (see Note 11). There were no transfers between levels of input during the three and nine months ended September 30, 2022 and 2021.</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11. Significant unobservable inputs, prior to the Company’s stock being publicly listed, included stock price, volatility and expected term. At the end of each reporting period, changes in fair value during the period are recognized as a components of other income (expense), net within the condensed consolidated statements of operations. The Company will continue to adjust the warrant liabilities for changes in fair value until the earlier of (i) the exercise or expiration of the warrants or (ii) the redemption of the warrants, at which time the warrants will be reclassified to additional paid-in capital within the condensed consolidated statements of stockholders’ equity (deficit).</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issued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 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(Loss) Income Per Share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Net (loss) income per share is provided in accordance with FASB </w:t>
      </w:r>
      <w:r>
        <w:rPr>
          <w:rFonts w:ascii="Arial" w:cs="Arial" w:eastAsia="Arial" w:hAnsi="Arial"/>
          <w:sz w:val="17"/>
          <w:szCs w:val="17"/>
          <w:i w:val="1"/>
          <w:iCs w:val="1"/>
          <w:color w:val="auto"/>
        </w:rPr>
        <w:t>ASC 260-10 Earnings per Share</w:t>
      </w:r>
      <w:r>
        <w:rPr>
          <w:rFonts w:ascii="Arial" w:cs="Arial" w:eastAsia="Arial" w:hAnsi="Arial"/>
          <w:sz w:val="17"/>
          <w:szCs w:val="17"/>
          <w:color w:val="auto"/>
        </w:rPr>
        <w:t>. Basic net (loss) income per share is computed by dividing losses by the weighted average number of common shares outstanding during the period. Diluted (loss) income per share gives effect to all dilutive potential common shares outstanding during the period. Diluted loss per share excludes all potential common shares and SAFE notes if their effect is anti-dilutive. See Note 11.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nine months ended September 30, 2022 and 2021 there were immaterial impairments of long-lived assets. See Note 5 and Note 6.</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 month expected term to conform with the six month ESPP offering period.</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401(k) plan that it offers to its full-time employees. The Company did not contribute to the plan for the nine months ended September 30, 2022 and 2021.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Once the Company has achieved technological feasibility, the Company will capitalize the costs to construct any additional components of the vehicle systems.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real estate facilities under non-cancelable operating leases with various expiration dates through February 2028. The Company determines if an arrangement contains a lease at inception based on whether there is an identified property, plant or equipment and whether the Company controls the use of the identified asset throughout the period of use.</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adopted the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on January 1, 2020. The Company elected the package of practical expedients for transition under which the Company did not reassess its prior conclusions about lease identification, lease classification and initial direct costs. Additionally, the Company elected the hindsight practical expedient for transition under which conclusions around lease term and impairment will not be reassessed.</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leases are included in the accompanying consolidated balance sheets. Operating lease right-of-use (“ROU”) assets represent the Company’s right to use an underlying asset for the lease term. Lease liabilities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62"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are not organized around specific services or geographic regions. We currently operate in one service line providing in-space transportation services.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 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adopted this standard on January 1, 2022. There was no impact to the Company's condensed consolidated financial statements on the date of adoption.</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which simplified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Reverse Recapitalization</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discussed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on the Closing Date, SRAC completed the acquisition of Momentus Inc. and acquired 100% of Momentus Inc.’s shares and Momentus Inc. received gross proceeds of $247.3 million, which included $110.0 million in proceeds from the PIPE Investment, and $137.3 million in proceeds from issuance of Common Stock upon the closing of the Business Combination.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Proceeds from the issuance of Common Stock comprised of $172.5 million of public investment in SRAC, reduced by redemptions of $35.6 million. SRAC had additional stockholder deficit of $8.5 million, inclusive of $0.4 million of additional cash in trust from operations, which reduced the total proceeds to $238.8 million.</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Merger was accounted for as a reverse recapitalization under ASC 805, with Legacy Momentus as the accounting acquirer and SRAC as the acquired company for accounting purposes.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 Accordingly, all historical financial information presented in these unaudited condensed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of equity raised, presented in additional paid in capital, while costs of $4.8 million allocated to the liability classified warrants were charged to expense. On the Closing Date, each holder of Momentus Inc. preferred and common stock received approximately 0.2467416 shares of the Company’s Common Stock, par value $0.00001 per share. See Note 11 for additional details of the Company's stockholders' equity (deficit) prior to and subsequent to the Merger.</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equity awards of Momentus Inc. were assumed by the Company and converted into comparable equity awards that are settled or exercisable for shares of the Company’s Common Stock. As a result, each outstanding stock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option was converted into an option to purchase shares of the Company’s Common Stock based on an exchange ratio of 0.2467416, and each outstanding restricted stock award was converted into restricted stock awards of the Company that, upon vesting, may be settled for shares of the Company’s Common Stock based on an exchange ratio of 0.2467416.</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private warrants of Momentus Inc. common stock were also converted into warrants to purchase shares of the Company’s Common Stock based on an exchange ratio of 0.2467416.</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public and private warrant of SRAC that was unexercised at the time of the Merger was assumed by the Company and represents the right to purchase one share of the Company’s Common Stock upon exercise of such warrant. See Note 11 for more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Lock-up Agreements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conjunction with the Closing, certain insider stockholders executed lock-up agreements, pursuant to which such stockholders agree not to transfer any shares of Common Stock for a period of six months after the Closing or, if earlier, the first date the closing price of the Common Stock equals or exceeds $12.00 per share for any 20 trading days within any 30-trading day period following the Closing.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 Investment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7, 2020 and July 15, 2021, SRAC entered into subscription agreements with the PIPE Investors to which such investors collectively subscribed for an aggregate of 11,000,000 shares of the Company’s Common Stock at $10.00 per share for aggregate gross proceeds of $110.0 million. The PIPE Investors were also granted an equal number of private warrants to purchase the Company’s Common Stock at $11.50 per share. The warrants were recorded as a derivative liability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and the warrant liability was initially valued at $30.5 million. See Note 11. The PIPE Investment was consummated concurrently with the closing of the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Prepaids and Other Current Assets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Prepaids and other current assets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5"/>
                <w:szCs w:val="15"/>
                <w:color w:val="auto"/>
              </w:rPr>
            </w:pPr>
          </w:p>
        </w:tc>
        <w:tc>
          <w:tcPr>
            <w:tcW w:w="1340" w:type="dxa"/>
            <w:vAlign w:val="bottom"/>
          </w:tcPr>
          <w:p>
            <w:pPr>
              <w:jc w:val="right"/>
              <w:ind w:right="23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launch costs, current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Prepaid research and development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4,870</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0" w:type="dxa"/>
            <w:vAlign w:val="bottom"/>
          </w:tcPr>
          <w:p>
            <w:pPr>
              <w:spacing w:after="0"/>
              <w:rPr>
                <w:sz w:val="1"/>
                <w:szCs w:val="1"/>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and December 31, 2021, the non-current portion of prepaid launch costs recorded in other non-current assets was $3.6 million and $3.0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FAA Application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May 10, 2021, the Company received a letter from the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were non-recoverable as this was the third time the payload was rescheduled. As a result of the notification from one of its launch service providers, the Company recorded an impairment charge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$8.7 million of prepaid launch costs during the nine months ended September 30, 2021. There was an unrelated impairment of $0.8 million for the nine months ended September 30, 2021.</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such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 future missions remain subject to the receipt of licenses and government approvals, and successful completion of current efforts to get the system ready for flight. Refer to “</w:t>
      </w:r>
      <w:r>
        <w:rPr>
          <w:rFonts w:ascii="Arial" w:cs="Arial" w:eastAsia="Arial" w:hAnsi="Arial"/>
          <w:sz w:val="17"/>
          <w:szCs w:val="17"/>
          <w:i w:val="1"/>
          <w:iCs w:val="1"/>
          <w:color w:val="auto"/>
        </w:rPr>
        <w:t>Risk Factors — We may not receive all required governmental licenses and approvals,” and</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 — We are dependent on the successful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 filed with the SEC on March 9, 2022.</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In connection with the launch of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Arial" w:cs="Arial" w:eastAsia="Arial" w:hAnsi="Arial"/>
          <w:sz w:val="15"/>
          <w:szCs w:val="15"/>
          <w:i w:val="1"/>
          <w:iCs w:val="1"/>
          <w:color w:val="auto"/>
        </w:rPr>
        <w:t>Research and Development Costs</w:t>
      </w:r>
      <w:r>
        <w:rPr>
          <w:rFonts w:ascii="Arial" w:cs="Arial" w:eastAsia="Arial" w:hAnsi="Arial"/>
          <w:sz w:val="15"/>
          <w:szCs w:val="15"/>
          <w:color w:val="auto"/>
        </w:rPr>
        <w:t xml:space="preserve"> in Note 2.</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2022, the Company resolved the variable consideration uncertainties that had caused it to defer revenue and cost of revenue from its inaugural launch. As a result, the Company amortized the deferred $14 thousand to cost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Property, Machinery and Equipment, net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Property, machinery and equipment, net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5"/>
                <w:szCs w:val="15"/>
                <w:color w:val="auto"/>
              </w:rPr>
            </w:pPr>
          </w:p>
        </w:tc>
        <w:tc>
          <w:tcPr>
            <w:tcW w:w="1400" w:type="dxa"/>
            <w:vAlign w:val="bottom"/>
          </w:tcPr>
          <w:p>
            <w:pPr>
              <w:jc w:val="right"/>
              <w:ind w:right="27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8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3,332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in-progress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1"/>
        </w:trPr>
        <w:tc>
          <w:tcPr>
            <w:tcW w:w="7820" w:type="dxa"/>
            <w:vAlign w:val="bottom"/>
          </w:tcPr>
          <w:p>
            <w:pPr>
              <w:ind w:left="220"/>
              <w:spacing w:after="0"/>
              <w:rPr>
                <w:sz w:val="20"/>
                <w:szCs w:val="20"/>
                <w:color w:val="auto"/>
              </w:rPr>
            </w:pPr>
            <w:r>
              <w:rPr>
                <w:rFonts w:ascii="Arial" w:cs="Arial" w:eastAsia="Arial" w:hAnsi="Arial"/>
                <w:sz w:val="17"/>
                <w:szCs w:val="17"/>
                <w:color w:val="auto"/>
              </w:rPr>
              <w:t>Property, machinery and equipment, gross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6,656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211"/>
        </w:trPr>
        <w:tc>
          <w:tcPr>
            <w:tcW w:w="7820" w:type="dxa"/>
            <w:vAlign w:val="bottom"/>
          </w:tcPr>
          <w:p>
            <w:pPr>
              <w:ind w:left="220"/>
              <w:spacing w:after="0"/>
              <w:rPr>
                <w:sz w:val="20"/>
                <w:szCs w:val="20"/>
                <w:color w:val="auto"/>
              </w:rPr>
            </w:pPr>
            <w:r>
              <w:rPr>
                <w:rFonts w:ascii="Arial" w:cs="Arial" w:eastAsia="Arial" w:hAnsi="Arial"/>
                <w:sz w:val="17"/>
                <w:szCs w:val="17"/>
                <w:color w:val="auto"/>
              </w:rPr>
              <w:t>Property, machinery and equipment, net</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Depreciation expense related to property, machinery and equipment was $0.2 million and $0.7 million for the three and nine months ended September 30, 2022, respectively, and $0.3 million and $0.7 million for the three and nine months ended September 30, 2021,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20"/>
                <w:szCs w:val="20"/>
                <w:color w:val="auto"/>
              </w:rPr>
            </w:pPr>
            <w:r>
              <w:rPr>
                <w:rFonts w:ascii="Arial" w:cs="Arial" w:eastAsia="Arial" w:hAnsi="Arial"/>
                <w:sz w:val="17"/>
                <w:szCs w:val="17"/>
                <w:b w:val="1"/>
                <w:bCs w:val="1"/>
                <w:color w:val="auto"/>
              </w:rPr>
              <w:t>Note 6. Intangible Assets, net</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5960" w:type="dxa"/>
            <w:vAlign w:val="bottom"/>
            <w:gridSpan w:val="2"/>
          </w:tcPr>
          <w:p>
            <w:pPr>
              <w:spacing w:after="0"/>
              <w:rPr>
                <w:sz w:val="20"/>
                <w:szCs w:val="20"/>
                <w:color w:val="auto"/>
              </w:rPr>
            </w:pPr>
            <w:r>
              <w:rPr>
                <w:rFonts w:ascii="Arial" w:cs="Arial" w:eastAsia="Arial" w:hAnsi="Arial"/>
                <w:sz w:val="17"/>
                <w:szCs w:val="17"/>
                <w:color w:val="auto"/>
              </w:rPr>
              <w:t>Intangible assets, net consisted of the following as of September 30, 2022: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Gross 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Net Value</w:t>
            </w: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amortization period</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454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6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7.3</w:t>
            </w:r>
          </w:p>
        </w:tc>
        <w:tc>
          <w:tcPr>
            <w:tcW w:w="0" w:type="dxa"/>
            <w:vAlign w:val="bottom"/>
          </w:tcPr>
          <w:p>
            <w:pPr>
              <w:spacing w:after="0"/>
              <w:rPr>
                <w:sz w:val="1"/>
                <w:szCs w:val="1"/>
                <w:color w:val="auto"/>
              </w:rPr>
            </w:pPr>
          </w:p>
        </w:tc>
      </w:tr>
      <w:tr>
        <w:trPr>
          <w:trHeight w:val="211"/>
        </w:trPr>
        <w:tc>
          <w:tcPr>
            <w:tcW w:w="4740" w:type="dxa"/>
            <w:vAlign w:val="bottom"/>
          </w:tcPr>
          <w:p>
            <w:pPr>
              <w:ind w:left="220"/>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454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4"/>
                <w:szCs w:val="14"/>
                <w:color w:val="auto"/>
              </w:rPr>
            </w:pPr>
          </w:p>
        </w:tc>
        <w:tc>
          <w:tcPr>
            <w:tcW w:w="13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w w:val="98"/>
              </w:rPr>
              <w:t>Gross Value</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Net Value</w:t>
            </w: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amortization period</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6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7.5</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software implementation costs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4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2"/>
              </w:rPr>
              <w:t>2.6</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related to intangible assets was $14 thousand and $96 thousand for the three and nine months ended September 30, 2022, respectively, and $14 thousand and $37 thousand for the three and nine months ended September 30, 2021,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spacing w:after="0"/>
              <w:rPr>
                <w:sz w:val="20"/>
                <w:szCs w:val="20"/>
                <w:color w:val="auto"/>
              </w:rPr>
            </w:pPr>
            <w:r>
              <w:rPr>
                <w:rFonts w:ascii="Arial" w:cs="Arial" w:eastAsia="Arial" w:hAnsi="Arial"/>
                <w:sz w:val="17"/>
                <w:szCs w:val="17"/>
                <w:color w:val="auto"/>
              </w:rPr>
              <w:t>As of September 30, 2022, the future estimated amortization expense related to intangible assets is as follows:</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88"/>
        </w:trPr>
        <w:tc>
          <w:tcPr>
            <w:tcW w:w="9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2023</w:t>
            </w:r>
          </w:p>
        </w:tc>
        <w:tc>
          <w:tcPr>
            <w:tcW w:w="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2025</w:t>
            </w:r>
          </w:p>
        </w:tc>
        <w:tc>
          <w:tcPr>
            <w:tcW w:w="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37"/>
        </w:trPr>
        <w:tc>
          <w:tcPr>
            <w:tcW w:w="9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Leases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under non-cancellable operating leases with terms expiring from November 2022 through February 2028. The leases require monthly lease payments that are subject to annual increase throughout the lease term.</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2021, the Company commenced a lease at a new location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 The Company has one additional minor lease expiring in November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operating lease expense were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7. Leases </w:t>
      </w:r>
      <w:r>
        <w:rPr>
          <w:rFonts w:ascii="Arial" w:cs="Arial" w:eastAsia="Arial" w:hAnsi="Arial"/>
          <w:sz w:val="17"/>
          <w:szCs w:val="17"/>
          <w:color w:val="auto"/>
        </w:rPr>
        <w:t>(cont.)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76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Nine Months Ended</w:t>
            </w: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7"/>
                <w:szCs w:val="17"/>
                <w:b w:val="1"/>
                <w:bCs w:val="1"/>
                <w:color w:val="auto"/>
                <w:w w:val="94"/>
              </w:rPr>
              <w:t>September 30,</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13"/>
        </w:trPr>
        <w:tc>
          <w:tcPr>
            <w:tcW w:w="47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435</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1,229</w:t>
            </w:r>
          </w:p>
        </w:tc>
        <w:tc>
          <w:tcPr>
            <w:tcW w:w="8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1,306</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expense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expense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expense</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the weighted-average remaining lease term was 5.4 years and the weighted-average discount rate was 5.6%.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40" w:type="dxa"/>
            <w:vAlign w:val="bottom"/>
          </w:tcPr>
          <w:p>
            <w:pPr>
              <w:spacing w:after="0"/>
              <w:rPr>
                <w:sz w:val="20"/>
                <w:szCs w:val="20"/>
                <w:color w:val="auto"/>
              </w:rPr>
            </w:pPr>
            <w:r>
              <w:rPr>
                <w:rFonts w:ascii="Arial" w:cs="Arial" w:eastAsia="Arial" w:hAnsi="Arial"/>
                <w:sz w:val="17"/>
                <w:szCs w:val="17"/>
                <w:color w:val="auto"/>
              </w:rPr>
              <w:t>As of September 30, 2022, the maturities of the Company’s operating lease liabilities were as follows: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w:t>
            </w: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8. Accrued Expenses</w:t>
            </w: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040" w:type="dxa"/>
            <w:vAlign w:val="bottom"/>
          </w:tcPr>
          <w:p>
            <w:pPr>
              <w:spacing w:after="0"/>
              <w:rPr>
                <w:sz w:val="20"/>
                <w:szCs w:val="20"/>
                <w:color w:val="auto"/>
              </w:rPr>
            </w:pPr>
            <w:r>
              <w:rPr>
                <w:rFonts w:ascii="Arial" w:cs="Arial" w:eastAsia="Arial" w:hAnsi="Arial"/>
                <w:sz w:val="17"/>
                <w:szCs w:val="17"/>
                <w:color w:val="auto"/>
              </w:rPr>
              <w:t>Accrued expenses consisted of the following:</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5"/>
                <w:szCs w:val="15"/>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w w:val="91"/>
              </w:rPr>
              <w:t>September 30,</w:t>
            </w:r>
          </w:p>
        </w:tc>
        <w:tc>
          <w:tcPr>
            <w:tcW w:w="22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2022</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and other professional services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Compensation expense</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2,715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3,862</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projects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Offering costs</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expense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Payroll tax expense</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163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SAFE Notes</w:t>
      </w:r>
    </w:p>
    <w:p>
      <w:pPr>
        <w:spacing w:after="0" w:line="15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issued SAFE notes to investors. During the nine months ended September 30, 2021, the Company issued SAFE notes to investors in exchange for aggregate proceeds of $30.9 million. On August 12, 2021, as a result of the Business Combination, all of the Company’s outstanding SAFE notes, representing principal of $78 million and a fair value of $136 million on the conversion date, converted into 12,403,469 shares of Common Stock of the Combined Company.</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The income (loss) reported from the decrease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SAFE Notes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(increase) in the estimated fair value of the SAFE notes was $26.9 million and $209.3 million for the three and nine months ended September 30, 2021, respectively. These amounts are included in other income (expense).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Loan Payable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with the offset recorded as a debt discount. On August 12, 2021 the lender exercised the warrant. See Note 11. Additionally, the Company incurred debt issuance costs of $0.1 million, which were recorded as a direct deduction from the carrying amount of the Term Loan.</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exercised extended repayment schedule, the unamortized discount and issuance costs were recast over the updated term of the loan and resulted in a recalculated effective interest rate of 28.2%. Interest expense amortization was $0.7 million and $2.1 million for the three and nine months ended September 30, 2022, respectively, and $3.6 million and $6.9 million for the three and nine months ended September 30, 2021, respectively.</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2022, the Company’s total loan payable consisted of gross Term Loan payable of $18.3 million and accrued interest of $0.1 million, offset by unamortized debt discount and issuance costs of $2.0 million. The Term Loan principal has future scheduled maturities for the remainder of 2022 of $3.0 million, as well as $13.0 million and $2.3 million for 2023 and 2024,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Notes</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June 29, 2021, the Company and SRAC amended the Merger Agreement which, among other things, provided for the issuance by the Company of two second lien notes (the “Promissory Notes”). The Promissory Notes, in the amount of $1.5 million each, were held by the Company’s outside counsel and SRAC, and were for certain legal fees and expenses incurred by SRAC and the Company in relation to the Business Combination. As a result of the Business Combination, the amount due to SRAC became an intercompany transaction which was eliminated from the combined entity’s consolidated balance sheets. During the year ended December 31, 2021, the Company signed an agreement with its outside counsel and made a payment which settled the Promissory Notes as well as all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Loan Payable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payables. The agreement resulted in a reduction of $2.6 million in the amount due for expenses incurred during the year, which was recorded as a reduction to legal expenses.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Stockholders’ Equity (Deficit) and Stock-based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and Preferred Stock</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At the Closing of the Business Combination, the Company had 79,772,262 shares of Common Stock outstanding and no shares of Preferred Stock outstanding.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Company’s Common Stock outstanding immediately after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19"/>
                <w:szCs w:val="19"/>
                <w:color w:val="auto"/>
              </w:rPr>
            </w:pPr>
          </w:p>
        </w:tc>
        <w:tc>
          <w:tcPr>
            <w:tcW w:w="1520" w:type="dxa"/>
            <w:vAlign w:val="bottom"/>
            <w:gridSpan w:val="2"/>
          </w:tcPr>
          <w:p>
            <w:pPr>
              <w:ind w:left="460"/>
              <w:spacing w:after="0"/>
              <w:rPr>
                <w:sz w:val="20"/>
                <w:szCs w:val="20"/>
                <w:color w:val="auto"/>
              </w:rPr>
            </w:pPr>
            <w:r>
              <w:rPr>
                <w:rFonts w:ascii="Arial" w:cs="Arial" w:eastAsia="Arial" w:hAnsi="Arial"/>
                <w:sz w:val="17"/>
                <w:szCs w:val="17"/>
                <w:b w:val="1"/>
                <w:bCs w:val="1"/>
                <w:color w:val="auto"/>
              </w:rPr>
              <w:t>Shares</w:t>
            </w:r>
          </w:p>
        </w:tc>
        <w:tc>
          <w:tcPr>
            <w:tcW w:w="1360" w:type="dxa"/>
            <w:vAlign w:val="bottom"/>
          </w:tcPr>
          <w:p>
            <w:pPr>
              <w:jc w:val="right"/>
              <w:ind w:right="414"/>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r>
      <w:tr>
        <w:trPr>
          <w:trHeight w:val="21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Momentus Space, LLC unit holders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50,419,505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Public stockholders</w:t>
            </w:r>
          </w:p>
        </w:tc>
        <w:tc>
          <w:tcPr>
            <w:tcW w:w="1420" w:type="dxa"/>
            <w:vAlign w:val="bottom"/>
          </w:tcPr>
          <w:p>
            <w:pPr>
              <w:jc w:val="right"/>
              <w:spacing w:after="0"/>
              <w:rPr>
                <w:sz w:val="20"/>
                <w:szCs w:val="20"/>
                <w:color w:val="auto"/>
              </w:rPr>
            </w:pPr>
            <w:r>
              <w:rPr>
                <w:rFonts w:ascii="Arial" w:cs="Arial" w:eastAsia="Arial" w:hAnsi="Arial"/>
                <w:sz w:val="17"/>
                <w:szCs w:val="17"/>
                <w:color w:val="auto"/>
              </w:rPr>
              <w:t>13,695,257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SRAC and its affiliates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4,657,500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PIPE Investors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11,000,000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79,772,262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Stock Repurchase Agreements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program describe below, resulting in an estimated liability of $10.0 million expected to be paid to the Co-Founders with a corresponding offset to additional paid in capital within the statements of stockholders’ equity (deficit), as of September 30, 2022.</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Purchase Warrants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February 2021, the Company entered into the Term Loan.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with the offset recorded as a debt discount. The Company recorded the (decrease) increase in the estimated fair value of the warrant of $0.3 million and $(10.7) million for three and nine months ended September 30, 2021, respectively, within other (income) expense in the accompanying consolidated income statements. The warrants were exercised by the lender immediately prior to the Business Combination. The loan remains outstanding as of September 30, 2022.</w:t>
      </w:r>
    </w:p>
    <w:p>
      <w:pPr>
        <w:spacing w:after="0" w:line="10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March 2020, the Company entered into an equipment financing agreement to fund the acquisition of specific and eligible equipment (the “Equipment Loan”). In conjunction with the Equipment Loan, the Company issued stock purchase warrants to the lender, which allowed for the purchase of 191,108 shares of Common Stock in a subsequent round of financing. These warrants were also accounted for as a derivative liability and the (decrease) increase in the estimated fair value of the warrant of $0.4 million and $(1.1) million for the three and nine months ended September 30, 2021, respectively, was recorded within other (income) expense in the accompanying consolidated income statements. The warrants were exercised by the lender immediately prior to the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September 30, 2022, the Company had public and private warrants outstanding to purchase 8,625,000 and 11,272,500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the Company had private warrants outstanding to purchase 308,569 shares of Common Stock, with an exercise price of $0.20 per share, unrelated to the Business Combination, which were exercised on a net basis for 278,146 shares during the nine months ended September 30, 2022.</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private warrants assumed in connection with the Business Combination were accounted for as a derivative liability and the (decrease) increase in estimated fair value of the warrants of $(1.6) million and $(3.4) million for the three and nine months ended September 30, 2022, respectively, and $2.0 million for the three and nine months ended September 30, 2021 was recorded within other (income) expense. The public warrants and the legacy outstanding private warrants were recorded as equity within statements of stockholders’ equity (deficit).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Sponsor Earnout Shares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Sponsor Earnout Shares are recorded within equity. Due to the contingently forfeitable nature of the shares, the Sponsor Earnout Shares are excluded from basic EPS calculations but are considered potentially dilutive shares of the purposes of diluted EPS (refer to “</w:t>
      </w:r>
      <w:r>
        <w:rPr>
          <w:rFonts w:ascii="Arial" w:cs="Arial" w:eastAsia="Arial" w:hAnsi="Arial"/>
          <w:sz w:val="16"/>
          <w:szCs w:val="16"/>
          <w:i w:val="1"/>
          <w:iCs w:val="1"/>
          <w:color w:val="auto"/>
        </w:rPr>
        <w:t>Income (Loss) Per Share”</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up to $50.0 million. Under the ATM Sales Agreement, the sales agent will be entitled to compensation at a commission rate of up to 3.0% of the gross sales price per share sold.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there were no sales under the ATM Sales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Incentive Plans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Stock Plans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nine months ended September 30, 2022, the shares available for grant under the 2021 Plan increased by 2,436,353 and 313,758 due to the evergreen provision and forfeitures from the Initial Plan and the 2018 Plan, respectively. As of September 30, 2022, there were 1,644,169 shares remaining available for grant. Grant activity under the 2021 Plan is described below.</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1,595,445 shares. The 2021 ESPP Plan became effective immediately following the Closing. During the nine months ended September 30, 2022, the shares available for issuance under the 2021 ESPP Plan increased by 406,059 due to the evergreen provision. During the nine months ended September 30, 2022, 77,162 shares were issued under the 2021 ESPP Plan. The Company has an outstanding liability pertaining to the ESPP of $0.2 million as of September 30, 2022, included in accrued expenses, for employee contributions to the 2021 ESPP Plan, pending issuance at the end of the offering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Inducement Equity Plan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 As of September 30, 2022 only RSU grants have been made under the 2022 Plan and there were 1,079,933 shares remaining available for grant. Grant activity under the 2022 Plan is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Activity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summary of options activity, under the 2018 Plan and the 2021 Plans, for the nine months ended September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Weighted- Average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Weighted- Average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Remaining</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8"/>
        </w:trPr>
        <w:tc>
          <w:tcPr>
            <w:tcW w:w="562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 except share-based data)</w:t>
            </w:r>
          </w:p>
        </w:tc>
        <w:tc>
          <w:tcPr>
            <w:tcW w:w="13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Total 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88"/>
              </w:rPr>
              <w:t>Exercise Price Per</w:t>
            </w:r>
          </w:p>
        </w:tc>
        <w:tc>
          <w:tcPr>
            <w:tcW w:w="15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1"/>
              </w:rPr>
              <w:t>Contractual Term (in</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years)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4,040,360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0.27</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spacing w:after="0"/>
              <w:rPr>
                <w:sz w:val="20"/>
                <w:szCs w:val="20"/>
                <w:color w:val="auto"/>
              </w:rPr>
            </w:pPr>
            <w:r>
              <w:rPr>
                <w:rFonts w:ascii="Arial" w:cs="Arial" w:eastAsia="Arial" w:hAnsi="Arial"/>
                <w:sz w:val="15"/>
                <w:szCs w:val="15"/>
                <w:color w:val="auto"/>
              </w:rPr>
              <w:t>1,064,862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2.54</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(1,947,970)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0.27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(313,758)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rPr>
              <w:t>0.28</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as of September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2,843,494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1.12</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6"/>
              </w:rPr>
              <w:t>7.9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tcPr>
          <w:p>
            <w:pPr>
              <w:ind w:left="20"/>
              <w:spacing w:after="0"/>
              <w:rPr>
                <w:sz w:val="20"/>
                <w:szCs w:val="20"/>
                <w:color w:val="auto"/>
              </w:rPr>
            </w:pPr>
            <w:r>
              <w:rPr>
                <w:rFonts w:ascii="Arial" w:cs="Arial" w:eastAsia="Arial" w:hAnsi="Arial"/>
                <w:sz w:val="15"/>
                <w:szCs w:val="15"/>
                <w:color w:val="auto"/>
              </w:rPr>
              <w:t>Exercisable as of September 30,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1,402,846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0.55</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6"/>
              </w:rPr>
              <w:t>7.1</w:t>
            </w:r>
          </w:p>
        </w:tc>
        <w:tc>
          <w:tcPr>
            <w:tcW w:w="80" w:type="dxa"/>
            <w:vAlign w:val="bottom"/>
          </w:tcPr>
          <w:p>
            <w:pPr>
              <w:spacing w:after="0"/>
              <w:rPr>
                <w:sz w:val="15"/>
                <w:szCs w:val="15"/>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1,364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 and expected to vest as of September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2,843,494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1.12</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6"/>
              </w:rPr>
              <w:t>7.9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there was a total of $1.6 million in unrecognized compensation cost related to unvested options, which is expected to be recognized over a weighted-average period of 1.9 years.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intrinsic value of options exercised during the three and nine months ended September 30, 2022, was $0.7 million and $4.9 million, respectively, and during the three and nine months ended September 30, 2021 was $10.2 million and $15.6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under the Black-Scholes-Merton Option Pricing model and weighted average fair value of options on the grant date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80" w:type="dxa"/>
            <w:vAlign w:val="bottom"/>
            <w:gridSpan w:val="3"/>
          </w:tcPr>
          <w:p>
            <w:pPr>
              <w:jc w:val="center"/>
              <w:ind w:right="1236"/>
              <w:spacing w:after="0"/>
              <w:rPr>
                <w:sz w:val="20"/>
                <w:szCs w:val="20"/>
                <w:color w:val="auto"/>
              </w:rPr>
            </w:pPr>
            <w:r>
              <w:rPr>
                <w:rFonts w:ascii="Arial" w:cs="Arial" w:eastAsia="Arial" w:hAnsi="Arial"/>
                <w:sz w:val="15"/>
                <w:szCs w:val="15"/>
                <w:b w:val="1"/>
                <w:bCs w:val="1"/>
                <w:color w:val="auto"/>
                <w:w w:val="95"/>
              </w:rPr>
              <w:t>Nine Months Ended</w:t>
            </w:r>
          </w:p>
        </w:tc>
      </w:tr>
      <w:tr>
        <w:trPr>
          <w:trHeight w:val="204"/>
        </w:trPr>
        <w:tc>
          <w:tcPr>
            <w:tcW w:w="36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center"/>
              <w:ind w:right="1236"/>
              <w:spacing w:after="0"/>
              <w:rPr>
                <w:sz w:val="20"/>
                <w:szCs w:val="20"/>
                <w:color w:val="auto"/>
              </w:rPr>
            </w:pPr>
            <w:r>
              <w:rPr>
                <w:rFonts w:ascii="Arial" w:cs="Arial" w:eastAsia="Arial" w:hAnsi="Arial"/>
                <w:sz w:val="15"/>
                <w:szCs w:val="15"/>
                <w:b w:val="1"/>
                <w:bCs w:val="1"/>
                <w:color w:val="auto"/>
                <w:w w:val="91"/>
              </w:rPr>
              <w:t>September 30,</w:t>
            </w:r>
          </w:p>
        </w:tc>
      </w:tr>
      <w:tr>
        <w:trPr>
          <w:trHeight w:val="199"/>
        </w:trPr>
        <w:tc>
          <w:tcPr>
            <w:tcW w:w="362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ind w:left="603"/>
              <w:spacing w:after="0"/>
              <w:rPr>
                <w:sz w:val="20"/>
                <w:szCs w:val="20"/>
                <w:color w:val="auto"/>
              </w:rPr>
            </w:pPr>
            <w:r>
              <w:rPr>
                <w:rFonts w:ascii="Arial" w:cs="Arial" w:eastAsia="Arial" w:hAnsi="Arial"/>
                <w:sz w:val="15"/>
                <w:szCs w:val="15"/>
                <w:b w:val="1"/>
                <w:bCs w:val="1"/>
                <w:color w:val="auto"/>
                <w:w w:val="95"/>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2021</w:t>
            </w: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4840" w:type="dxa"/>
            <w:vAlign w:val="bottom"/>
            <w:gridSpan w:val="2"/>
            <w:shd w:val="clear" w:color="auto" w:fill="CCEEFF"/>
          </w:tcPr>
          <w:p>
            <w:pPr>
              <w:jc w:val="center"/>
              <w:ind w:left="4114"/>
              <w:spacing w:after="0"/>
              <w:rPr>
                <w:sz w:val="20"/>
                <w:szCs w:val="20"/>
                <w:color w:val="auto"/>
              </w:rPr>
            </w:pPr>
            <w:r>
              <w:rPr>
                <w:rFonts w:ascii="Arial" w:cs="Arial" w:eastAsia="Arial" w:hAnsi="Arial"/>
                <w:sz w:val="17"/>
                <w:szCs w:val="17"/>
                <w:color w:val="auto"/>
                <w:w w:val="84"/>
              </w:rPr>
              <w:t>5.8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4840" w:type="dxa"/>
            <w:vAlign w:val="bottom"/>
            <w:gridSpan w:val="2"/>
          </w:tcPr>
          <w:p>
            <w:pPr>
              <w:jc w:val="center"/>
              <w:ind w:left="4114"/>
              <w:spacing w:after="0"/>
              <w:rPr>
                <w:sz w:val="20"/>
                <w:szCs w:val="20"/>
                <w:color w:val="auto"/>
              </w:rPr>
            </w:pPr>
            <w:r>
              <w:rPr>
                <w:rFonts w:ascii="Arial" w:cs="Arial" w:eastAsia="Arial" w:hAnsi="Arial"/>
                <w:sz w:val="17"/>
                <w:szCs w:val="17"/>
                <w:color w:val="auto"/>
                <w:w w:val="91"/>
              </w:rPr>
              <w:t>2.35%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ind w:left="860"/>
              <w:spacing w:after="0"/>
              <w:rPr>
                <w:sz w:val="20"/>
                <w:szCs w:val="20"/>
                <w:color w:val="auto"/>
              </w:rPr>
            </w:pPr>
            <w:r>
              <w:rPr>
                <w:rFonts w:ascii="Arial" w:cs="Arial" w:eastAsia="Arial" w:hAnsi="Arial"/>
                <w:sz w:val="17"/>
                <w:szCs w:val="17"/>
                <w:color w:val="auto"/>
              </w:rPr>
              <w:t>N/A</w:t>
            </w:r>
          </w:p>
        </w:tc>
      </w:tr>
      <w:tr>
        <w:trPr>
          <w:trHeight w:val="220"/>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4840" w:type="dxa"/>
            <w:vAlign w:val="bottom"/>
            <w:gridSpan w:val="2"/>
            <w:shd w:val="clear" w:color="auto" w:fill="CCEEFF"/>
          </w:tcPr>
          <w:p>
            <w:pPr>
              <w:jc w:val="center"/>
              <w:ind w:left="4114"/>
              <w:spacing w:after="0"/>
              <w:rPr>
                <w:sz w:val="20"/>
                <w:szCs w:val="20"/>
                <w:color w:val="auto"/>
              </w:rPr>
            </w:pPr>
            <w:r>
              <w:rPr>
                <w:rFonts w:ascii="Arial" w:cs="Arial" w:eastAsia="Arial" w:hAnsi="Arial"/>
                <w:sz w:val="17"/>
                <w:szCs w:val="17"/>
                <w:color w:val="auto"/>
                <w:w w:val="90"/>
              </w:rPr>
              <w:t>61.90%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4840" w:type="dxa"/>
            <w:vAlign w:val="bottom"/>
            <w:gridSpan w:val="2"/>
          </w:tcPr>
          <w:p>
            <w:pPr>
              <w:jc w:val="center"/>
              <w:ind w:left="4114"/>
              <w:spacing w:after="0"/>
              <w:rPr>
                <w:sz w:val="20"/>
                <w:szCs w:val="20"/>
                <w:color w:val="auto"/>
              </w:rPr>
            </w:pPr>
            <w:r>
              <w:rPr>
                <w:rFonts w:ascii="Arial" w:cs="Arial" w:eastAsia="Arial" w:hAnsi="Arial"/>
                <w:sz w:val="17"/>
                <w:szCs w:val="17"/>
                <w:color w:val="auto"/>
                <w:w w:val="91"/>
              </w:rPr>
              <w:t>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ind w:left="860"/>
              <w:spacing w:after="0"/>
              <w:rPr>
                <w:sz w:val="20"/>
                <w:szCs w:val="20"/>
                <w:color w:val="auto"/>
              </w:rPr>
            </w:pPr>
            <w:r>
              <w:rPr>
                <w:rFonts w:ascii="Arial" w:cs="Arial" w:eastAsia="Arial" w:hAnsi="Arial"/>
                <w:sz w:val="17"/>
                <w:szCs w:val="17"/>
                <w:color w:val="auto"/>
              </w:rPr>
              <w:t>N/A</w:t>
            </w:r>
          </w:p>
        </w:tc>
      </w:tr>
      <w:tr>
        <w:trPr>
          <w:trHeight w:val="220"/>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on grant date</w:t>
            </w:r>
          </w:p>
        </w:tc>
        <w:tc>
          <w:tcPr>
            <w:tcW w:w="4840" w:type="dxa"/>
            <w:vAlign w:val="bottom"/>
            <w:gridSpan w:val="2"/>
            <w:shd w:val="clear" w:color="auto" w:fill="CCEEFF"/>
          </w:tcPr>
          <w:p>
            <w:pPr>
              <w:jc w:val="center"/>
              <w:ind w:left="4114"/>
              <w:spacing w:after="0"/>
              <w:rPr>
                <w:sz w:val="20"/>
                <w:szCs w:val="20"/>
                <w:color w:val="auto"/>
              </w:rPr>
            </w:pPr>
            <w:r>
              <w:rPr>
                <w:rFonts w:ascii="Arial" w:cs="Arial" w:eastAsia="Arial" w:hAnsi="Arial"/>
                <w:sz w:val="17"/>
                <w:szCs w:val="17"/>
                <w:color w:val="auto"/>
                <w:w w:val="93"/>
              </w:rPr>
              <w:t>$1.46</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r>
        <w:trPr>
          <w:trHeight w:val="836"/>
        </w:trPr>
        <w:tc>
          <w:tcPr>
            <w:tcW w:w="3620" w:type="dxa"/>
            <w:vAlign w:val="bottom"/>
          </w:tcPr>
          <w:p>
            <w:pPr>
              <w:spacing w:after="0"/>
              <w:rPr>
                <w:sz w:val="24"/>
                <w:szCs w:val="24"/>
                <w:color w:val="auto"/>
              </w:rPr>
            </w:pPr>
          </w:p>
        </w:tc>
        <w:tc>
          <w:tcPr>
            <w:tcW w:w="3520" w:type="dxa"/>
            <w:vAlign w:val="bottom"/>
          </w:tcPr>
          <w:p>
            <w:pPr>
              <w:jc w:val="right"/>
              <w:ind w:right="1354"/>
              <w:spacing w:after="0"/>
              <w:rPr>
                <w:sz w:val="20"/>
                <w:szCs w:val="20"/>
                <w:color w:val="auto"/>
              </w:rPr>
            </w:pPr>
            <w:r>
              <w:rPr>
                <w:rFonts w:ascii="Arial" w:cs="Arial" w:eastAsia="Arial" w:hAnsi="Arial"/>
                <w:sz w:val="17"/>
                <w:szCs w:val="17"/>
                <w:color w:val="auto"/>
              </w:rPr>
              <w:t>30</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0"/>
        </w:trPr>
        <w:tc>
          <w:tcPr>
            <w:tcW w:w="362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and Restricted Stock Award Activity</w:t>
      </w:r>
    </w:p>
    <w:p>
      <w:pPr>
        <w:spacing w:after="0" w:line="14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the summary of RSU and RSA activity, under the Initial Plan, the 2018 Plan, the 2021 Plan, and the 2022 Plan, for the nine months ended September 30, 2022. RSAs were an immaterial portion of activity for the period:</w:t>
      </w:r>
    </w:p>
    <w:p>
      <w:pPr>
        <w:spacing w:after="0" w:line="125" w:lineRule="exact"/>
        <w:rPr>
          <w:sz w:val="20"/>
          <w:szCs w:val="20"/>
          <w:color w:val="auto"/>
        </w:rPr>
      </w:pPr>
    </w:p>
    <w:p>
      <w:pPr>
        <w:ind w:left="9140"/>
        <w:spacing w:after="0"/>
        <w:rPr>
          <w:sz w:val="20"/>
          <w:szCs w:val="20"/>
          <w:color w:val="auto"/>
        </w:rPr>
      </w:pPr>
      <w:r>
        <w:rPr>
          <w:rFonts w:ascii="Arial" w:cs="Arial" w:eastAsia="Arial" w:hAnsi="Arial"/>
          <w:sz w:val="17"/>
          <w:szCs w:val="17"/>
          <w:b w:val="1"/>
          <w:bCs w:val="1"/>
          <w:color w:val="auto"/>
        </w:rPr>
        <w:t>Weighted Average Grant</w:t>
      </w:r>
    </w:p>
    <w:p>
      <w:pPr>
        <w:ind w:left="9100"/>
        <w:spacing w:after="0" w:line="221" w:lineRule="auto"/>
        <w:rPr>
          <w:sz w:val="20"/>
          <w:szCs w:val="20"/>
          <w:color w:val="auto"/>
        </w:rPr>
      </w:pPr>
      <w:r>
        <w:rPr>
          <w:rFonts w:ascii="Arial" w:cs="Arial" w:eastAsia="Arial" w:hAnsi="Arial"/>
          <w:sz w:val="17"/>
          <w:szCs w:val="17"/>
          <w:b w:val="1"/>
          <w:bCs w:val="1"/>
          <w:color w:val="auto"/>
        </w:rPr>
        <w:t>Date Fair Value (i.e. share</w:t>
      </w:r>
    </w:p>
    <w:p>
      <w:pPr>
        <w:ind w:left="7600"/>
        <w:spacing w:after="0"/>
        <w:tabs>
          <w:tab w:leader="none" w:pos="9820" w:val="left"/>
        </w:tabs>
        <w:rPr>
          <w:sz w:val="20"/>
          <w:szCs w:val="20"/>
          <w:color w:val="auto"/>
        </w:rPr>
      </w:pPr>
      <w:r>
        <w:rPr>
          <w:rFonts w:ascii="Arial" w:cs="Arial" w:eastAsia="Arial" w:hAnsi="Arial"/>
          <w:sz w:val="17"/>
          <w:szCs w:val="17"/>
          <w:b w:val="1"/>
          <w:bCs w:val="1"/>
          <w:color w:val="auto"/>
        </w:rPr>
        <w:t>Shares</w:t>
      </w:r>
      <w:r>
        <w:rPr>
          <w:sz w:val="20"/>
          <w:szCs w:val="20"/>
          <w:color w:val="auto"/>
        </w:rPr>
        <w:tab/>
      </w:r>
      <w:r>
        <w:rPr>
          <w:rFonts w:ascii="Arial" w:cs="Arial" w:eastAsia="Arial" w:hAnsi="Arial"/>
          <w:sz w:val="17"/>
          <w:szCs w:val="17"/>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89140" cy="147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Outstanding as of December 31, 2021</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Vested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Outstanding as of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2,812,110</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10.87</w:t>
            </w:r>
          </w:p>
        </w:tc>
      </w:tr>
      <w:tr>
        <w:trPr>
          <w:trHeight w:val="217"/>
        </w:trPr>
        <w:tc>
          <w:tcPr>
            <w:tcW w:w="2200" w:type="dxa"/>
            <w:vAlign w:val="bottom"/>
          </w:tcPr>
          <w:p>
            <w:pPr>
              <w:jc w:val="right"/>
              <w:spacing w:after="0"/>
              <w:rPr>
                <w:sz w:val="20"/>
                <w:szCs w:val="20"/>
                <w:color w:val="auto"/>
              </w:rPr>
            </w:pPr>
            <w:r>
              <w:rPr>
                <w:rFonts w:ascii="Arial" w:cs="Arial" w:eastAsia="Arial" w:hAnsi="Arial"/>
                <w:sz w:val="17"/>
                <w:szCs w:val="17"/>
                <w:color w:val="auto"/>
              </w:rPr>
              <w:t>7,246,487</w:t>
            </w:r>
          </w:p>
        </w:tc>
        <w:tc>
          <w:tcPr>
            <w:tcW w:w="9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19"/>
        </w:trPr>
        <w:tc>
          <w:tcPr>
            <w:tcW w:w="2200" w:type="dxa"/>
            <w:vAlign w:val="bottom"/>
          </w:tcPr>
          <w:p>
            <w:pPr>
              <w:jc w:val="right"/>
              <w:spacing w:after="0"/>
              <w:rPr>
                <w:sz w:val="20"/>
                <w:szCs w:val="20"/>
                <w:color w:val="auto"/>
              </w:rPr>
            </w:pPr>
            <w:r>
              <w:rPr>
                <w:rFonts w:ascii="Arial" w:cs="Arial" w:eastAsia="Arial" w:hAnsi="Arial"/>
                <w:sz w:val="17"/>
                <w:szCs w:val="17"/>
                <w:color w:val="auto"/>
              </w:rPr>
              <w:t>(603,278)</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9.59</w:t>
            </w:r>
          </w:p>
        </w:tc>
      </w:tr>
      <w:tr>
        <w:trPr>
          <w:trHeight w:val="220"/>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(1,285,914)</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r>
      <w:tr>
        <w:trPr>
          <w:trHeight w:val="212"/>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8,169,405</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-457835</wp:posOffset>
            </wp:positionV>
            <wp:extent cx="708914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-179705</wp:posOffset>
            </wp:positionV>
            <wp:extent cx="7089140" cy="163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333" w:right="339" w:bottom="1440" w:gutter="0" w:footer="0" w:header="0"/>
          <w:type w:val="continuous"/>
        </w:sectPr>
      </w:pPr>
    </w:p>
    <w:p>
      <w:pPr>
        <w:spacing w:after="0" w:line="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there was a total of $29.8 million in unrecognized compensation cost related to unvested RSUs, which is expected to be recognized over a weighted-average period of 1.7 years. Outstanding unvested and expected to vest RSUs had an intrinsic value of $11.2 million.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expense type: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660" w:type="dxa"/>
            <w:vAlign w:val="bottom"/>
            <w:gridSpan w:val="4"/>
          </w:tcPr>
          <w:p>
            <w:pPr>
              <w:jc w:val="right"/>
              <w:ind w:right="277"/>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b w:val="1"/>
                <w:bCs w:val="1"/>
                <w:color w:val="auto"/>
                <w:w w:val="92"/>
              </w:rPr>
              <w:t>Nine Months Ended</w:t>
            </w:r>
          </w:p>
        </w:tc>
        <w:tc>
          <w:tcPr>
            <w:tcW w:w="940" w:type="dxa"/>
            <w:vAlign w:val="bottom"/>
          </w:tcPr>
          <w:p>
            <w:pPr>
              <w:spacing w:after="0"/>
              <w:rPr>
                <w:sz w:val="14"/>
                <w:szCs w:val="14"/>
                <w:color w:val="auto"/>
              </w:rPr>
            </w:pPr>
          </w:p>
        </w:tc>
      </w:tr>
      <w:tr>
        <w:trPr>
          <w:trHeight w:val="202"/>
        </w:trPr>
        <w:tc>
          <w:tcPr>
            <w:tcW w:w="4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0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w w:val="89"/>
              </w:rPr>
              <w:t>2021</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6,911</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11,001</w:t>
            </w: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award type: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40" w:type="dxa"/>
            <w:vAlign w:val="bottom"/>
          </w:tcPr>
          <w:p>
            <w:pPr>
              <w:spacing w:after="0"/>
              <w:rPr>
                <w:sz w:val="15"/>
                <w:szCs w:val="15"/>
                <w:color w:val="auto"/>
              </w:rPr>
            </w:pPr>
          </w:p>
        </w:tc>
      </w:tr>
      <w:tr>
        <w:trPr>
          <w:trHeight w:val="202"/>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0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w w:val="89"/>
              </w:rPr>
              <w:t>2021</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11,187</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RSUs &amp; RSAs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3,096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8,079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30,657 shares if they were settled on September 30, 2022.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Modifications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2021, in connection with the resignation of one of the Company’s former officers, the Company modified the former officer’s outstanding awards, which resulted in the vesting of options for 273,571 shares.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22, 2021, in connection with the resignation of one of the Company’s former directors, the Company modified the former director’s outstanding award, which resulted in the vesting of options for 205,618 shares. The 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11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 Type III modification resulted in a remeasured fair values ranging from $20.67 to $20.91 per share. The incremental compensation related to the accelerated options totaled $5.4 million.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Income Per Share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diluted net (loss) income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60"/>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6"/>
                <w:szCs w:val="16"/>
                <w:color w:val="auto"/>
              </w:rPr>
            </w:pPr>
          </w:p>
        </w:tc>
        <w:tc>
          <w:tcPr>
            <w:tcW w:w="284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Diluted Net (Loss) Income Per Share</w:t>
            </w: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 except share-based data)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 income</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(21,298)</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123,384</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4"/>
              </w:rPr>
              <w:t>Net loss allocated to common stockholders for diluted net loss per</w:t>
            </w:r>
          </w:p>
        </w:tc>
        <w:tc>
          <w:tcPr>
            <w:tcW w:w="36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(5,614)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(71,004)</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123,384</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Denominator for basic net (loss) income per share - weighted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shares outstanding</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82,066,795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60,589,566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81,122,541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59,873,199</w:t>
            </w: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Dilutive options and unvested stock units outstanding</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4,056,805</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Dilutive warrants outstanding</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302,533</w:t>
            </w: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7"/>
                <w:szCs w:val="17"/>
                <w:color w:val="auto"/>
              </w:rPr>
              <w:t>Denominator for diluted net loss per share - adjusted weighted</w:t>
            </w: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82,066,795</w:t>
            </w: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60,589,566</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81,122,541</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64,232,537</w:t>
            </w: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7"/>
                <w:szCs w:val="17"/>
                <w:color w:val="auto"/>
              </w:rPr>
              <w:t>average shares outstanding</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Net (loss) income per share - basic</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(0.26)</w:t>
            </w:r>
          </w:p>
        </w:tc>
        <w:tc>
          <w:tcPr>
            <w:tcW w:w="8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(0.88)</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 per share - diluted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Net (loss) income per share is provided in accordance with ASC 260-10,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share is computed by dividing net (loss) income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the Company incurred a net loss for the three and nine months ended September 30, 2022, and the three months ended September 30, 2021,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potential common shares that were excluded as their effect is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30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92"/>
              </w:rPr>
              <w:t>Three Months Ended</w:t>
            </w:r>
          </w:p>
        </w:tc>
        <w:tc>
          <w:tcPr>
            <w:tcW w:w="32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3"/>
              </w:rPr>
              <w:t>Nine Months Ended</w:t>
            </w:r>
          </w:p>
        </w:tc>
      </w:tr>
      <w:tr>
        <w:trPr>
          <w:trHeight w:val="224"/>
        </w:trPr>
        <w:tc>
          <w:tcPr>
            <w:tcW w:w="47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gridSpan w:val="3"/>
          </w:tcPr>
          <w:p>
            <w:pPr>
              <w:jc w:val="center"/>
              <w:ind w:left="934"/>
              <w:spacing w:after="0"/>
              <w:rPr>
                <w:sz w:val="20"/>
                <w:szCs w:val="20"/>
                <w:color w:val="auto"/>
              </w:rPr>
            </w:pPr>
            <w:r>
              <w:rPr>
                <w:rFonts w:ascii="Arial" w:cs="Arial" w:eastAsia="Arial" w:hAnsi="Arial"/>
                <w:sz w:val="17"/>
                <w:szCs w:val="17"/>
                <w:b w:val="1"/>
                <w:bCs w:val="1"/>
                <w:color w:val="auto"/>
                <w:w w:val="89"/>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gridSpan w:val="3"/>
          </w:tcPr>
          <w:p>
            <w:pPr>
              <w:jc w:val="center"/>
              <w:ind w:left="934"/>
              <w:spacing w:after="0"/>
              <w:rPr>
                <w:sz w:val="20"/>
                <w:szCs w:val="20"/>
                <w:color w:val="auto"/>
              </w:rPr>
            </w:pPr>
            <w:r>
              <w:rPr>
                <w:rFonts w:ascii="Arial" w:cs="Arial" w:eastAsia="Arial" w:hAnsi="Arial"/>
                <w:sz w:val="17"/>
                <w:szCs w:val="17"/>
                <w:b w:val="1"/>
                <w:bCs w:val="1"/>
                <w:color w:val="auto"/>
                <w:w w:val="89"/>
              </w:rPr>
              <w:t>September 30,</w:t>
            </w:r>
          </w:p>
        </w:tc>
        <w:tc>
          <w:tcPr>
            <w:tcW w:w="1020" w:type="dxa"/>
            <w:vAlign w:val="bottom"/>
            <w:tcBorders>
              <w:bottom w:val="single" w:sz="8" w:color="auto"/>
            </w:tcBorders>
          </w:tcPr>
          <w:p>
            <w:pPr>
              <w:spacing w:after="0"/>
              <w:rPr>
                <w:sz w:val="19"/>
                <w:szCs w:val="19"/>
                <w:color w:val="auto"/>
              </w:rPr>
            </w:pPr>
          </w:p>
        </w:tc>
      </w:tr>
      <w:tr>
        <w:trPr>
          <w:trHeight w:val="213"/>
        </w:trPr>
        <w:tc>
          <w:tcPr>
            <w:tcW w:w="47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Options and unvested stock units outstanding</w:t>
            </w:r>
          </w:p>
        </w:tc>
        <w:tc>
          <w:tcPr>
            <w:tcW w:w="1560" w:type="dxa"/>
            <w:vAlign w:val="bottom"/>
          </w:tcPr>
          <w:p>
            <w:pPr>
              <w:jc w:val="right"/>
              <w:spacing w:after="0"/>
              <w:rPr>
                <w:sz w:val="20"/>
                <w:szCs w:val="20"/>
                <w:color w:val="auto"/>
              </w:rPr>
            </w:pPr>
            <w:r>
              <w:rPr>
                <w:rFonts w:ascii="Arial" w:cs="Arial" w:eastAsia="Arial" w:hAnsi="Arial"/>
                <w:sz w:val="17"/>
                <w:szCs w:val="17"/>
                <w:color w:val="auto"/>
              </w:rPr>
              <w:t>10,591,058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4,304,660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6,242,976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19,897,500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20,206,069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19,977,404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19,897,500</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Contingent Sponsor Earnout Shares</w:t>
            </w:r>
          </w:p>
        </w:tc>
        <w:tc>
          <w:tcPr>
            <w:tcW w:w="1560" w:type="dxa"/>
            <w:vAlign w:val="bottom"/>
          </w:tcPr>
          <w:p>
            <w:pPr>
              <w:jc w:val="right"/>
              <w:spacing w:after="0"/>
              <w:rPr>
                <w:sz w:val="20"/>
                <w:szCs w:val="20"/>
                <w:color w:val="auto"/>
              </w:rPr>
            </w:pPr>
            <w:r>
              <w:rPr>
                <w:rFonts w:ascii="Arial" w:cs="Arial" w:eastAsia="Arial" w:hAnsi="Arial"/>
                <w:sz w:val="17"/>
                <w:szCs w:val="17"/>
                <w:color w:val="auto"/>
              </w:rPr>
              <w:t>1,437,500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1,437,500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31,926,058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24,510,729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27,657,880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19,897,500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Obligations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September 30, 2022, the Company’s future unconditional purchase obligations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2023</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13,100</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Actions</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5"/>
          <w:szCs w:val="15"/>
          <w:i w:val="1"/>
          <w:iCs w:val="1"/>
          <w:color w:val="auto"/>
        </w:rPr>
        <w:t>Jensen v. Stable Road Acquisition Corp</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No. 2:21-cv-05744 (the "</w:t>
      </w:r>
      <w:r>
        <w:rPr>
          <w:rFonts w:ascii="Arial" w:cs="Arial" w:eastAsia="Arial" w:hAnsi="Arial"/>
          <w:sz w:val="15"/>
          <w:szCs w:val="15"/>
          <w:i w:val="1"/>
          <w:iCs w:val="1"/>
          <w:color w:val="auto"/>
        </w:rPr>
        <w:t>Jensen</w:t>
      </w:r>
      <w:r>
        <w:rPr>
          <w:rFonts w:ascii="Arial" w:cs="Arial" w:eastAsia="Arial" w:hAnsi="Arial"/>
          <w:sz w:val="15"/>
          <w:szCs w:val="15"/>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7"/>
          <w:szCs w:val="17"/>
          <w:i w:val="1"/>
          <w:iCs w:val="1"/>
          <w:color w:val="auto"/>
        </w:rPr>
        <w:t>Hall v. Stable Road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2:21-cv-05943 (the "</w:t>
      </w:r>
      <w:r>
        <w:rPr>
          <w:rFonts w:ascii="Arial" w:cs="Arial" w:eastAsia="Arial" w:hAnsi="Arial"/>
          <w:sz w:val="17"/>
          <w:szCs w:val="17"/>
          <w:i w:val="1"/>
          <w:iCs w:val="1"/>
          <w:color w:val="auto"/>
        </w:rPr>
        <w:t xml:space="preserve">Hall </w:t>
      </w:r>
      <w:r>
        <w:rPr>
          <w:rFonts w:ascii="Arial" w:cs="Arial" w:eastAsia="Arial" w:hAnsi="Arial"/>
          <w:sz w:val="17"/>
          <w:szCs w:val="17"/>
          <w:color w:val="auto"/>
        </w:rPr>
        <w:t>class action") and</w:t>
      </w:r>
      <w:r>
        <w:rPr>
          <w:rFonts w:ascii="Arial" w:cs="Arial" w:eastAsia="Arial" w:hAnsi="Arial"/>
          <w:sz w:val="17"/>
          <w:szCs w:val="17"/>
          <w:i w:val="1"/>
          <w:iCs w:val="1"/>
          <w:color w:val="auto"/>
        </w:rPr>
        <w:t xml:space="preserve"> Depoy v. Stable Road 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2:21-cv-06287 (the "</w:t>
      </w:r>
      <w:r>
        <w:rPr>
          <w:rFonts w:ascii="Arial" w:cs="Arial" w:eastAsia="Arial" w:hAnsi="Arial"/>
          <w:sz w:val="17"/>
          <w:szCs w:val="17"/>
          <w:i w:val="1"/>
          <w:iCs w:val="1"/>
          <w:color w:val="auto"/>
        </w:rPr>
        <w:t xml:space="preserve">Depoy </w:t>
      </w:r>
      <w:r>
        <w:rPr>
          <w:rFonts w:ascii="Arial" w:cs="Arial" w:eastAsia="Arial" w:hAnsi="Arial"/>
          <w:sz w:val="17"/>
          <w:szCs w:val="17"/>
          <w:color w:val="auto"/>
        </w:rPr>
        <w:t>class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action"). The allegations in the </w:t>
      </w:r>
      <w:r>
        <w:rPr>
          <w:rFonts w:ascii="Arial" w:cs="Arial" w:eastAsia="Arial" w:hAnsi="Arial"/>
          <w:sz w:val="17"/>
          <w:szCs w:val="17"/>
          <w:i w:val="1"/>
          <w:iCs w:val="1"/>
          <w:color w:val="auto"/>
        </w:rPr>
        <w:t>Hall</w:t>
      </w:r>
      <w:r>
        <w:rPr>
          <w:rFonts w:ascii="Arial" w:cs="Arial" w:eastAsia="Arial" w:hAnsi="Arial"/>
          <w:sz w:val="17"/>
          <w:szCs w:val="17"/>
          <w:color w:val="auto"/>
        </w:rPr>
        <w:t xml:space="preserve"> and </w:t>
      </w:r>
      <w:r>
        <w:rPr>
          <w:rFonts w:ascii="Arial" w:cs="Arial" w:eastAsia="Arial" w:hAnsi="Arial"/>
          <w:sz w:val="17"/>
          <w:szCs w:val="17"/>
          <w:i w:val="1"/>
          <w:iCs w:val="1"/>
          <w:color w:val="auto"/>
        </w:rPr>
        <w:t>Depoy</w:t>
      </w:r>
      <w:r>
        <w:rPr>
          <w:rFonts w:ascii="Arial" w:cs="Arial" w:eastAsia="Arial" w:hAnsi="Arial"/>
          <w:sz w:val="17"/>
          <w:szCs w:val="17"/>
          <w:color w:val="auto"/>
        </w:rPr>
        <w:t xml:space="preserve"> class actions are substantially the same as the allegations in the </w:t>
      </w:r>
      <w:r>
        <w:rPr>
          <w:rFonts w:ascii="Arial" w:cs="Arial" w:eastAsia="Arial" w:hAnsi="Arial"/>
          <w:sz w:val="17"/>
          <w:szCs w:val="17"/>
          <w:i w:val="1"/>
          <w:iCs w:val="1"/>
          <w:color w:val="auto"/>
        </w:rPr>
        <w:t>Jensen</w:t>
      </w:r>
      <w:r>
        <w:rPr>
          <w:rFonts w:ascii="Arial" w:cs="Arial" w:eastAsia="Arial" w:hAnsi="Arial"/>
          <w:sz w:val="17"/>
          <w:szCs w:val="17"/>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November 12, 2021, Lead Plaintiff Hartmut Haenisch filed an Amended Consolidated Class Action Complaint (the “Amended Complaint”) against SRAC, Sponsor, Brian Kabot, Juan Manuel Quiroga, James Norris, James Hofmockel (collectively, the "Stable Road Defendants"), Momentus, Dawn Harms, Fred Kennedy (collectively, the "Momentus Defendants"), and Mikhail Kokorich. Ms. Harms and Mr. Kennedy, and others, were added as defendants in the Amended Complaint. The Amended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February 14, 2022, the Momentus Defendants filed their motions to dismiss and the Stable Road Defendants filed their motion to dismiss the Amended Complaint. Mr. Kokorich has not been served, nor appeared, in the litigation. On July 13, 2022, the Court issued its ruling on the motions to dismiss, granting the Stable Road Defendants' motion as to Count 1 as against Defendants Quiroga, Norris and Hofmockel, granting the motion, granting the Momentus Defendants' motions as to Count III as against Defendants Harms and Kennedy, and denying the motions on all other counts. The Momentus Defendants and the Stable Road Defendants answered the Amended Complaint on August 2, 2022. A case management conference previously scheduled for August 22, 2022 was vacated and a case management and scheduling order issued without conference on August 25, 2022. A jury trial date has been set for November 14, 2023. Momentus disputes the allegations in the Amended Complaint and intends to vigorously defend the litigation.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Momentus has determined that any potential loss from litigation is not estimable at this time.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 and CFIUS Review</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January 24, 2021, the Company received a subpoena from the Division of Enforcement of the SEC ("Division of Enforcement") requesting documents regarding the Registration Statement on Form S-4 and Amendment No. 1 thereto (the "Registration Statement") filed by SRAC in connection with the Business Combination. The Company entered into a settlement with the SEC on July 8, 2021. As a result of the settlement, in accordance with ASC Topic 450, </w:t>
      </w:r>
      <w:r>
        <w:rPr>
          <w:rFonts w:ascii="Arial" w:cs="Arial" w:eastAsia="Arial" w:hAnsi="Arial"/>
          <w:sz w:val="17"/>
          <w:szCs w:val="17"/>
          <w:i w:val="1"/>
          <w:iCs w:val="1"/>
          <w:color w:val="auto"/>
        </w:rPr>
        <w:t>Contingencies</w:t>
      </w:r>
      <w:r>
        <w:rPr>
          <w:rFonts w:ascii="Arial" w:cs="Arial" w:eastAsia="Arial" w:hAnsi="Arial"/>
          <w:sz w:val="17"/>
          <w:szCs w:val="17"/>
          <w:color w:val="auto"/>
        </w:rPr>
        <w:t>, (“ASC 450”) the Company paid a fine of $2 million and recorded a liability of $5 million within other current liabilities, due one year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date. The Company paid the remaining $5 million liability on July 8, 2022.</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February 2021, the Company and Mr. Kokorich, with support from SRAC,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a National Security Agreement (the "NSA").</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(see Note 11).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statements of stockholders’ equity (deficit), as of September 30, 2022.</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NSA establishes 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incurred legal expenses related to these matters of approximately $0.3 million and $1.6 million during the three and nine months ended September 30, 2022, respectively, and $2.2 million and $9.6 million during the three and nine months ended September 30, 2021, respectively, and expects to continue to incur legal expenses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Section 220 Litigation</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June 16, 2022, Plaintiff and Momentus shareholder James Burk filed a verified complaint against Momentus in the Delaware Court of Chancery, Case. No. 2022-0519, to inspect the books and records of Momentus pursuant to Section 220 of the Delaware General Corporation Law. Plaintiff seeks production of books and records relating to the management of Momentus and its disclosures to potential investors in connection with the Business Combination. The matter is currently stayed pending the Company's production of certain documents to satisfy Plaintiff's requests for inspection. Plaintiff has demanded an order compelling the Company to comply with Plaintiff's production demands and granting Plaintiff an award of attorney's fees in connection with its prosecution of the matter. The Company from time to time responds to books and records requests properly submitted pursuant to applicable Delaware law. Momentus disputes the allegations in the complaint and intends to vigorously defend the litigation.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Derivative Litigation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June 20, 2022, a shareholder derivative action was filed by Brian Lindsey, on behalf of Momentus, in the U.S. District Court for the Central District of California, Case No. 2:22-cv-04212, against Momentus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w:t>
      </w:r>
    </w:p>
    <w:p>
      <w:pPr>
        <w:spacing w:after="0" w:line="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 a later date. Momentus intends to vigorously defend any such litigation.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 Note Litigation</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20, 2022, The Larian Living Trust ("TLLT") filed an action against Momentus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Momentus. TLLT alleges that a "liquidity event" occurred when Momentus closed the Business Combination, such that it was entitled to the greater of its $4 million investment or its “Conversion Amount” of Momentus shares, which was a total of 724,995 shares of Momentus stock. TLLT further alleges that Momentus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22, 2022, Momentus filed its motion to dismiss the complaint in this matter. Momentus disputes the allegations in the complaint and intends to vigorously defend the litigation.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Kokorich Litigation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Momentus for his fees and costs incurred in these actions, which claims are disputed by the Company.</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Momentus in the Delaware Court of Chancery (Case. No. 2022-0722) seeking indemnification and advancement from Momentus. On October 14, 2022, Momentus filed its motion to dismiss this action. Momentus disputes the allegations in the complaint and intends to vigorously defend the litigation.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Litigation and Related Matters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 </w:t>
      </w:r>
      <w:r>
        <w:rPr>
          <w:rFonts w:ascii="Arial" w:cs="Arial" w:eastAsia="Arial" w:hAnsi="Arial"/>
          <w:sz w:val="15"/>
          <w:szCs w:val="15"/>
          <w:i w:val="1"/>
          <w:iCs w:val="1"/>
          <w:color w:val="auto"/>
        </w:rPr>
        <w:t>Contingencies</w:t>
      </w:r>
      <w:r>
        <w:rPr>
          <w:rFonts w:ascii="Arial" w:cs="Arial" w:eastAsia="Arial" w:hAnsi="Arial"/>
          <w:sz w:val="15"/>
          <w:szCs w:val="15"/>
          <w:color w:val="auto"/>
        </w:rPr>
        <w:t>. Legal fees are expensed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Income Taxes</w:t>
      </w:r>
    </w:p>
    <w:p>
      <w:pPr>
        <w:spacing w:after="0" w:line="15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Company’s effective tax rate for the three and nine months ended September 30, 2022 and 2021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MOMENTUS’ MANAGEMENT’S DISCUSSION AND ANALYSIS OF FINANCIAL CONDITION AND RESULTS OF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Annual Report on Form 10-K filed with the SEC on March 9, 2022. This discussion and analysis should also be read together with our financial information for the period ended and as of September 30, 2022.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9, 2022, and “Cautionary Statement Regarding Forward-Looking Statements” elsewhere in this Form 10-Q, our actual results may differ materially from those anticipated in these forward-looking statements.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Momentus plans to offer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Since our founding in 2017, we have been working to develop, test and enhance our vehicles and supporting technologies, particularly our water plasma propulsion technology. We have signed contracts for approximately $43 million in backlog (potential revenue), as of October 31, 2022. These agreements contain firm orders as well as options, allowing customers to opt-in to launches on shorter notice without requiring a separate agreement. The breadth of these signed contracts spans across 19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Arial" w:cs="Arial" w:eastAsia="Arial" w:hAnsi="Arial"/>
          <w:sz w:val="15"/>
          <w:szCs w:val="15"/>
          <w:i w:val="1"/>
          <w:iCs w:val="1"/>
          <w:color w:val="auto"/>
        </w:rPr>
        <w:t>Risk Factors — We may not be able to convert our orders in backlog into revenue,”</w:t>
      </w:r>
      <w:r>
        <w:rPr>
          <w:rFonts w:ascii="Arial" w:cs="Arial" w:eastAsia="Arial" w:hAnsi="Arial"/>
          <w:sz w:val="15"/>
          <w:szCs w:val="15"/>
          <w:color w:val="auto"/>
        </w:rPr>
        <w:t xml:space="preserve">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9, 2022.</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pursue solutions to be implemented in advance of future missions.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28, 2022, Momentus was able to deploy two customer satellites from Vigoride 3 (of nine total customer satellites onboard Vigoride 3). The Company then continued efforts to deploy other customer satellites.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has continued to apply for 30-day extensions for its STA, which the FCC has granted, most recently on October 20, 2022.</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third quarter of 2022, the Vigoride spacecraft deployed five additional customer satellites including two on July 17, 2022, two on July 29, 2022, and one at the end of August 2022. Momentus has now deployed a total of eight customer satellites in low-earth orbit, comprising seven satellites from Vigoride 3 and one satellite from the third-party deployer system.</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3 spacecraft during its inaugural mission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made possible by the space industry’s rapid technological developments over the past two decades, driven predominantly by significant decreases in launch costs, as well as the advent of smaller, lower-cost satellites. This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fully developing and validating our technology in space. Satellite constellations have relatively short lifespans and, in our view, will require maintenance, de-orbiting, and other general servicing with higher frequency.</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Form 10-Q. Although we believe our 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 Refer to “</w:t>
      </w:r>
      <w:r>
        <w:rPr>
          <w:rFonts w:ascii="Arial" w:cs="Arial" w:eastAsia="Arial" w:hAnsi="Arial"/>
          <w:sz w:val="16"/>
          <w:szCs w:val="16"/>
          <w:i w:val="1"/>
          <w:iCs w:val="1"/>
          <w:color w:val="auto"/>
        </w:rPr>
        <w:t>Risk Factors — A key component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model is the delivery of satellites using our vehicles from low-earth orbit to other orbits. The technology for this maneuver is still in the development stage...” </w:t>
      </w:r>
      <w:r>
        <w:rPr>
          <w:rFonts w:ascii="Arial" w:cs="Arial" w:eastAsia="Arial" w:hAnsi="Arial"/>
          <w:sz w:val="16"/>
          <w:szCs w:val="16"/>
          <w:color w:val="auto"/>
        </w:rPr>
        <w:t>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Form 10-Q and under Part I, Item 1A in our Annual Report on Form 10-K filed with the SEC on March 9,</w:t>
      </w:r>
      <w:r>
        <w:rPr>
          <w:rFonts w:ascii="Arial" w:cs="Arial" w:eastAsia="Arial" w:hAnsi="Arial"/>
          <w:sz w:val="16"/>
          <w:szCs w:val="16"/>
          <w:i w:val="1"/>
          <w:iCs w:val="1"/>
          <w:color w:val="auto"/>
        </w:rPr>
        <w:t xml:space="preserve"> </w:t>
      </w:r>
      <w:r>
        <w:rPr>
          <w:rFonts w:ascii="Arial" w:cs="Arial" w:eastAsia="Arial" w:hAnsi="Arial"/>
          <w:sz w:val="16"/>
          <w:szCs w:val="16"/>
          <w:color w:val="auto"/>
        </w:rPr>
        <w:t>2022.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Overview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When our technology is fully developed and validated in the future, we currently plan to provide the following infrastructure services to the space economy: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Space Transportation. </w:t>
      </w:r>
      <w:r>
        <w:rPr>
          <w:rFonts w:ascii="Arial" w:cs="Arial" w:eastAsia="Arial" w:hAnsi="Arial"/>
          <w:sz w:val="17"/>
          <w:szCs w:val="17"/>
          <w:color w:val="auto"/>
        </w:rPr>
        <w:t>We are designing a space transportation service based on a hub-and-spoke model, which combines ride share launch on a medium or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rocket with last-mile 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designing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Initially, after delivering our customer payloads to their final orbits, our vehicles will de-orbit. However, our plan is to develop the capability for our vehicles to be reusable, such that, upon delivery of the payload, they will be capable of remaining in space to conduct additional missions.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Hosted Payload</w:t>
      </w:r>
      <w:r>
        <w:rPr>
          <w:rFonts w:ascii="Arial" w:cs="Arial" w:eastAsia="Arial" w:hAnsi="Arial"/>
          <w:sz w:val="17"/>
          <w:szCs w:val="17"/>
          <w:color w:val="auto"/>
        </w:rPr>
        <w:t>. We are designing our transfer vehicles for modularity and ease of integration with customer payloads, and with a full suite of capabilities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will need on orbit. Under our Hosted Payload model, our vehicle, after transporting a customer payload to a specific orbit, would stay connected to the payload for the duration of its mission to provide continuous power, orbit maintenance, orientation, and 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In-Orbit Servicing</w:t>
      </w:r>
      <w:r>
        <w:rPr>
          <w:rFonts w:ascii="Arial" w:cs="Arial" w:eastAsia="Arial" w:hAnsi="Arial"/>
          <w:sz w:val="16"/>
          <w:szCs w:val="16"/>
          <w:color w:val="auto"/>
        </w:rPr>
        <w:t>. We view in-orbit servicing of satellites as a quickly growing business opportunity. As the number of satellites in space increases, so does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 to be serviced. We plan to design Momentus’ future reusable vehicles to be capable of performing in-orbit servicing and are pursuing development activities that support this objective. Although we are still in very preliminary stages for developing this technology, our aim is to equip</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In-Space Transport and Service Vehicles and Related Technology Development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research and development objectives focus on the development of our existing and future in-space transfer and service vehicles and related water plasma propulsion technology.</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Beyond our inaugural launch in May 2022, we have entered into launch services agreements with SpaceX that secure space for Vigoride on launch vehicles that SpaceX currently targets operating in the second half of 2022 and in 2023. We believe these early missions will allow us to further validate Vigoride’s capabilities. While securing space on the manifest is an important step,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6"/>
          <w:szCs w:val="16"/>
          <w:i w:val="1"/>
          <w:iCs w:val="1"/>
          <w:color w:val="auto"/>
        </w:rPr>
        <w:t>Risk Factors — We may not receive all required governmental licenses and approvals,” and</w:t>
      </w:r>
      <w:r>
        <w:rPr>
          <w:rFonts w:ascii="Arial" w:cs="Arial" w:eastAsia="Arial" w:hAnsi="Arial"/>
          <w:sz w:val="16"/>
          <w:szCs w:val="16"/>
          <w:color w:val="auto"/>
        </w:rPr>
        <w:t xml:space="preserv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 We are dependent on the successful development of our satellite vehicles and related technology,” </w:t>
      </w:r>
      <w:r>
        <w:rPr>
          <w:rFonts w:ascii="Arial" w:cs="Arial" w:eastAsia="Arial" w:hAnsi="Arial"/>
          <w:sz w:val="16"/>
          <w:szCs w:val="16"/>
          <w:color w:val="auto"/>
        </w:rPr>
        <w:t>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Form</w:t>
      </w:r>
      <w:r>
        <w:rPr>
          <w:rFonts w:ascii="Arial" w:cs="Arial" w:eastAsia="Arial" w:hAnsi="Arial"/>
          <w:sz w:val="16"/>
          <w:szCs w:val="16"/>
          <w:i w:val="1"/>
          <w:iCs w:val="1"/>
          <w:color w:val="auto"/>
        </w:rPr>
        <w:t xml:space="preserve"> </w:t>
      </w:r>
      <w:r>
        <w:rPr>
          <w:rFonts w:ascii="Arial" w:cs="Arial" w:eastAsia="Arial" w:hAnsi="Arial"/>
          <w:sz w:val="16"/>
          <w:szCs w:val="16"/>
          <w:color w:val="auto"/>
        </w:rPr>
        <w:t>10-Q and under Part I, Item 1A in our Annual Report on Form 10-K filed with the SEC on March 9, 2022.</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Beyond Vigoride, we envision bringing two progressively larger vehicles to market, currently called Ardoride and Fervoride. These vehicles will be similar to our Vigoride vehicle, but with larger structures, larger solar arrays, and more powerful propulsion systems in order to carry progressively larger payloads progressively further from Earth.</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successful development of our vehicles with water plasma propulsion technology involves uncertainties, including:</w:t>
      </w:r>
    </w:p>
    <w:p>
      <w:pPr>
        <w:spacing w:after="0" w:line="88"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timing in finalizing systems design and specifications;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 completion of test programs and demonstration missions;</w:t>
      </w:r>
    </w:p>
    <w:p>
      <w:pPr>
        <w:spacing w:after="0" w:line="7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we will receive and the timing of receipt of licenses and government approvals that will allow us to fly our vehicles in space and gather valuable data that will assist in further development of our vehicles;</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meeting stated technological objectives and goals for the design on time, on budget and within target cost objectives;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88" w:lineRule="exact"/>
        <w:rPr>
          <w:sz w:val="20"/>
          <w:szCs w:val="20"/>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obtain additional applicable approvals, licenses or certifications from regulatory agencies and maintaining current approvals, licenses or certifications;</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secure slots on our launch providers’ manifests;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our manufacturing facility despite risks that disrupt productions, such as natural disasters;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our third-party contractors that support our research and development activities;</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a limited number of suppliers for certain raw materials and supplied components and their willingness to do business with us;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protect our intellectual property critical to the design and function of our orbital service vehicles;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funding and maintaining our current research and development activities;</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the COVID-19 pandemic on us, our customers, suppliers and distributors, and the global economy; and</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comply with the terms of the NSA and any related compliance measures instituted by the Security Director.</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change in the outcome of any of these variables could delay the development of our vehicles which in turn could impact our business and results of operations. Refer to “</w:t>
      </w:r>
      <w:r>
        <w:rPr>
          <w:rFonts w:ascii="Arial" w:cs="Arial" w:eastAsia="Arial" w:hAnsi="Arial"/>
          <w:sz w:val="17"/>
          <w:szCs w:val="17"/>
          <w:i w:val="1"/>
          <w:iCs w:val="1"/>
          <w:color w:val="auto"/>
        </w:rPr>
        <w:t>Risk Factors,</w:t>
      </w:r>
      <w:r>
        <w:rPr>
          <w:rFonts w:ascii="Arial" w:cs="Arial" w:eastAsia="Arial" w:hAnsi="Arial"/>
          <w:sz w:val="17"/>
          <w:szCs w:val="17"/>
          <w:color w:val="auto"/>
        </w:rPr>
        <w:t>”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and Successive Launches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Develop our commercial program for in-space transportation</w:t>
      </w:r>
      <w:r>
        <w:rPr>
          <w:rFonts w:ascii="Arial" w:cs="Arial" w:eastAsia="Arial" w:hAnsi="Arial"/>
          <w:sz w:val="17"/>
          <w:szCs w:val="17"/>
          <w:color w:val="auto"/>
        </w:rPr>
        <w:t>. We conducted our inaugural demonstration mission with our Vigoride vehicle (Vigoride 3) in</w:t>
      </w:r>
      <w:r>
        <w:rPr>
          <w:rFonts w:ascii="Arial" w:cs="Arial" w:eastAsia="Arial" w:hAnsi="Arial"/>
          <w:sz w:val="17"/>
          <w:szCs w:val="17"/>
          <w:b w:val="1"/>
          <w:bCs w:val="1"/>
          <w:color w:val="auto"/>
        </w:rPr>
        <w:t xml:space="preserve"> </w:t>
      </w:r>
      <w:r>
        <w:rPr>
          <w:rFonts w:ascii="Arial" w:cs="Arial" w:eastAsia="Arial" w:hAnsi="Arial"/>
          <w:sz w:val="17"/>
          <w:szCs w:val="17"/>
          <w:color w:val="auto"/>
        </w:rPr>
        <w:t>May 2022. We currently plan to fly our second Vigoride vehicle on a SpaceX Transporter flight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 We may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9, 2022.</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Launch our commercial program for Hosted Payload</w:t>
      </w:r>
      <w:r>
        <w:rPr>
          <w:rFonts w:ascii="Arial" w:cs="Arial" w:eastAsia="Arial" w:hAnsi="Arial"/>
          <w:sz w:val="17"/>
          <w:szCs w:val="17"/>
          <w:color w:val="auto"/>
        </w:rPr>
        <w:t>. If in the future our vehicles are operationalized for their intended in-space transport uses, we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modular approach to satellite 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Launch our commercial program for In-Orbit Servicing</w:t>
      </w:r>
      <w:r>
        <w:rPr>
          <w:rFonts w:ascii="Arial" w:cs="Arial" w:eastAsia="Arial" w:hAnsi="Arial"/>
          <w:sz w:val="16"/>
          <w:szCs w:val="16"/>
          <w:color w:val="auto"/>
        </w:rPr>
        <w:t>. If we develop reusability for our vehicles as currently contemplated, we believe we will be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are intended to be demonstration missions. The primary goals of our planned demonstration missions are to test Vigoride on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effect on our business, financial condition and results of operation. Refer to “</w:t>
      </w:r>
      <w:r>
        <w:rPr>
          <w:rFonts w:ascii="Arial" w:cs="Arial" w:eastAsia="Arial" w:hAnsi="Arial"/>
          <w:sz w:val="17"/>
          <w:szCs w:val="17"/>
          <w:i w:val="1"/>
          <w:iCs w:val="1"/>
          <w:color w:val="auto"/>
        </w:rPr>
        <w:t>Risk Factors — We are dependent on the successful development of our satellite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received significant interest from a range of satellite operators, satellite manufacturers, satellite aggregators, launch service providers, and others. As of September 30, 2022, we had collected approximately $2.4 million in customer deposits related to future launches. While our standard contracts do not contain refunds or recourse provisions that enable our customers to recover any non-refundable deposits that have been paid, we issued refunds totaling $1.4 million to customers during the year ended December 31, 2021 due to cancelled launches for 2021 in order to foster future business relationships and customer goodwill.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signed contracts for approximately $43 million in backlog (potential revenue), as of October 31, 2022. These agreements contain firm orders as well as options, allowing customers to opt-in to launches on shorter notice without requiring a separate agreement. The breadth of these signed contracts spans across 19 companies in 14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backlog is subject to meaningful customer concentration risk. As of October 31, 2022, approximately 90% of the total dollar value of our backlog related to three launch services providers and aggregators of launch services capacity, and their affiliates. The top ten customers in our backlog represent approximately 98% of the total dollar value of our backlog.</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has affected our business in the past, including our timeline for our formerly planned launch in April 2020, and has the potential to further impact our business in the future, including our plans for future launches and our ability to secure contracts with customers.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"Risk Factors,"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non-operations personnel began working from home in March 2020 as we reduced our in-person operations to prioritize the safety of our employees. We have begun to gradually bring essential personnel back to the office, while adhering to Centers for Disease Control and Prevention, federal, state and local protective standards. Subject to local regulations and the effectiveness of vaccination initiatives, we intend to gradually bring all employees back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office; until then, we will continue to support our employees working from home. While remote working arrangements have affected our manufacturing and development timelines, the overall impact of this arrangement has not materially adversely affected the timeline of future launches.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to strengthen our liquidity position, we received a Paycheck Protection Program loan (the “PPP Loan”) in the amount of $1.0 million under the Coronavirus Aid, Relief, and Economic Security Act (the “CARES Act”); however, in September 2020, we repaid the PPP Loan in full.</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 mitigation measures against variants, all of which are highly uncertain and cannot be predicted.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 for additional discussion of the potential impact of the COVID-19 pandemic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At-The-Market Offering</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28, 2022, the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up to $50.0 million. Under the ATM Sales Agreement, the sales agent will be entitled to compensation at a commission rate of up to 3.0% of the gross sales price per share sold.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there were no sales under the ATM Sales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Consummation of Business Combination</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consolidated financial statements for previous periods are disclosed in the registrant’s future periodic reports filed with the SEC.</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Business Combination will have a significant impact on our future reported financial position and results as a consequence of the reverse recapitalization. The most significant changes in Momentus’ future reported financial position and results are an increase in cash of $247.3 million, offset by additional transaction costs for the Business Combination. See Note 3.</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Business Combination, we became the successor to an SEC-registered and Nasdaq-listed company, which will require us to hire additional personnel and implement procedures and processes to address public company regulatory requirements and customary practices. We have begun to incur additional recurring expenses as a public company for, among other things, directors’ and officers’ liability insurance, director fees, and additional internal and external accounting, legal and administrative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and Security Agreement</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22, 2021, the Company entered into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achieve certain milestones needed by the June 30, 2021 deadline. Under the terms of the loan, if certain operating cash ratios are not met, the lender is granted a lien on the Company’s intellectual property while the loan is outstanding. Prior to the Business Combination, the lien was granted but was subsequently released as a result of the proceeds from the Business Combination. The repayment terms of the Term Loan provide for interest-only payments beginning March 1, 2021 through February 28, 2022.</w:t>
      </w:r>
    </w:p>
    <w:p>
      <w:pPr>
        <w:spacing w:after="0" w:line="1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original terms of the loan, the principal amount was due and payable on March 1, 2022, however, during January 2022, the Company exercised its option to pay back the Term Loan over 24 months. The extended payment term resulted in a recast schedule with a lower effective interest rate. See Note 10.</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On August 12, 2021 the lender exercised the warrant; see Note 11 for discussion on the valuation and conversion of the warrants.</w:t>
      </w:r>
    </w:p>
    <w:p>
      <w:pPr>
        <w:spacing w:after="0" w:line="113" w:lineRule="exact"/>
        <w:rPr>
          <w:sz w:val="20"/>
          <w:szCs w:val="20"/>
          <w:color w:val="auto"/>
        </w:rPr>
      </w:pPr>
    </w:p>
    <w:p>
      <w:pPr>
        <w:ind w:right="400"/>
        <w:spacing w:after="0" w:line="419" w:lineRule="auto"/>
        <w:rPr>
          <w:sz w:val="20"/>
          <w:szCs w:val="20"/>
          <w:color w:val="auto"/>
        </w:rPr>
      </w:pPr>
      <w:r>
        <w:rPr>
          <w:rFonts w:ascii="Arial" w:cs="Arial" w:eastAsia="Arial" w:hAnsi="Arial"/>
          <w:sz w:val="17"/>
          <w:szCs w:val="17"/>
          <w:color w:val="auto"/>
        </w:rPr>
        <w:t xml:space="preserve">In addition, the lender will have certain rights to participate in future private equity offerings (including convertible notes or bridge financings) of Momentus. </w:t>
      </w:r>
      <w:r>
        <w:rPr>
          <w:rFonts w:ascii="Arial" w:cs="Arial" w:eastAsia="Arial" w:hAnsi="Arial"/>
          <w:sz w:val="17"/>
          <w:szCs w:val="17"/>
          <w:b w:val="1"/>
          <w:bCs w:val="1"/>
          <w:color w:val="auto"/>
        </w:rPr>
        <w:t>SEC Settlement and CFIUS Review</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As of September 30, 2022, the Company had incurred legal expenses of approximately $9.1 million related to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of which is payable within one year of the settlement order. The Company paid the remaining $5 million liability on July 8,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CFIUS Review and NSA</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February 2021, Momentus and its co-founder Mikhail Kokorich, with support from SRAC, submitted a joint notice to CFIUS for review of the historical acquisitions of interests in Momentus by Mr. Kokorich, his wife, and entities that they control in response to concerns of the U.S. Department of Defense (the “DoD”) regarding Momentus’ foreign ownership and control. On June 8, 2021,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DoD and the U.S. Department of the Treasury (such agreement, the “NSA”). In accordance with the NSA, Mr. Kokorich, Nortrone Finance S.A., Lev Khasis and his wife Olga Khasis, and Brainyspace LLC divested all the equity interests in Momentus owned or beneficially owned by them by selling such equity interests to the Company on June 8, 2021 (see below “</w:t>
      </w:r>
      <w:r>
        <w:rPr>
          <w:rFonts w:ascii="Arial" w:cs="Arial" w:eastAsia="Arial" w:hAnsi="Arial"/>
          <w:sz w:val="16"/>
          <w:szCs w:val="16"/>
          <w:i w:val="1"/>
          <w:iCs w:val="1"/>
          <w:color w:val="auto"/>
        </w:rPr>
        <w:t>Co-Founder Divestment</w:t>
      </w:r>
      <w:r>
        <w:rPr>
          <w:rFonts w:ascii="Arial" w:cs="Arial" w:eastAsia="Arial" w:hAnsi="Arial"/>
          <w:sz w:val="16"/>
          <w:szCs w:val="16"/>
          <w:color w:val="auto"/>
        </w:rPr>
        <w:t>”). The NSA also established various requirements and restrictions on the Company in order to protect national security, certain of which may materially and adversely affect our operating results due to the cost of compliance with security measures, and limitations on our control over certain U.S. facilities, contracts, personnel, vendor selection and operations. The Company has made progress in implementing the NSA by achieving baseline compliance and incorporating security measures into Company policies and procedures addressing some NSA risk.</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Stock Repurchase Agreements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accordance with the NSA and pursuant to stock repurchase agreements entered into with the Company, effective as of June 8, 2021, each of Mr. Kokorich, Nortrone Finance S.A. and Brainyspace LLC (collectively “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(see Note 11).</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statements of stockholders’ equity (deficit), as of September 30, 2022.</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payment came from proceeds of the Business Combination and PIPE Investment and therefore reduce the proceeds available to Momentus to fund its operations and capital expenditures going forward.</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part of the stock repurchase agreements, both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Momentus for his fees and costs incurred in these actions, which claims are disputed by the Company.</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Momentus in the Delaware Court of Chancery (Case. No. 2022-0722) seeking indemnification and advancement from Momentus. On October 14, 2022, Momentus filed its motion to dismiss this action. Momentus disputes the allegations in the complaint and intends to vigorously defend the litigation.</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Risk Factors — We may require substantial additional funding to finance our operations, but adequate additional financing may not be available when we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need it, on acceptable terms or at all,” </w:t>
      </w:r>
      <w:r>
        <w:rPr>
          <w:rFonts w:ascii="Arial" w:cs="Arial" w:eastAsia="Arial" w:hAnsi="Arial"/>
          <w:sz w:val="17"/>
          <w:szCs w:val="17"/>
          <w:color w:val="auto"/>
        </w:rPr>
        <w:t>in our Annual Report on Form 10-K filed by the Company on March 9, 2022.</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pursue solutions to be implemented in advance of future missions.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28, 2022, Momentus was able to deploy two customer satellites from Vigoride 3 (of nine total customer satellites onboard Vigoride 3). The Company then continued efforts to deploy other customer satellites.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has continued to apply for 30-day extensions for its STA, which the FCC has granted, most recently on October 20, 2022.</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third quarter of 2022, the Vigoride spacecraft deployed five additional customer satellites including two on July 17, 2022, two on July 29, 2022, and one at the end of August 2022. Momentus has now deployed a total of eight customer satellites in low-earth orbit, comprising seven satellites from Vigoride 3 and one satellite from the third-party deployer system.</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3 spacecraft during its inaugural mission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December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May 25, 2022 flight of the Vigoride spacecraft and the third-party deployer from a partner company, the Company completed one of the intended performance obligations, resulting in $50 thousand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 Due to this uncertainty, the Company recorded the related customer deposits of $133 thousand as deferred revenues within current contract liabilities as of June 30, 2022.</w:t>
      </w:r>
    </w:p>
    <w:p>
      <w:pPr>
        <w:spacing w:after="0" w:line="10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three months ended September 30,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we have signed contracts with customers and have collected approximately $2.4 million in customer deposits, which are recorded as non-current contract liabilities in our consolidated balance sheets.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In connection with the launch of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Arial" w:cs="Arial" w:eastAsia="Arial" w:hAnsi="Arial"/>
          <w:sz w:val="15"/>
          <w:szCs w:val="15"/>
          <w:i w:val="1"/>
          <w:iCs w:val="1"/>
          <w:color w:val="auto"/>
        </w:rPr>
        <w:t>Research and Development Costs</w:t>
      </w:r>
      <w:r>
        <w:rPr>
          <w:rFonts w:ascii="Arial" w:cs="Arial" w:eastAsia="Arial" w:hAnsi="Arial"/>
          <w:sz w:val="15"/>
          <w:szCs w:val="15"/>
          <w:color w:val="auto"/>
        </w:rPr>
        <w:t xml:space="preserve"> in Note 2.</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2022, the Company resolved the variable consideration uncertainties that had caused it to defer revenue and cost of revenue from its inaugural launch. As a result, the Company amortized the deferred $14 thousand to cost of revenue.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September 30, 2022, we have expensed all research and development costs associated with developing and building our vehicles. Once we have achieved technological feasibility and released the design for volume production, we will capitalize the costs to construct any additional components for the vehicles. We expect to continue to see an increase in our research and development expenses as we develop our next generation of vehicles.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include salaries, bonuses, equity compensation expense and benefits. As we continue to grow as a company, we expect that our selling, general and administrative costs will increase on an absolute dollar basis. The Company also recorded one-time launch costs related to the validation of the business model as selling, general and administrative costs.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have begun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investment holdings in interest bearing bank accounts.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includes interest incurred related to our loan payables as well as the amortization of warrant discount and debt issuance costs.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Income/Expense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income/expense primarily relates to the change in the estimated fair value of our SAFE notes and warrants, and non-recurring fees incurred in conjunction with the SAFE and Term Loan financing, SEC settlement cost, and the Business Combination.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The period-to-period comparisons of financial results is not necessarily indicative of future results.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Three Months Ended September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center"/>
              <w:ind w:left="851"/>
              <w:spacing w:after="0"/>
              <w:rPr>
                <w:sz w:val="20"/>
                <w:szCs w:val="20"/>
                <w:color w:val="auto"/>
              </w:rPr>
            </w:pPr>
            <w:r>
              <w:rPr>
                <w:rFonts w:ascii="Arial" w:cs="Arial" w:eastAsia="Arial" w:hAnsi="Arial"/>
                <w:sz w:val="14"/>
                <w:szCs w:val="14"/>
                <w:b w:val="1"/>
                <w:bCs w:val="1"/>
                <w:color w:val="auto"/>
                <w:w w:val="87"/>
              </w:rPr>
              <w:t>September 30,</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7"/>
        </w:trPr>
        <w:tc>
          <w:tcPr>
            <w:tcW w:w="43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780" w:type="dxa"/>
            <w:vAlign w:val="bottom"/>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center"/>
              <w:ind w:right="3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(108 %)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(21,640)</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(20,721)</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(919)</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26,924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(26,924)</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Decrease (increase) in fair value of warrants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4,291</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(158 %)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gain on disposal of asset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4,819</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(101 %)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(21,298)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(15,684)</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279 %</w:t>
            </w: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(21,298)</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(5,614)</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(15,684)</w:t>
            </w:r>
          </w:p>
        </w:tc>
        <w:tc>
          <w:tcPr>
            <w:tcW w:w="8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279 %</w:t>
            </w: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revenue recognized during the three months ended September 30, 2022 was due to the resolution of variable consideration uncertainties, relating to Vigoride anomalies and subsequent concessions, which had caused the Company to defer revenues pertaining to its first launch in May 2022, as well as forfeited customer deposits related to contract cancellations.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revenue recognized during the three months ended September 30, 2021 was due to a cancelled customer contract, which resulted in the forfeiture of the related customer deposits.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(Reversal of) Cost of revenue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three months ended September 30, 2022 was due to the revenue recognition relating to deferred revenues from the Company’s first launch in May 2022 described above. The Company allocated the cost of the launch proportionally based on payload weight.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reduction of cost of revenue during the three months ended September 30, 2021 represents the reversal of a contingency recorded during the prior year for loss contracts related to free slots on future missions. During the three months ended September 30, 2021 the Company signed amendments or terminations with those customers such that the services will no longer be free of charge.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Research and development expenses increased from $9.0 million in the three months ended September 30, 2021 to $10.6 million in the three months ended September 30, 2022. The increase was primarily due to additional payroll costs of $1.6 million (including an increase of $0.7 million in non-cash stock based compensation) due to an increase in headcount, and higher compensation packages related to the transition from start-up to a publicly traded company. Spending on components, materials, and other costs also increased by $0.3 million, along with additional overhead and other costs of $0.4 million. These increases were offset by decreased subcontracted research and development costs of $0.8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Selling, general and administrative expenses decreased from $12.1 million in the three months ended September 30, 2021 to $11.2 million in the three months ended September 30, 2022. The decrease was primarily driven by a reduction of $1.1 million in legal spending as the Company’s activity related to the NSA and SEC topics discussed in Note 12 shifted from legal proceedings to compliance, along with a wider range of smaller litigation matters. Non-cash stock based compensation costs decreased by $0.5 million due to a stock option modification in the prior year (described in Note 11), off-set by higher stock based compensation costs for employees since becoming a publicly traded company. These decreases were offset by additional insurance costs of $0.3 million and additional general corporate costs of $0.4 million were incurred due to the extra requirements of operating as a publicly traded company.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SAFE notes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decrease in the calculated fair value of SAFE notes during the three months ended September 30, 2021 was primarily due to a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(increase) in fair value of warrants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the three months ended September 30, 2021, the increase in the calculated fair value of the private loan-related warrants, which were accounted for as a derivative liability, was primarily attributable to the final fair value measurement of the warrants that were exercised in connection with the Business Combination, in which the expected period was the shortest period of time of any measurement. The assumed warrant liabilities from the Business Combination also increased in value due to the Company’s stock increasing in fair value in the remainder of the period following the Merger. See Note 11.</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three months ended September 30,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$4.3 million for the three months ended September 30, 2021 relates to cash and amortization interest under the original one year term of the Term Loan. During January 2022, the Company exercised its option to extend repayment of the loan, resulting in a decrease of the effective interest rate and lower cash and amortization interest of $1.3 million for the three months ended September 30, 2022. See Note 10.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in the three months ended September 30, 2022 was immaterial. Other expense in the three months ended September 30, 2021 was due to the transaction costs allocated to the liability-classified warrant assumed in connection with the Business Combination.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Nine Months Ended September 30,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center"/>
              <w:ind w:left="691"/>
              <w:spacing w:after="0"/>
              <w:rPr>
                <w:sz w:val="20"/>
                <w:szCs w:val="20"/>
                <w:color w:val="auto"/>
              </w:rPr>
            </w:pPr>
            <w:r>
              <w:rPr>
                <w:rFonts w:ascii="Arial" w:cs="Arial" w:eastAsia="Arial" w:hAnsi="Arial"/>
                <w:sz w:val="14"/>
                <w:szCs w:val="14"/>
                <w:b w:val="1"/>
                <w:bCs w:val="1"/>
                <w:color w:val="auto"/>
                <w:w w:val="90"/>
              </w:rPr>
              <w:t>Nine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3"/>
          </w:tcPr>
          <w:p>
            <w:pPr>
              <w:jc w:val="center"/>
              <w:ind w:left="711"/>
              <w:spacing w:after="0"/>
              <w:rPr>
                <w:sz w:val="20"/>
                <w:szCs w:val="20"/>
                <w:color w:val="auto"/>
              </w:rPr>
            </w:pPr>
            <w:r>
              <w:rPr>
                <w:rFonts w:ascii="Arial" w:cs="Arial" w:eastAsia="Arial" w:hAnsi="Arial"/>
                <w:sz w:val="14"/>
                <w:szCs w:val="14"/>
                <w:b w:val="1"/>
                <w:bCs w:val="1"/>
                <w:color w:val="auto"/>
                <w:w w:val="87"/>
              </w:rPr>
              <w:t>September 30,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780" w:type="dxa"/>
            <w:vAlign w:val="bottom"/>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ind w:right="4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(119 %)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(67 %)</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39,747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(8,309)</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38,898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3,096</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(70,183)</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(75,084)</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4,901</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209,291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(209,291)</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Decrease in fair value of warrants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3,382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9,826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(6,444)</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(66 %)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loss on disposal of asset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1550 %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SEC settlement</w:t>
            </w: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(4,965)</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(101 %)</w:t>
            </w:r>
          </w:p>
        </w:tc>
      </w:tr>
      <w:tr>
        <w:trPr>
          <w:trHeight w:val="175"/>
        </w:trPr>
        <w:tc>
          <w:tcPr>
            <w:tcW w:w="4300" w:type="dxa"/>
            <w:vAlign w:val="bottom"/>
          </w:tcPr>
          <w:p>
            <w:pPr>
              <w:ind w:left="60"/>
              <w:spacing w:after="0"/>
              <w:rPr>
                <w:sz w:val="20"/>
                <w:szCs w:val="20"/>
                <w:color w:val="auto"/>
              </w:rPr>
            </w:pPr>
            <w:r>
              <w:rPr>
                <w:rFonts w:ascii="Arial" w:cs="Arial" w:eastAsia="Arial" w:hAnsi="Arial"/>
                <w:sz w:val="14"/>
                <w:szCs w:val="14"/>
                <w:color w:val="auto"/>
              </w:rPr>
              <w:t>(Loss) income before income taxes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(71,004)</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123,385</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(194,389)</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(71,004)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123,384</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(194,388)</w:t>
            </w:r>
          </w:p>
        </w:tc>
        <w:tc>
          <w:tcPr>
            <w:tcW w:w="8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(158 %)</w:t>
            </w: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revenue recognized during the nine months ended September 30, 2022 was primarily due to the Company’s first launch in May 2022. This revenue was recognized as the result of a completed performance obligation, as well as other performance obligations which were negatively impacted by the Vigoride 3 anomalies and led to concessions offered to customers, the value of which was resolved after the completion of the mission. Additional revenues were recognized from forfeited customer deposits related to contract cancellations.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revenue recognized during the nine months ended September 30, 2021 was due to customer contract cancellations, resulting in the forfeiture of $0.3 million of non-refundable customer deposits.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(Reversal of) Cost of revenue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nine months ended September 30, 2022 was due to the Company’s first launch in May 2022. The Company allocated the cost of the launch proportionally based on payload weight.</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reversal of cost of revenue recorded during the nine months ended September 30, 2021 represents the reversal of a contingency recorded during the prior year for loss contracts related to free slots on future missions. During the nine months ended September 30, 2021 the Company signed amendments or terminations with those customers such that the services will no longer be free of charge. The reversed contingency was offset by costs incurred related to one of the cancelled contracts.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Research and development expenses decreased from $39.7 million in the nine months ended September 30, 2021 to $31.4 million in the nine months ended September 30, 2022. The decrease was primarily due to one-time impairments of $9.5 million of prepaid launch deposits in the prior year, offset by $0.6 million of launch costs amortized during the nine months ended September 30, 2022. Spending on components, materials, and other costs decreased by $1.2 million along with subcontracted research and development costs which decreased by $2.3 million. These reductions were offset by additional payroll costs of $1.8 million (including an increase of $1.5 million in non-cash stock based compensation) due to an increase in headcount, and higher compensation packages related to the transition from start-up to a publicly traded company. The decrease was further offset by additional overhead and other costs of $0.9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Selling, general and administrative expenses increased from $35.8 million in the nine months ended September 30, 2021 to $38.9 million in the nine months ended September 30, 2022. Non-stock based compensation payroll increased by $1.8 million, with total headcount increasing, and also due to higher compensation packages for senior employees related to the transition from a start-up to a publicly traded company. Additional insurance costs of $1.7 million and additional general corporate costs of $2.0 million were incurred due to the extra requirements of operating as a publicly traded company. Increased spending of $6.2 million on non-legal professional fees was offset by a reduction of $5.1 million in legal spending as the Company’s activity related to the NSA and SEC topics discussed in Note 12 shifted from legal proceedings to compliance. Stock based compensation cost decreased by $4.1 million due to the non-recurring stock modification in the prior period. The Company also incurred launch costs of $0.6 million during the nine months ended September 30, 2022, related to the validation of a third party deployer of a partner company.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SAFE notes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decrease in the calculated fair value of SAFE notes during the nine months ended September 30, 2021 was primarily due to a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warrants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nine months ended September 30, 2021, the decrease in the calculated fair value of the private loan-related warrants was due to the decrease in the estimated fair value of the Company’s stock. The private loan-related warrants in the prior period were exercised in connection with the Business Combination. This decrease was offset by an increase in the value of the assumed warrant liabilities from the Business Combination due to the Company’s stock increasing in fair value in the remainder of the period following the Merger.</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nine months ended September 30,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$8.7 million for the nine months ended September 30, 2021 relates to cash and amortization interest under the original one year term of the Term Loan. During January 2022, the Company exercised its option to extend repayment of the loan, resulting in a decrease of the effective interest rate and $4.2 million of cash and amortization interest for the nine month period. See Note 10.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 Settlement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 settlement expense for the nine months ended September 30, 2021 relates to a civil penalty of $7.0 million, $2 million of which was paid to the SEC immediately and $5 million of which is payable within one year of the settlement order, in July 2022. The Company paid the remaining $5 million liability on July 8, 2022.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expense in the nine months ended September 30, 2021 was due to the transaction costs allocated to the liability-classified warrant assumed in connection with the Business Combination, as well as banking fees related to SAFE financing raised during the period. Other income for the nine months ended September 30, 2022 was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our operations primarily by issuing equity and debt, including the proceeds of the Business Combination and PIPE Investment. As of September 30, 2022, our principal sources of liquidity were our cash and cash equivalents in the amount of $81.6 million, which are held in cash or invested in money market funds.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4"/>
          </w:tcPr>
          <w:p>
            <w:pPr>
              <w:jc w:val="right"/>
              <w:ind w:right="483"/>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31"/>
        </w:trPr>
        <w:tc>
          <w:tcPr>
            <w:tcW w:w="780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(used in)</w:t>
            </w:r>
          </w:p>
        </w:tc>
        <w:tc>
          <w:tcPr>
            <w:tcW w:w="3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(71,495)</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(69,897)</w:t>
            </w:r>
          </w:p>
        </w:tc>
        <w:tc>
          <w:tcPr>
            <w:tcW w:w="0" w:type="dxa"/>
            <w:vAlign w:val="bottom"/>
          </w:tcPr>
          <w:p>
            <w:pPr>
              <w:spacing w:after="0"/>
              <w:rPr>
                <w:sz w:val="1"/>
                <w:szCs w:val="1"/>
                <w:color w:val="auto"/>
              </w:rPr>
            </w:pPr>
          </w:p>
        </w:tc>
      </w:tr>
      <w:tr>
        <w:trPr>
          <w:trHeight w:val="31"/>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(2,852)</w:t>
            </w:r>
          </w:p>
        </w:tc>
        <w:tc>
          <w:tcPr>
            <w:tcW w:w="0" w:type="dxa"/>
            <w:vAlign w:val="bottom"/>
          </w:tcPr>
          <w:p>
            <w:pPr>
              <w:spacing w:after="0"/>
              <w:rPr>
                <w:sz w:val="1"/>
                <w:szCs w:val="1"/>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(6,244)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228,421</w:t>
            </w:r>
          </w:p>
        </w:tc>
        <w:tc>
          <w:tcPr>
            <w:tcW w:w="0" w:type="dxa"/>
            <w:vAlign w:val="bottom"/>
          </w:tcPr>
          <w:p>
            <w:pPr>
              <w:spacing w:after="0"/>
              <w:rPr>
                <w:sz w:val="1"/>
                <w:szCs w:val="1"/>
                <w:color w:val="auto"/>
              </w:rPr>
            </w:pPr>
          </w:p>
        </w:tc>
      </w:tr>
      <w:tr>
        <w:trPr>
          <w:trHeight w:val="31"/>
        </w:trPr>
        <w:tc>
          <w:tcPr>
            <w:tcW w:w="7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(78,380)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155,672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Net cash used in operating activities for the nine months ended September 30, 2022 was $71.5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$21.9 million. Research and development activity expenses, including materials, components, and subcontractor costs were $11.2 million. Professional fees for compliance related to the SEC and NSA topics discussed in Note 12, business development, accounting and audit, and other services, were $10.8 million. Legal fees, related to public company costs as well as the class action complaints discussed in Note 12 were $6.7 million. Office overheads, other general corporate expenses, and cash interest were $12.3 million. The Company paid for $1.2 million of launch costs during the nine months ended September 30, 2022 that were amortized in connection with its first launch. The Company additionally had net cash changes in operating assets and liabilities of $7.2 million, which included payment of the $5.0 million SEC settlement payable.</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used in operating activities for the nine months ended September 30, 2021 was $69.9 million, driven primarily by headcount costs, research and development activities, and selling, general, and administrative costs. Headcount related payroll costs, excluding accrued bonus and stock-based compensation, were $16.2 million. Research and development activity expenses, including materials, components, and subcontractor costs were $14.8 million. Legal fees, related to the SEC and CFIUS review topics, discussed in Note 12, were $11.8 million. Professional fees for recruiting, accounting and audit, and other services were $4.5 million. Office overheads, other general corporate expenses, and cash interest were $7.5 million. The Company also paid $2.0 million of its liability under the SEC settlement and $4.8 million of transaction costs related to the Business Combination allocated to operating costs. Additionally, cash used in net working capital increased by $10.7 million.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was $0.6 million and $2.9 million for the nine months ended September 30, 2022, and 2021, respectively, which consisted primarily of purchases of machinery and equipment, and build-outs in our facility.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$6.2 million for the nine months ended September 30, 2022, due to the first four months of principal repayment under the Term Loan.</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$228.4 million for the nine months ended September 30, 2021, consisting of proceeds from the issuance of SAFE notes, borrowing under the Term Loan, and the Business Combination and PIPE.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operating expenses will increase as we:</w:t>
      </w:r>
    </w:p>
    <w:p>
      <w:pPr>
        <w:spacing w:after="0" w:line="167"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scale up our corporate infrastructure, people, processes and systems;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enhance and scale our sales and marketing function;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02" w:lineRule="exact"/>
        <w:rPr>
          <w:sz w:val="20"/>
          <w:szCs w:val="20"/>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scale up our manufacturing capabilities increasing facility footprint, purchasing additional manufacturing equipment;</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pursue further research and development related to developing our next generation vehicles;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seek regulatory approvals for changes or updates to our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hire additional personnel;</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implement measures required under the NSA and seek to comply with the NSA’s requirements;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maintain, expand and protect our intellectual property portfolio;</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comply with public company reporting requirements; and</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defend against litigation.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expect that our current cash and cash equivalents, our projected gross profit (revenue less cost of revenue), and additional funding from equity or debt financings will enable us to fund an anticipated operating expenses, research and development expenses and capital expenditures beyond the next 12 months. Additionally, we believe that the payments in the form of non-refundable deposits we receive from our customers prior to launch will provide sufficient funding and liquidity to support costs incurred related to that mission.</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based these estimates on assumptions that may prove to be wrong,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Some of these risks and uncertainties are described in more detail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9, 2022, under the heading “</w:t>
      </w:r>
      <w:r>
        <w:rPr>
          <w:rFonts w:ascii="Arial" w:cs="Arial" w:eastAsia="Arial" w:hAnsi="Arial"/>
          <w:sz w:val="15"/>
          <w:szCs w:val="15"/>
          <w:i w:val="1"/>
          <w:iCs w:val="1"/>
          <w:color w:val="auto"/>
        </w:rPr>
        <w:t>Risk Factors — Risks Related to the Business and Industry of Momentus.</w:t>
      </w:r>
      <w:r>
        <w:rPr>
          <w:rFonts w:ascii="Arial" w:cs="Arial" w:eastAsia="Arial" w:hAnsi="Arial"/>
          <w:sz w:val="15"/>
          <w:szCs w:val="15"/>
          <w:color w:val="auto"/>
        </w:rPr>
        <w:t>”</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Although we believe that our current capital is adequate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operating leases primarily for facilities (e.g., office buildings, warehouses and spaceport) under non-cancellable operating leases. These leases expire at various dates through 2028. Refer to Note 7.</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have principal of $18.3 million outstanding under the Term Loan. Refer to Note 10.</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 the SEC settlement, $5 million of the civil penalty is due one year after the settlement. Refer to Note 12. The Company paid the remaining $5 million liability on July 8, 2022.</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enter into agreements in the normal course of business with vendors for research and development services and outsourced services, which are generally cancellable upon written notice. These payments are not included in this table of contractual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Co-Founder Divestment and Stock Repurchase Agreements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statements of stockholders’ equity (deficit), as of September 30, 2022. Refer to Note 11.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financial statements, which have been prepared in accordance with GAAP. The preparation of our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short-term contracts for ‘last-mile’ satellite and cargo delivery, payload hosting and in-orbit servicing options with customers that are primarily in the aerospace industry.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customer contracts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five-step model:</w:t>
      </w:r>
    </w:p>
    <w:p>
      <w:pPr>
        <w:spacing w:after="0" w:line="16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contracts are cancellable for convenience by the customer and typically do not contain variable consideration. However, the full transaction price is collected in advance of the scheduled launch and all fees that are paid are non-refundable (and are not limited to deposits), regardless if the contract is cancelled by the customer or in the event a performance obligation is not satisfied by us. While the Company’s standard contracts do not contain refund or recourse provisions, the Company may issue full or partial refunds to customers on a case-by-case basis as necessary to preserve and foster future business relationships and customer goodwill. As a result of the Company’s inability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complete any launches in 2021 (refer to Note 4 for additional information), the Company issued customer refunds of $1.4 million to customers during the year ended December 31, 2021.</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 Due to this uncertainty, the Company recorded the related customer deposits of $133 thousand as deferred revenues within current contract liabilities as of June 30, 2022. During the three months ended September 30,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2022 we have signed contracts with customers and have collected approximately $2.4 million in customer deposits, which are recorded as non-current contract liabilities in our consolidated balance sheet and will be recognized as revenue (along with any other fess that have been paid) upon the earlier of the satisfaction of our performance obligation or when the customer cancels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prepay for certain launch costs to third 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nine months ended September 30, 2021. There was an unrelated impairment of $0.8 million the three and nine months ended September 30, 2021.</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followed a license from the Federal Communications Commission (the “FCC”) received on April 28, 2022, and updates to existing licenses from the National Oceanic and Atmospheric Administration (the “NOAA”).</w:t>
      </w:r>
    </w:p>
    <w:p>
      <w:pPr>
        <w:spacing w:after="0" w:line="8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In connection with the launch of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Arial" w:cs="Arial" w:eastAsia="Arial" w:hAnsi="Arial"/>
          <w:sz w:val="15"/>
          <w:szCs w:val="15"/>
          <w:i w:val="1"/>
          <w:iCs w:val="1"/>
          <w:color w:val="auto"/>
        </w:rPr>
        <w:t>Research and Development Costs</w:t>
      </w:r>
      <w:r>
        <w:rPr>
          <w:rFonts w:ascii="Arial" w:cs="Arial" w:eastAsia="Arial" w:hAnsi="Arial"/>
          <w:sz w:val="15"/>
          <w:szCs w:val="15"/>
          <w:color w:val="auto"/>
        </w:rPr>
        <w:t xml:space="preserve"> in Note 2.</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2022, the Company resolved the variable consideration uncertainties that had caused it to defer revenue and cost of revenue from its inaugural launch. As a result, the Company amortized the deferred $14 thousand to cost of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financial statements based on their respective grant date fair values.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financial statements is based on awards that are expected to vest. We account for forfeitures as they occur.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 See Note 11 for the specific assumptions we used in applying the Black-Scholes-Merton option pricing model to determine the estimated fair value of our stock options and awards granted during the nine months ended September 30, 2022.</w:t>
      </w:r>
    </w:p>
    <w:p>
      <w:pPr>
        <w:spacing w:after="0" w:line="1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expect our share-based compensation cost will increase to the extent that we grant additional stock option awards to employees and non-employees. If there are any modifications or cancellations of the underlying unvested securities, we may be required to accelerate any remaining unearned share-based compensation cost or incur incremental cost. Share-based compensation cost affects our research and development expenses and selling, general, and administrative expenses.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issued SAFE notes to investors which were converted to shares of Common Stock in connection with the Business Combination. Prior to conversion, we determined that the SAFE notes were not a legal form of debt (i.e., no creditors’ rights). The SAFE notes included a provision allowing for cash redemption upon the consummation of a change of control, the occurrence of which is outside the control of the Company. Therefore, we classified SAFE notes as liabilities as they were redeemable upon a change of control event which is not within the control of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Company. SAFE notes were recorded at fair value, and were subject to remeasurement through earnings at each balance sheet date until the date of their respective settlement and classified as marked-to-market liabilities pursuant to ASC 480.</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determined the estimated fair value of the SAFE notes by applying a Backsolve method within the Black-Scholes-Merton Option Pricing model. This methodology effectively allowed us to solve for the implied value of the business based on the terms of the SAFE investments (i.e. the value of the company, such that when allocated to the various securities, the value allocated to the SAFE investment equals the price the investor paid for such SAFE instrument).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1"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Please refer to Note 2 to our financial statements included in this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risk inherent in our financial instruments and our financial position represents the potential loss arising from adverse changes in interest rates. As of September 30, 2022, we had cash and cash equivalents of $81.6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Because the Term Loan indebtedness bear interests at a fixed rate, it is not impacted by changes in interest rates.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color w:val="auto"/>
        </w:rPr>
        <w:t>Foreign Currency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material foreign currency transactions for the three and nine months ended September 30, 2022 and 2021. Currently, a significant portion of our cash receipts and expenses are generated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GAAP.</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9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management, with the participation of our Chief Executive Officer and Chief Financial Officer, has evaluated the effectiveness of our disclosure controls and procedures (as defined in Rules 13a-15(e) and 15d-15(e) under the Exchange Act) as of September 30, 2022. Based on this evaluation,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internal control over financial reporting during the fiscal quarter ended September 30, 2022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the disclosures under the caption “</w:t>
      </w:r>
      <w:r>
        <w:rPr>
          <w:rFonts w:ascii="Arial" w:cs="Arial" w:eastAsia="Arial" w:hAnsi="Arial"/>
          <w:sz w:val="17"/>
          <w:szCs w:val="17"/>
          <w:i w:val="1"/>
          <w:iCs w:val="1"/>
          <w:color w:val="auto"/>
        </w:rPr>
        <w:t>Legal Proceedings</w:t>
      </w:r>
      <w:r>
        <w:rPr>
          <w:rFonts w:ascii="Arial" w:cs="Arial" w:eastAsia="Arial" w:hAnsi="Arial"/>
          <w:sz w:val="17"/>
          <w:szCs w:val="17"/>
          <w:color w:val="auto"/>
        </w:rPr>
        <w:t>” in Note 12 to our condensed consolidated financial statements in this Form 10-Q for disclosures related to our legal proceedings, which disclosures are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 in our most recent Annual Report on Form 10-K filed by the Company on March 9, 2022, which could materially affect our business, financial condition or future results. Except as set forth below, we do not believe that there have been any material changes to the risk factors disclosed in our Annual Report on Form 10-K filed by the Company on March 9, 2022. The risks described below and in our Annual Report on Form 10-K filed by the Company on March 9, 2022,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have a limited history of delivering customer satellites into orbit using our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and we continue our efforts to deploy other customer satellites but have not yet confirmed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spacing w:after="0" w:line="9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plan to use future Vigoride missions conduct on-orbit functional proof of principle and performance verification data for the MET — this data will be used to assess the efficacy of 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design and is expected to contribute to growing customer confidence over time. Despite the anomalies experienced on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low-earth orbit transfer services. We anticipate that each mission will also lay the groundwork for continual improvements and enhancements that we plan to flight-demonstrate on future missions. We plan to offer low-earth orbit transfer services to customers in the future, based in part on the outcome of future missions and the MET demonstration, as well as the results of ongoing ground testing.</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version of our Vigoride vehicle that we flew on our inaugural mission (Vigoride 3) had never been flown in space. In addition, while we have previously flown our first generation MET in space, that mission did not demonstrate the MET’s ability to generate a measured orbit change in space, which is crucial to our ability to maneuver objects in space. Moreover, even if the unit generates thrust, there can be no assurance that other systems and subsystems can be operated in a manner that is sufficiently reliable and efficient to permit full commercialization of the technology.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While the objective of the inaugural mission involving the Vigoride system (Vigoride 3) was to successfully deploy satellites and perform certain maneuvers, 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expect to learn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gather valuable data during this inaugural mission of Vigoride as we continue to develop and improve the system and our other systems.</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While we are conducting an analysis of the root causes of the anomalies experienced by Vigoride on its inaugural mission (Vigoride 3), there can be no assurance that we will not experience operational or process failures and other problems during future missions. Any failures, delays or setbacks, including the anomalies experienced in our inaugural mission, could harm our reputation and have a material adverse effect on our business, financial condition and results of operation.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receive all required governmental licenses and approvals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currently hold a license grant from the National Oceanic and Atmospheric Administration’s Commercial Report Sensing Regulatory Affairs (the “NOAA’s CRSRA”) office authorizing our first 10 Vigoride missions. However, the FAA denied a payload review application in May 2021 due to interagency concerns related to our foreign ownership and corporate structure. The FAA denial notice, which was received before we entered into the NSA, indicated that Momentus was engaged in addressing the government’s national security concerns and that the FAA could reconsider the application once that process is complete. As discussed elsewhere in this report, in May 2022 we received a favorable determination from the FAA of its application for payload review for our inaugural Vigoride mission (Vigoride 3). We also continue to progress toward implementation of the NSA, but there can be no assurance that our efforts will satisfy the government's national security concerns in time to obtain licenses or approvals needed for planned future missions.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U.S. government agencies other than the agency to which we apply to for a license or approval may review our applications to the FCC, FAA or other regulatory authorities, including to evaluate the national security implications of an application, which could result in delays. For example, in November 2020, the Committee for the Assessment of Foreign Participation in the United States Telecommunications Service Sector (the “Committee”) requested to review two of our FCC license applications to determine whether approval posed a risk to the national security or law enforcement interests of the United States. While in that instance, the Committee withdrew its request for review without explanation, it is possible that reviews of applications for licenses or approvals by the Committee or other regulatory bodies may occur in the future. Such reviews could delay the issuance of, or result in a denial of, licenses or approvals.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 assurance can be given that we will obtain FAA or FCC authorizations or other authorizations that may be necessary to our business in a timely manner, especially in light of the ongoing U.S. government oversight of Momentus discussed under “</w:t>
      </w:r>
      <w:r>
        <w:rPr>
          <w:rFonts w:ascii="Arial" w:cs="Arial" w:eastAsia="Arial" w:hAnsi="Arial"/>
          <w:sz w:val="16"/>
          <w:szCs w:val="16"/>
          <w:i w:val="1"/>
          <w:iCs w:val="1"/>
          <w:color w:val="auto"/>
        </w:rPr>
        <w:t>Business — Regulatory — National Security Agreement</w:t>
      </w:r>
      <w:r>
        <w:rPr>
          <w:rFonts w:ascii="Arial" w:cs="Arial" w:eastAsia="Arial" w:hAnsi="Arial"/>
          <w:sz w:val="16"/>
          <w:szCs w:val="16"/>
          <w:color w:val="auto"/>
        </w:rPr>
        <w:t>” in our Annual Report on Form 10-K filed with the SEC on March 9, 2022. Moreover, there is no guarantee that the FCC, the FAA and other U.S. government agencies will grant the necessary authorizations to operate our spaceflight business as planned, despite our progress toward implementation of the NSA. If we do not receive these approvals in a timely manner, our financial condition, results of operations, backlog and prospects will be materially adversely affected. For example, we have experienced erosion in our backlog from $86 million as of March 4, 2021 to $67 million as of January 31, 2022, to $43 million as of October 31, 2022, as customers chose to cancel their contracts with us and seek alternative providers, partly due to delays in our scheduled missions. If we continue to experience delays in receiving these approvals, we could experience further erosion in our backlog.</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October 31, 2022, our backlog consisted of approximately $43 million in customer contracts, including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backlog may be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recognition. In some instances, we could reasonably use different estimates and assumptions, and changes in estimates are likely to occur from period to period.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Accordingly, actual results could differ significantly from our estimates.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if we do not receive regulatory approvals in a timely manner, or our future missions experience anomalies in addition to the issues experienced by our inaugural Vigoride mission (Vigoride 3), our backlog and prospects will be materially adversely affected. For example, we have experienced erosion in our backlog of $86 million as of March 4, 2021 to $67 million as of January 31, 2022 to $43 million as of October 31, 2022, as customers chose to cancel their contracts with us and seek alternative providers due to delays in our scheduled missions as we await receipt of necessary governmental approvals and the anomalies associated with our inaugural Vigoride mission (Vigoride 3). If we continue to experience delays in receiving these approvals or future missions experience significant anomalies, we could experience further erosion in our backlog.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spacecraft fail to operate as intended, it could have a material adverse effect on our business, financial condition and results of operations.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 performance. Exposure of our spacecraft to an unanticipated catastrophic event, such as collision with space debris, could reduce the performance of, or completely destroy, the affected spacecraft.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example, the inaugural flight of our Vigoride spacecraft (Vigoride 3)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and we continue our efforts to deploy other customer satellites but have not yet confirmed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88" w:lineRule="exact"/>
        <w:rPr>
          <w:sz w:val="20"/>
          <w:szCs w:val="20"/>
          <w:color w:val="auto"/>
        </w:rPr>
      </w:pPr>
    </w:p>
    <w:p>
      <w:pPr>
        <w:jc w:val="both"/>
        <w:spacing w:after="0" w:line="391" w:lineRule="auto"/>
        <w:rPr>
          <w:sz w:val="20"/>
          <w:szCs w:val="20"/>
          <w:color w:val="auto"/>
        </w:rPr>
      </w:pPr>
      <w:r>
        <w:rPr>
          <w:rFonts w:ascii="Arial" w:cs="Arial" w:eastAsia="Arial" w:hAnsi="Arial"/>
          <w:sz w:val="14"/>
          <w:szCs w:val="14"/>
          <w:b w:val="1"/>
          <w:bCs w:val="1"/>
          <w:i w:val="1"/>
          <w:iCs w:val="1"/>
          <w:color w:val="auto"/>
        </w:rPr>
        <w:t>We are currently, and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currently, and may in the future be, subject to substantial litigation, regulatory actions, government investigations, proceedings and similar actions including matters related to commercial disputes, intellectual property, employment, securities laws, disclosures, whistleblower, environmental, tax, accounting, class action, and product liability, as well as trade, regulatory and other claims related to our business and our industry.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operating results or financial condition.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July 15, 2021, July 22, 2021 and August 4, 2021 , three related putative securities class action lawsuits were filed in the United States District Court for the Central District of California against the Company, SRAC, Sponsor, certain officers and directors of SRAC and Mikhail Kokorich, the Company’s co-founder and former CEO, alleging that the defendants omitted certain material information in their public statements and disclosures regarding the Business Combination in violation of the securities laws, and seeking damages on behalf of a putative class of stockholders who purchased SRAC stock between October 7, 2020 and July 13, 2021. On October 20, 2021, the securities class actions were consolidated in the first filed matter under the caption In re Stable Road Acquisition Corp. Securities Litigation (Case No. 2:21-cv-05744-JFW-SHK) and on November 12, 2021 the court-appointed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2" w:name="page63"/>
    <w:bookmarkEnd w:id="62"/>
    <w:p>
      <w:pPr>
        <w:jc w:val="both"/>
        <w:spacing w:after="0" w:line="258" w:lineRule="auto"/>
        <w:rPr>
          <w:sz w:val="20"/>
          <w:szCs w:val="20"/>
          <w:color w:val="auto"/>
        </w:rPr>
      </w:pPr>
      <w:r>
        <w:rPr>
          <w:rFonts w:ascii="Arial" w:cs="Arial" w:eastAsia="Arial" w:hAnsi="Arial"/>
          <w:sz w:val="17"/>
          <w:szCs w:val="17"/>
          <w:color w:val="auto"/>
        </w:rPr>
        <w:t>lead plaintiff filed a consolidated amended complaint against the same defendants as well as certain additional officers and directors of SRAC and current and former officers of the Company. The amended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On February 14, 2022, the defendants filed motions to dismiss the amended complaint. On July 13, 2022 the motions to dismiss were granted in part and denied in part. A jury trial date has been set for November 14, 2023.</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16, 2022, a complaint was filed against the Company in the Delaware Court of Chancery (Case. No. 2022-0519) by a stockholder of the Company demanding to inspect the books and records of the Company pursuant to Section 220 of the Delaware General Corporation Law. The stockholder is seeking production of books and records relating to the management of the Company and its disclosures to potential investors in connection with the Business Combination. The matter is currently stayed pending the Company’s production of certain documents to satisfy the stockholder’s requests for inspection. The Company from time to time responds to books and records requests properly submitted pursuant to applicable Delaware law.</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June 20, 2022, a shareholder derivative action was filed by a stockholder on behalf of the Company, in the U.S. District Court for the Central District of California (Case No. 2:22-cv-04212), against the Company (as a nominal defendant), SRAC, and current and former directors of the Company and SRAC. This derivative action alleges the same core allegations as stated in the securities class action litigation. Defendants dispute the allegations and intend to file a motion to dismiss the derivative action.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July 20, 2022, an action was filed against the Company in New Castle County Superior Court, Delaware, in the Complex Commercial Litigation Division (Case No. N22C-07-133 EMD CCLD), alleging fraudulent inducement and breach of contract arising from two investment contracts pursuant to which plaintiff alleges it invested $4 million in the Company. The plaintiff is seeking damages in excess of $7.6 million, in addition to interests and its attorney’s fees and costs. The Company disputes the allegations and intends to vigorously defend the litigation.</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8, 2021, former co-founders and shareholders of the Company, Mikhail Kokorich and Lev Khasis signed a National Security Agreement alongside stock repurchase agreements, whereby they agreed to divest their interests in the Company in exchange for a cash payment and other considerations. The Company has maintained that this release is effective as to various advancement and indemnification claims either individual may have against the Company. On August 16, 2022, Mr. Kokorich filed a verified complaint against Momentus in the Delaware Court of Chancery (Case. No. 2022-0722) seeking indemnification and advancement from Momentus. Momentus disputes the allegations and intends to file a motion to dismiss the action.</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These securities class actions, shareholder derivative actions and other current or future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While a certain amount of insurance coverage is available for expenses or losses associated with current or future lawsuits, this coverage may not be sufficient.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Based on information currently available, we are unable to estimate reasonably a possible loss or range of possible losses, if any, with regard to the current securities class actions, shareholder derivative actions and other lawsuits; therefore, no litigation reserve has been recorded in our consolidated balance sheet. Although we plan to defend against the securities class actions, shareholder derivative actions and other lawsuits vigorously, we cannot assure that the results of these actions, either individually or in the aggregate, will not have a material adverse effect on our business, operating results or financial condition.</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Sales of a significant number of shares of our Class A Stock in the public markets, or the perception that such sales could occur, could depress the market price of our Class A Stock.</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entered into an ATM program, and the Company from time to time may sell up to $50.0 million of shares of Class A Stock pursuant to such program. Sales of a substantial number of shares of our Class A Stock in the public markets could depress the market price of our Class A Stock and impair our ability to raise capital through the sale of additional equity securities. We cannot predict the effect that future sales of our Class A Stock would have on the market price of our Class A Stock.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3" w:name="page64"/>
    <w:bookmarkEnd w:id="63"/>
    <w:p>
      <w:pPr>
        <w:jc w:val="both"/>
        <w:spacing w:after="0" w:line="312" w:lineRule="auto"/>
        <w:rPr>
          <w:sz w:val="20"/>
          <w:szCs w:val="20"/>
          <w:color w:val="auto"/>
        </w:rPr>
      </w:pPr>
      <w:r>
        <w:rPr>
          <w:rFonts w:ascii="Arial" w:cs="Arial" w:eastAsia="Arial" w:hAnsi="Arial"/>
          <w:sz w:val="16"/>
          <w:szCs w:val="16"/>
          <w:b w:val="1"/>
          <w:bCs w:val="1"/>
          <w:i w:val="1"/>
          <w:iCs w:val="1"/>
          <w:color w:val="auto"/>
        </w:rPr>
        <w:t>We may fail to continue to meet the listing standards of Nasdaq, and as a result our common stock and publicly traded warrants may be delisted, which could have a material adverse effect on the liquidity and trading price of our common stock and warrants and on our ability to raise capital.</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common stock and publicly traded warrants currently trade on The Nasdaq Global Select Market. The Nasdaq Stock Market LLC has requirements for our equity securities to remain listed on Nasdaq, including a rule requiring our common stock to maintain a minimum closing bid price of $1.00 per share. The closing price of our common stock could fall below $1.00 per share in the future. If the closing bid price of our common stock falls below $1.00 per share for a period of 30 consecutive trading days, we would expect to receive a notification from Nasdaq that our common stock would be subject to delisting if we do not regain compliance with the minimum bid price requirement within the time period specified by Nasdaq. If we were to receive such a notification, we expect that we would be afforded a grace period of 180 calendar days to regain compliance with the minimum bid price requirement, and that, to regain compliance, our common stock would need to maintain a minimum closing bid price of at least $1.00 per share for at least 10 consecutive trading days. If we fail to meet Nasdaq’s stock price requirements, or if we do not meet Nasdaq’s other listing requirements, we would fail to be in compliance with Nasdaq’s listing standards and our common stock and publicly traded warrants could be delisted from Nasdaq. There can be no assurance that we will continue to meet the minimum bid price requirement or any other Nasdaq listing requirement in the future. If our common stock and publicly traded warrants were to be delisted, the liquidity of our common stock and publicly traded warrants would be adversely affected, their market prices could decrease. We may also face other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September 30, 2022, we issued 246,855 shares of common stock as compensation to a former employee of Momentus Space, LLC. The issuances of such shares were exempt from registration pursuant to Section 4(2) of the Securities Act of 1933, as amended (the “Securities Act”) or the rules and regulations promulgated there under, including Rule 701.</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gridSpan w:val="7"/>
          </w:tcPr>
          <w:p>
            <w:pPr>
              <w:ind w:left="1440"/>
              <w:spacing w:after="0"/>
              <w:rPr>
                <w:sz w:val="20"/>
                <w:szCs w:val="20"/>
                <w:color w:val="auto"/>
              </w:rPr>
            </w:pPr>
            <w:r>
              <w:rPr>
                <w:rFonts w:ascii="Arial" w:cs="Arial" w:eastAsia="Arial" w:hAnsi="Arial"/>
                <w:sz w:val="15"/>
                <w:szCs w:val="15"/>
                <w:b w:val="1"/>
                <w:bCs w:val="1"/>
                <w:color w:val="auto"/>
              </w:rPr>
              <w:t>Description of Exhibit</w:t>
            </w:r>
          </w:p>
        </w:tc>
      </w:tr>
      <w:tr>
        <w:trPr>
          <w:trHeight w:val="176"/>
        </w:trPr>
        <w:tc>
          <w:tcPr>
            <w:tcW w:w="14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2.1†</w:t>
            </w:r>
          </w:p>
        </w:tc>
        <w:tc>
          <w:tcPr>
            <w:tcW w:w="9880" w:type="dxa"/>
            <w:vAlign w:val="bottom"/>
            <w:gridSpan w:val="9"/>
            <w:shd w:val="clear" w:color="auto" w:fill="CCEEFF"/>
          </w:tcPr>
          <w:p>
            <w:pPr>
              <w:spacing w:after="0" w:line="176" w:lineRule="exact"/>
              <w:rPr>
                <w:rFonts w:ascii="Arial" w:cs="Arial" w:eastAsia="Arial" w:hAnsi="Arial"/>
                <w:sz w:val="17"/>
                <w:szCs w:val="17"/>
                <w:color w:val="0000FF"/>
                <w:w w:val="93"/>
              </w:rPr>
            </w:pPr>
            <w:hyperlink r:id="rId101">
              <w:r>
                <w:rPr>
                  <w:rFonts w:ascii="Arial" w:cs="Arial" w:eastAsia="Arial" w:hAnsi="Arial"/>
                  <w:sz w:val="17"/>
                  <w:szCs w:val="17"/>
                  <w:color w:val="0000FF"/>
                  <w:w w:val="93"/>
                </w:rPr>
                <w:t>Agreement and Plan of Merger, dated as of October 7, 2020, by and among Stable Road Acquisition Corp., Project Marvel First Merger Sub,</w:t>
              </w:r>
            </w:hyperlink>
          </w:p>
        </w:tc>
      </w:tr>
      <w:tr>
        <w:trPr>
          <w:trHeight w:val="148"/>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bottom w:val="single" w:sz="8" w:color="0000FF"/>
            </w:tcBorders>
            <w:gridSpan w:val="6"/>
            <w:shd w:val="clear" w:color="auto" w:fill="CCEEFF"/>
          </w:tcPr>
          <w:p>
            <w:pPr>
              <w:spacing w:after="0" w:line="148"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Inc., Project Marvel Second Merger Sub, LLC, and Momentus Inc. (incorporated by reference to Exhibit 2.1 to the Company’s Current Report</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9"/>
        </w:trPr>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720" w:type="dxa"/>
            <w:vAlign w:val="bottom"/>
            <w:tcBorders>
              <w:bottom w:val="single" w:sz="8" w:color="0000FF"/>
            </w:tcBorders>
            <w:gridSpan w:val="2"/>
            <w:shd w:val="clear" w:color="auto" w:fill="CCEEFF"/>
          </w:tcPr>
          <w:p>
            <w:pPr>
              <w:spacing w:after="0" w:line="161"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on Form 8-K filed on October 7, 2020).</w:t>
              </w:r>
            </w:hyperlink>
          </w:p>
        </w:tc>
        <w:tc>
          <w:tcPr>
            <w:tcW w:w="7140" w:type="dxa"/>
            <w:vAlign w:val="bottom"/>
            <w:tcBorders>
              <w:bottom w:val="single" w:sz="8" w:color="CCEEFF"/>
            </w:tcBorders>
            <w:gridSpan w:val="6"/>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5"/>
                <w:szCs w:val="15"/>
                <w:color w:val="auto"/>
              </w:rPr>
            </w:pPr>
          </w:p>
        </w:tc>
        <w:tc>
          <w:tcPr>
            <w:tcW w:w="9880" w:type="dxa"/>
            <w:vAlign w:val="bottom"/>
            <w:gridSpan w:val="9"/>
          </w:tcPr>
          <w:p>
            <w:pPr>
              <w:spacing w:after="0" w:line="180" w:lineRule="exact"/>
              <w:rPr>
                <w:rFonts w:ascii="Arial" w:cs="Arial" w:eastAsia="Arial" w:hAnsi="Arial"/>
                <w:sz w:val="17"/>
                <w:szCs w:val="17"/>
                <w:color w:val="0000FF"/>
                <w:w w:val="92"/>
              </w:rPr>
            </w:pPr>
            <w:hyperlink r:id="rId102">
              <w:r>
                <w:rPr>
                  <w:rFonts w:ascii="Arial" w:cs="Arial" w:eastAsia="Arial" w:hAnsi="Arial"/>
                  <w:sz w:val="17"/>
                  <w:szCs w:val="17"/>
                  <w:color w:val="0000FF"/>
                  <w:w w:val="92"/>
                </w:rPr>
                <w:t>Sales Agreement, dated September 28, 2022, by and between Momentus Inc. and Stifel, Nicolaus &amp; Company, Incorporated. (incorporated by</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5"/>
          </w:tcPr>
          <w:p>
            <w:pPr>
              <w:spacing w:after="0" w:line="148" w:lineRule="exact"/>
              <w:rPr>
                <w:rFonts w:ascii="Arial" w:cs="Arial" w:eastAsia="Arial" w:hAnsi="Arial"/>
                <w:sz w:val="17"/>
                <w:szCs w:val="17"/>
                <w:color w:val="0000FF"/>
              </w:rPr>
            </w:pPr>
            <w:hyperlink r:id="rId102">
              <w:r>
                <w:rPr>
                  <w:rFonts w:ascii="Arial" w:cs="Arial" w:eastAsia="Arial" w:hAnsi="Arial"/>
                  <w:sz w:val="17"/>
                  <w:szCs w:val="17"/>
                  <w:color w:val="0000FF"/>
                </w:rPr>
                <w:t>reference to Exhibit 1.1 to the Company Current Report on Form 8-K filed on September 28, 2022)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10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31.1*</w:t>
            </w:r>
          </w:p>
        </w:tc>
        <w:tc>
          <w:tcPr>
            <w:tcW w:w="12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9"/>
            <w:shd w:val="clear" w:color="auto" w:fill="CCEEFF"/>
          </w:tcPr>
          <w:p>
            <w:pPr>
              <w:spacing w:after="0" w:line="180" w:lineRule="exact"/>
              <w:rPr>
                <w:sz w:val="20"/>
                <w:szCs w:val="20"/>
                <w:color w:val="auto"/>
              </w:rPr>
            </w:pPr>
            <w:r>
              <w:rPr>
                <w:rFonts w:ascii="Arial" w:cs="Arial" w:eastAsia="Arial" w:hAnsi="Arial"/>
                <w:sz w:val="17"/>
                <w:szCs w:val="17"/>
                <w:color w:val="0000FF"/>
                <w:w w:val="98"/>
              </w:rPr>
              <w:t>Certification Pursuant to Rules 13a-14(a) and 15d-14(a) Under The Securities Act of 1934, As Adopted Pursuant to Section 302 of the</w:t>
            </w:r>
          </w:p>
        </w:tc>
      </w:tr>
      <w:tr>
        <w:trPr>
          <w:trHeight w:val="179"/>
        </w:trPr>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shd w:val="clear" w:color="auto" w:fill="CCEEFF"/>
          </w:tcPr>
          <w:p>
            <w:pPr>
              <w:spacing w:after="0" w:line="148" w:lineRule="exact"/>
              <w:rPr>
                <w:sz w:val="20"/>
                <w:szCs w:val="20"/>
                <w:color w:val="auto"/>
              </w:rPr>
            </w:pPr>
            <w:r>
              <w:rPr>
                <w:rFonts w:ascii="Arial" w:cs="Arial" w:eastAsia="Arial" w:hAnsi="Arial"/>
                <w:sz w:val="17"/>
                <w:szCs w:val="17"/>
                <w:color w:val="0000FF"/>
                <w:w w:val="91"/>
              </w:rPr>
              <w:t>Sarbanes-Oxley Act of 2002</w:t>
            </w:r>
          </w:p>
        </w:tc>
        <w:tc>
          <w:tcPr>
            <w:tcW w:w="788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31.2*</w:t>
            </w:r>
          </w:p>
        </w:tc>
        <w:tc>
          <w:tcPr>
            <w:tcW w:w="120" w:type="dxa"/>
            <w:vAlign w:val="bottom"/>
          </w:tcPr>
          <w:p>
            <w:pPr>
              <w:spacing w:after="0"/>
              <w:rPr>
                <w:sz w:val="15"/>
                <w:szCs w:val="15"/>
                <w:color w:val="auto"/>
              </w:rPr>
            </w:pPr>
          </w:p>
        </w:tc>
        <w:tc>
          <w:tcPr>
            <w:tcW w:w="9880" w:type="dxa"/>
            <w:vAlign w:val="bottom"/>
            <w:gridSpan w:val="9"/>
          </w:tcPr>
          <w:p>
            <w:pPr>
              <w:spacing w:after="0" w:line="180" w:lineRule="exact"/>
              <w:rPr>
                <w:sz w:val="20"/>
                <w:szCs w:val="20"/>
                <w:color w:val="auto"/>
              </w:rPr>
            </w:pPr>
            <w:r>
              <w:rPr>
                <w:rFonts w:ascii="Arial" w:cs="Arial" w:eastAsia="Arial" w:hAnsi="Arial"/>
                <w:sz w:val="17"/>
                <w:szCs w:val="17"/>
                <w:color w:val="0000FF"/>
                <w:w w:val="98"/>
              </w:rPr>
              <w:t>Certification Pursuant to Rules 13a-14(a) and 15d-14(a) Under The Securities Act of 1934, As Adopted Pursuant to Section 302 of the</w:t>
            </w: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7"/>
          </w:tcPr>
          <w:p>
            <w:pPr>
              <w:spacing w:after="0" w:line="148"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2"/>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32.1**</w:t>
            </w:r>
          </w:p>
        </w:tc>
        <w:tc>
          <w:tcPr>
            <w:tcW w:w="12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9"/>
            <w:shd w:val="clear" w:color="auto" w:fill="CCEEFF"/>
          </w:tcPr>
          <w:p>
            <w:pPr>
              <w:spacing w:after="0" w:line="180" w:lineRule="exact"/>
              <w:rPr>
                <w:sz w:val="20"/>
                <w:szCs w:val="20"/>
                <w:color w:val="auto"/>
              </w:rPr>
            </w:pPr>
            <w:r>
              <w:rPr>
                <w:rFonts w:ascii="Arial" w:cs="Arial" w:eastAsia="Arial" w:hAnsi="Arial"/>
                <w:sz w:val="17"/>
                <w:szCs w:val="17"/>
                <w:color w:val="0000FF"/>
              </w:rPr>
              <w:t>Certification Pursuant to 18 U.S.C. Section 1350, As Adopted Pursuant to Section 906 of the Sarbanes-Oxley Act of 2002</w:t>
            </w: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410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32.2**</w:t>
            </w:r>
          </w:p>
        </w:tc>
        <w:tc>
          <w:tcPr>
            <w:tcW w:w="120" w:type="dxa"/>
            <w:vAlign w:val="bottom"/>
          </w:tcPr>
          <w:p>
            <w:pPr>
              <w:spacing w:after="0"/>
              <w:rPr>
                <w:sz w:val="15"/>
                <w:szCs w:val="15"/>
                <w:color w:val="auto"/>
              </w:rPr>
            </w:pPr>
          </w:p>
        </w:tc>
        <w:tc>
          <w:tcPr>
            <w:tcW w:w="9880" w:type="dxa"/>
            <w:vAlign w:val="bottom"/>
            <w:gridSpan w:val="9"/>
          </w:tcPr>
          <w:p>
            <w:pPr>
              <w:spacing w:after="0" w:line="180" w:lineRule="exact"/>
              <w:rPr>
                <w:sz w:val="20"/>
                <w:szCs w:val="20"/>
                <w:color w:val="auto"/>
              </w:rPr>
            </w:pPr>
            <w:r>
              <w:rPr>
                <w:rFonts w:ascii="Arial" w:cs="Arial" w:eastAsia="Arial" w:hAnsi="Arial"/>
                <w:sz w:val="17"/>
                <w:szCs w:val="17"/>
                <w:color w:val="0000FF"/>
              </w:rPr>
              <w:t>Certification Pursuant to 18 U.S.C. Section 1350, As Adopted Pursuant to Section 906 of the Sarbanes-Oxley Act of 2002</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10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20" w:type="dxa"/>
            <w:vAlign w:val="bottom"/>
            <w:tcBorders>
              <w:right w:val="single" w:sz="8" w:color="CCEEFF"/>
            </w:tcBorders>
            <w:gridSpan w:val="2"/>
            <w:shd w:val="clear" w:color="auto" w:fill="CCEEFF"/>
          </w:tcPr>
          <w:p>
            <w:pPr>
              <w:ind w:left="20"/>
              <w:spacing w:after="0" w:line="177" w:lineRule="exact"/>
              <w:rPr>
                <w:sz w:val="20"/>
                <w:szCs w:val="20"/>
                <w:color w:val="auto"/>
              </w:rPr>
            </w:pPr>
            <w:r>
              <w:rPr>
                <w:rFonts w:ascii="Arial" w:cs="Arial" w:eastAsia="Arial" w:hAnsi="Arial"/>
                <w:sz w:val="17"/>
                <w:szCs w:val="17"/>
                <w:color w:val="auto"/>
              </w:rPr>
              <w:t>101.INS*</w:t>
            </w:r>
          </w:p>
        </w:tc>
        <w:tc>
          <w:tcPr>
            <w:tcW w:w="9880" w:type="dxa"/>
            <w:vAlign w:val="bottom"/>
            <w:gridSpan w:val="9"/>
            <w:shd w:val="clear" w:color="auto" w:fill="CCEEFF"/>
          </w:tcPr>
          <w:p>
            <w:pPr>
              <w:spacing w:after="0" w:line="177" w:lineRule="exact"/>
              <w:rPr>
                <w:sz w:val="20"/>
                <w:szCs w:val="20"/>
                <w:color w:val="auto"/>
              </w:rPr>
            </w:pPr>
            <w:r>
              <w:rPr>
                <w:rFonts w:ascii="Arial" w:cs="Arial" w:eastAsia="Arial" w:hAnsi="Arial"/>
                <w:sz w:val="17"/>
                <w:szCs w:val="17"/>
                <w:color w:val="auto"/>
                <w:w w:val="94"/>
              </w:rPr>
              <w:t>Inline XBRL Instance Document - the instance document does not appear in the Interactive Data File because its XBRL tags are embedded</w:t>
            </w:r>
          </w:p>
        </w:tc>
      </w:tr>
      <w:tr>
        <w:trPr>
          <w:trHeight w:val="232"/>
        </w:trPr>
        <w:tc>
          <w:tcPr>
            <w:tcW w:w="13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88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within the Inline XBRL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9880" w:type="dxa"/>
            <w:vAlign w:val="bottom"/>
            <w:gridSpan w:val="9"/>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988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988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988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988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0"/>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104*</w:t>
            </w:r>
          </w:p>
        </w:tc>
        <w:tc>
          <w:tcPr>
            <w:tcW w:w="120" w:type="dxa"/>
            <w:vAlign w:val="bottom"/>
            <w:tcBorders>
              <w:right w:val="single" w:sz="8" w:color="CCEEFF"/>
            </w:tcBorders>
            <w:shd w:val="clear" w:color="auto" w:fill="CCEEFF"/>
          </w:tcPr>
          <w:p>
            <w:pPr>
              <w:spacing w:after="0"/>
              <w:rPr>
                <w:sz w:val="19"/>
                <w:szCs w:val="19"/>
                <w:color w:val="auto"/>
              </w:rPr>
            </w:pPr>
          </w:p>
        </w:tc>
        <w:tc>
          <w:tcPr>
            <w:tcW w:w="988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Cover Page Interactive Data File (formatted in Inline XBRL and contained in Exhibit 101)</w:t>
            </w:r>
          </w:p>
        </w:tc>
      </w:tr>
      <w:tr>
        <w:trPr>
          <w:trHeight w:val="342"/>
        </w:trPr>
        <w:tc>
          <w:tcPr>
            <w:tcW w:w="1300" w:type="dxa"/>
            <w:vAlign w:val="bottom"/>
          </w:tcPr>
          <w:p>
            <w:pPr>
              <w:spacing w:after="0"/>
              <w:rPr>
                <w:sz w:val="20"/>
                <w:szCs w:val="20"/>
                <w:color w:val="auto"/>
              </w:rPr>
            </w:pPr>
            <w:r>
              <w:rPr>
                <w:rFonts w:ascii="Arial" w:cs="Arial" w:eastAsia="Arial" w:hAnsi="Arial"/>
                <w:sz w:val="21"/>
                <w:szCs w:val="21"/>
                <w:color w:val="auto"/>
              </w:rPr>
              <w:t>__________</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ind w:left="380" w:hanging="377"/>
        <w:spacing w:after="0" w:line="235" w:lineRule="auto"/>
        <w:tabs>
          <w:tab w:leader="none" w:pos="380" w:val="left"/>
        </w:tabs>
        <w:numPr>
          <w:ilvl w:val="0"/>
          <w:numId w:val="9"/>
        </w:numPr>
        <w:rPr>
          <w:rFonts w:ascii="Arial" w:cs="Arial" w:eastAsia="Arial" w:hAnsi="Arial"/>
          <w:sz w:val="21"/>
          <w:szCs w:val="21"/>
          <w:color w:val="auto"/>
        </w:rPr>
      </w:pPr>
      <w:r>
        <w:rPr>
          <w:rFonts w:ascii="Arial" w:cs="Arial" w:eastAsia="Arial" w:hAnsi="Arial"/>
          <w:sz w:val="17"/>
          <w:szCs w:val="17"/>
          <w:color w:val="auto"/>
        </w:rPr>
        <w:t>Filed herewith</w:t>
      </w:r>
    </w:p>
    <w:p>
      <w:pPr>
        <w:spacing w:after="0" w:line="4"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Furnished herewith</w:t>
      </w:r>
    </w:p>
    <w:p>
      <w:pPr>
        <w:spacing w:after="0" w:line="3" w:lineRule="exact"/>
        <w:rPr>
          <w:sz w:val="20"/>
          <w:szCs w:val="20"/>
          <w:color w:val="auto"/>
        </w:rPr>
      </w:pPr>
    </w:p>
    <w:p>
      <w:pPr>
        <w:ind w:left="320" w:hanging="317"/>
        <w:spacing w:after="0" w:line="262"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00" w:type="dxa"/>
            <w:vAlign w:val="bottom"/>
          </w:tcPr>
          <w:p>
            <w:pPr>
              <w:spacing w:after="0"/>
              <w:rPr>
                <w:sz w:val="19"/>
                <w:szCs w:val="19"/>
                <w:color w:val="auto"/>
              </w:rPr>
            </w:pPr>
          </w:p>
        </w:tc>
        <w:tc>
          <w:tcPr>
            <w:tcW w:w="3400" w:type="dxa"/>
            <w:vAlign w:val="bottom"/>
          </w:tcPr>
          <w:p>
            <w:pPr>
              <w:ind w:left="1580"/>
              <w:spacing w:after="0"/>
              <w:rPr>
                <w:sz w:val="20"/>
                <w:szCs w:val="20"/>
                <w:color w:val="auto"/>
              </w:rPr>
            </w:pPr>
            <w:r>
              <w:rPr>
                <w:rFonts w:ascii="Arial" w:cs="Arial" w:eastAsia="Arial" w:hAnsi="Arial"/>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7"/>
                <w:szCs w:val="17"/>
                <w:color w:val="auto"/>
              </w:rPr>
              <w:t>Date: November 8, 2022</w:t>
            </w:r>
          </w:p>
        </w:tc>
        <w:tc>
          <w:tcPr>
            <w:tcW w:w="3400" w:type="dxa"/>
            <w:vAlign w:val="bottom"/>
          </w:tcPr>
          <w:p>
            <w:pPr>
              <w:ind w:left="256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Rood</w:t>
            </w:r>
          </w:p>
        </w:tc>
      </w:tr>
      <w:tr>
        <w:trPr>
          <w:trHeight w:val="212"/>
        </w:trPr>
        <w:tc>
          <w:tcPr>
            <w:tcW w:w="3300" w:type="dxa"/>
            <w:vAlign w:val="bottom"/>
          </w:tcPr>
          <w:p>
            <w:pPr>
              <w:spacing w:after="0"/>
              <w:rPr>
                <w:sz w:val="18"/>
                <w:szCs w:val="18"/>
                <w:color w:val="auto"/>
              </w:rPr>
            </w:pPr>
          </w:p>
        </w:tc>
        <w:tc>
          <w:tcPr>
            <w:tcW w:w="3400" w:type="dxa"/>
            <w:vAlign w:val="bottom"/>
          </w:tcPr>
          <w:p>
            <w:pPr>
              <w:ind w:left="256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John Rood</w:t>
            </w:r>
          </w:p>
        </w:tc>
      </w:tr>
      <w:tr>
        <w:trPr>
          <w:trHeight w:val="170"/>
        </w:trPr>
        <w:tc>
          <w:tcPr>
            <w:tcW w:w="3300" w:type="dxa"/>
            <w:vAlign w:val="bottom"/>
          </w:tcPr>
          <w:p>
            <w:pPr>
              <w:spacing w:after="0"/>
              <w:rPr>
                <w:sz w:val="14"/>
                <w:szCs w:val="14"/>
                <w:color w:val="auto"/>
              </w:rPr>
            </w:pPr>
          </w:p>
        </w:tc>
        <w:tc>
          <w:tcPr>
            <w:tcW w:w="3400" w:type="dxa"/>
            <w:vAlign w:val="bottom"/>
          </w:tcPr>
          <w:p>
            <w:pPr>
              <w:ind w:left="256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Executive Officer</w:t>
            </w:r>
          </w:p>
        </w:tc>
      </w:tr>
      <w:tr>
        <w:trPr>
          <w:trHeight w:val="217"/>
        </w:trPr>
        <w:tc>
          <w:tcPr>
            <w:tcW w:w="3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77"/>
        </w:trPr>
        <w:tc>
          <w:tcPr>
            <w:tcW w:w="3300" w:type="dxa"/>
            <w:vAlign w:val="bottom"/>
          </w:tcPr>
          <w:p>
            <w:pPr>
              <w:spacing w:after="0"/>
              <w:rPr>
                <w:sz w:val="20"/>
                <w:szCs w:val="20"/>
                <w:color w:val="auto"/>
              </w:rPr>
            </w:pPr>
            <w:r>
              <w:rPr>
                <w:rFonts w:ascii="Arial" w:cs="Arial" w:eastAsia="Arial" w:hAnsi="Arial"/>
                <w:sz w:val="17"/>
                <w:szCs w:val="17"/>
                <w:color w:val="auto"/>
              </w:rPr>
              <w:t>Date: November 8, 2022</w:t>
            </w:r>
          </w:p>
        </w:tc>
        <w:tc>
          <w:tcPr>
            <w:tcW w:w="3400" w:type="dxa"/>
            <w:vAlign w:val="bottom"/>
          </w:tcPr>
          <w:p>
            <w:pPr>
              <w:ind w:left="256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Jikun Kim</w:t>
            </w:r>
          </w:p>
        </w:tc>
      </w:tr>
      <w:tr>
        <w:trPr>
          <w:trHeight w:val="212"/>
        </w:trPr>
        <w:tc>
          <w:tcPr>
            <w:tcW w:w="3300" w:type="dxa"/>
            <w:vAlign w:val="bottom"/>
          </w:tcPr>
          <w:p>
            <w:pPr>
              <w:spacing w:after="0"/>
              <w:rPr>
                <w:sz w:val="18"/>
                <w:szCs w:val="18"/>
                <w:color w:val="auto"/>
              </w:rPr>
            </w:pPr>
          </w:p>
        </w:tc>
        <w:tc>
          <w:tcPr>
            <w:tcW w:w="3400" w:type="dxa"/>
            <w:vAlign w:val="bottom"/>
          </w:tcPr>
          <w:p>
            <w:pPr>
              <w:ind w:left="256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Jikun Kim</w:t>
            </w:r>
          </w:p>
        </w:tc>
      </w:tr>
      <w:tr>
        <w:trPr>
          <w:trHeight w:val="170"/>
        </w:trPr>
        <w:tc>
          <w:tcPr>
            <w:tcW w:w="3300" w:type="dxa"/>
            <w:vAlign w:val="bottom"/>
          </w:tcPr>
          <w:p>
            <w:pPr>
              <w:spacing w:after="0"/>
              <w:rPr>
                <w:sz w:val="14"/>
                <w:szCs w:val="14"/>
                <w:color w:val="auto"/>
              </w:rPr>
            </w:pPr>
          </w:p>
        </w:tc>
        <w:tc>
          <w:tcPr>
            <w:tcW w:w="3400" w:type="dxa"/>
            <w:vAlign w:val="bottom"/>
          </w:tcPr>
          <w:p>
            <w:pPr>
              <w:ind w:left="256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Financial Officer</w:t>
            </w:r>
          </w:p>
        </w:tc>
      </w:tr>
      <w:tr>
        <w:trPr>
          <w:trHeight w:val="217"/>
        </w:trPr>
        <w:tc>
          <w:tcPr>
            <w:tcW w:w="3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27" w:right="339" w:bottom="1440" w:gutter="0" w:footer="0" w:header="0"/>
        </w:sectPr>
      </w:pPr>
    </w:p>
    <w:bookmarkStart w:id="66" w:name="page67"/>
    <w:bookmarkEnd w:id="66"/>
    <w:p>
      <w:pPr>
        <w:jc w:val="right"/>
        <w:ind w:right="100"/>
        <w:spacing w:after="0"/>
        <w:rPr>
          <w:sz w:val="20"/>
          <w:szCs w:val="20"/>
          <w:color w:val="auto"/>
        </w:rPr>
      </w:pPr>
      <w:r>
        <w:rPr>
          <w:rFonts w:ascii="Arial" w:cs="Arial" w:eastAsia="Arial" w:hAnsi="Arial"/>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John Rood, certify that:</w:t>
      </w:r>
    </w:p>
    <w:p>
      <w:pPr>
        <w:spacing w:after="0" w:line="385"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2" w:lineRule="exact"/>
        <w:rPr>
          <w:rFonts w:ascii="Arial" w:cs="Arial" w:eastAsia="Arial" w:hAnsi="Arial"/>
          <w:sz w:val="17"/>
          <w:szCs w:val="17"/>
          <w:color w:val="auto"/>
        </w:rPr>
      </w:pPr>
    </w:p>
    <w:p>
      <w:pPr>
        <w:ind w:left="620" w:right="240" w:hanging="307"/>
        <w:spacing w:after="0" w:line="349"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620" w:right="680" w:hanging="307"/>
        <w:spacing w:after="0" w:line="312"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6"/>
          <w:szCs w:val="16"/>
          <w:color w:val="auto"/>
        </w:rPr>
      </w:pPr>
    </w:p>
    <w:p>
      <w:pPr>
        <w:ind w:left="620" w:right="180" w:hanging="307"/>
        <w:spacing w:after="0" w:line="26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7"/>
          <w:szCs w:val="17"/>
          <w:color w:val="auto"/>
        </w:rPr>
      </w:pPr>
    </w:p>
    <w:p>
      <w:pPr>
        <w:ind w:left="620" w:right="620" w:hanging="307"/>
        <w:spacing w:after="0" w:line="312"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/s/John Rood</w:t>
            </w:r>
          </w:p>
        </w:tc>
        <w:tc>
          <w:tcPr>
            <w:tcW w:w="600" w:type="dxa"/>
            <w:vAlign w:val="bottom"/>
          </w:tcPr>
          <w:p>
            <w:pPr>
              <w:spacing w:after="0"/>
              <w:rPr>
                <w:sz w:val="16"/>
                <w:szCs w:val="16"/>
                <w:color w:val="auto"/>
              </w:rPr>
            </w:pP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560" w:type="dxa"/>
            <w:vAlign w:val="bottom"/>
            <w:gridSpan w:val="2"/>
          </w:tcPr>
          <w:p>
            <w:pPr>
              <w:spacing w:after="0"/>
              <w:rPr>
                <w:sz w:val="20"/>
                <w:szCs w:val="20"/>
                <w:color w:val="auto"/>
              </w:rPr>
            </w:pPr>
            <w:r>
              <w:rPr>
                <w:rFonts w:ascii="Arial" w:cs="Arial" w:eastAsia="Arial" w:hAnsi="Arial"/>
                <w:sz w:val="17"/>
                <w:szCs w:val="17"/>
                <w:color w:val="auto"/>
              </w:rPr>
              <w:t>John Rood</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8,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60" w:type="dxa"/>
            <w:vAlign w:val="bottom"/>
            <w:gridSpan w:val="2"/>
          </w:tcPr>
          <w:p>
            <w:pPr>
              <w:spacing w:after="0"/>
              <w:rPr>
                <w:sz w:val="20"/>
                <w:szCs w:val="20"/>
                <w:color w:val="auto"/>
              </w:rPr>
            </w:pPr>
            <w:r>
              <w:rPr>
                <w:rFonts w:ascii="Arial" w:cs="Arial" w:eastAsia="Arial" w:hAnsi="Arial"/>
                <w:sz w:val="17"/>
                <w:szCs w:val="17"/>
                <w:color w:val="auto"/>
                <w:w w:val="92"/>
              </w:rPr>
              <w:t>Chief Executive Office</w:t>
            </w:r>
          </w:p>
        </w:tc>
      </w:tr>
    </w:tbl>
    <w:p>
      <w:pPr>
        <w:sectPr>
          <w:pgSz w:w="11900" w:h="16838" w:orient="portrait"/>
          <w:cols w:equalWidth="0" w:num="1">
            <w:col w:w="11340"/>
          </w:cols>
          <w:pgMar w:left="320" w:top="740" w:right="239" w:bottom="1440" w:gutter="0" w:footer="0" w:header="0"/>
        </w:sectPr>
      </w:pPr>
    </w:p>
    <w:bookmarkStart w:id="67" w:name="page68"/>
    <w:bookmarkEnd w:id="67"/>
    <w:p>
      <w:pPr>
        <w:jc w:val="right"/>
        <w:ind w:right="100"/>
        <w:spacing w:after="0"/>
        <w:rPr>
          <w:sz w:val="20"/>
          <w:szCs w:val="20"/>
          <w:color w:val="auto"/>
        </w:rPr>
      </w:pPr>
      <w:r>
        <w:rPr>
          <w:rFonts w:ascii="Arial" w:cs="Arial" w:eastAsia="Arial" w:hAnsi="Arial"/>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Jikun Kim, certify that:</w:t>
      </w:r>
    </w:p>
    <w:p>
      <w:pPr>
        <w:spacing w:after="0" w:line="385"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2" w:lineRule="exact"/>
        <w:rPr>
          <w:rFonts w:ascii="Arial" w:cs="Arial" w:eastAsia="Arial" w:hAnsi="Arial"/>
          <w:sz w:val="17"/>
          <w:szCs w:val="17"/>
          <w:color w:val="auto"/>
        </w:rPr>
      </w:pPr>
    </w:p>
    <w:p>
      <w:pPr>
        <w:ind w:left="620" w:right="240" w:hanging="307"/>
        <w:spacing w:after="0" w:line="349"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620" w:right="680" w:hanging="307"/>
        <w:spacing w:after="0" w:line="312"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6"/>
          <w:szCs w:val="16"/>
          <w:color w:val="auto"/>
        </w:rPr>
      </w:pPr>
    </w:p>
    <w:p>
      <w:pPr>
        <w:ind w:left="620" w:right="180" w:hanging="307"/>
        <w:spacing w:after="0" w:line="266"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7"/>
          <w:szCs w:val="17"/>
          <w:color w:val="auto"/>
        </w:rPr>
      </w:pPr>
    </w:p>
    <w:p>
      <w:pPr>
        <w:ind w:left="620" w:right="620" w:hanging="307"/>
        <w:spacing w:after="0" w:line="312"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/s/Jikun Kim</w:t>
            </w: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Jikun Kim</w:t>
            </w:r>
          </w:p>
        </w:tc>
        <w:tc>
          <w:tcPr>
            <w:tcW w:w="580" w:type="dxa"/>
            <w:vAlign w:val="bottom"/>
          </w:tcPr>
          <w:p>
            <w:pPr>
              <w:spacing w:after="0"/>
              <w:rPr>
                <w:sz w:val="20"/>
                <w:szCs w:val="20"/>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8,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20" w:type="dxa"/>
            <w:vAlign w:val="bottom"/>
            <w:gridSpan w:val="2"/>
          </w:tcPr>
          <w:p>
            <w:pPr>
              <w:spacing w:after="0"/>
              <w:rPr>
                <w:sz w:val="20"/>
                <w:szCs w:val="20"/>
                <w:color w:val="auto"/>
              </w:rPr>
            </w:pPr>
            <w:r>
              <w:rPr>
                <w:rFonts w:ascii="Arial" w:cs="Arial" w:eastAsia="Arial" w:hAnsi="Arial"/>
                <w:sz w:val="17"/>
                <w:szCs w:val="17"/>
                <w:color w:val="auto"/>
                <w:w w:val="92"/>
              </w:rPr>
              <w:t>Chief Financial Office</w:t>
            </w:r>
          </w:p>
        </w:tc>
      </w:tr>
    </w:tbl>
    <w:p>
      <w:pPr>
        <w:sectPr>
          <w:pgSz w:w="11900" w:h="16838" w:orient="portrait"/>
          <w:cols w:equalWidth="0" w:num="1">
            <w:col w:w="11340"/>
          </w:cols>
          <w:pgMar w:left="320" w:top="74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jc w:val="both"/>
        <w:ind w:right="280"/>
        <w:spacing w:after="0" w:line="318" w:lineRule="auto"/>
        <w:rPr>
          <w:sz w:val="20"/>
          <w:szCs w:val="20"/>
          <w:color w:val="auto"/>
        </w:rPr>
      </w:pPr>
      <w:r>
        <w:rPr>
          <w:rFonts w:ascii="Arial" w:cs="Arial" w:eastAsia="Arial" w:hAnsi="Arial"/>
          <w:sz w:val="15"/>
          <w:szCs w:val="15"/>
          <w:color w:val="auto"/>
        </w:rPr>
        <w:t>In connection with the Quarterly Report on Form 10-Q of Momentus Inc., a Delaware corporation (the “Company”), on Form 10-Q for the fiscal quarter ended September 30, 2022,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spacing w:after="0" w:line="75"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/s/John Rood</w:t>
            </w: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Rood</w:t>
            </w:r>
          </w:p>
        </w:tc>
        <w:tc>
          <w:tcPr>
            <w:tcW w:w="680" w:type="dxa"/>
            <w:vAlign w:val="bottom"/>
          </w:tcPr>
          <w:p>
            <w:pPr>
              <w:spacing w:after="0"/>
              <w:rPr>
                <w:sz w:val="20"/>
                <w:szCs w:val="20"/>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8,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40" w:type="dxa"/>
            <w:vAlign w:val="bottom"/>
            <w:gridSpan w:val="2"/>
          </w:tcPr>
          <w:p>
            <w:pPr>
              <w:spacing w:after="0"/>
              <w:rPr>
                <w:sz w:val="20"/>
                <w:szCs w:val="20"/>
                <w:color w:val="auto"/>
              </w:rPr>
            </w:pPr>
            <w:r>
              <w:rPr>
                <w:rFonts w:ascii="Arial" w:cs="Arial" w:eastAsia="Arial" w:hAnsi="Arial"/>
                <w:sz w:val="17"/>
                <w:szCs w:val="17"/>
                <w:color w:val="auto"/>
                <w:w w:val="93"/>
              </w:rPr>
              <w:t>Chief Executive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4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jc w:val="both"/>
        <w:ind w:right="300"/>
        <w:spacing w:after="0" w:line="318" w:lineRule="auto"/>
        <w:rPr>
          <w:sz w:val="20"/>
          <w:szCs w:val="20"/>
          <w:color w:val="auto"/>
        </w:rPr>
      </w:pPr>
      <w:r>
        <w:rPr>
          <w:rFonts w:ascii="Arial" w:cs="Arial" w:eastAsia="Arial" w:hAnsi="Arial"/>
          <w:sz w:val="15"/>
          <w:szCs w:val="15"/>
          <w:color w:val="auto"/>
        </w:rPr>
        <w:t>In connection with the Quarterly Report on Form 10-Q of Momentus Inc., a Delaware corporation (the “Company”), on Form 10-Q for the fiscal quarter ended September 30, 2022, as filed with the Securities and Exchange Commission on the date hereof (the “Form 10-Q”), I, Jikun Kim, Chief Financial Officer of the Company, certify, pursuant to 18 U.S.C. section 1350, as adopted pursuant section 906 of the Sarbanes-Oxley Act of 2002, that to the best of our knowledge:</w:t>
      </w:r>
    </w:p>
    <w:p>
      <w:pPr>
        <w:spacing w:after="0" w:line="75"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/s/Jikun Kim</w:t>
            </w: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Jikun Kim</w:t>
            </w:r>
          </w:p>
        </w:tc>
        <w:tc>
          <w:tcPr>
            <w:tcW w:w="660" w:type="dxa"/>
            <w:vAlign w:val="bottom"/>
          </w:tcPr>
          <w:p>
            <w:pPr>
              <w:spacing w:after="0"/>
              <w:rPr>
                <w:sz w:val="20"/>
                <w:szCs w:val="20"/>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8,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00" w:type="dxa"/>
            <w:vAlign w:val="bottom"/>
            <w:gridSpan w:val="2"/>
          </w:tcPr>
          <w:p>
            <w:pPr>
              <w:spacing w:after="0"/>
              <w:rPr>
                <w:sz w:val="20"/>
                <w:szCs w:val="20"/>
                <w:color w:val="auto"/>
              </w:rPr>
            </w:pPr>
            <w:r>
              <w:rPr>
                <w:rFonts w:ascii="Arial" w:cs="Arial" w:eastAsia="Arial" w:hAnsi="Arial"/>
                <w:sz w:val="17"/>
                <w:szCs w:val="17"/>
                <w:color w:val="auto"/>
                <w:w w:val="94"/>
              </w:rPr>
              <w:t>Chief Financial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1" Type="http://schemas.openxmlformats.org/officeDocument/2006/relationships/hyperlink" Target="https://www.sec.gov/Archives/edgar/data/1781162/000121390020030403/ea127854ex2-1_stableroad.htm" TargetMode="External"/><Relationship Id="rId102" Type="http://schemas.openxmlformats.org/officeDocument/2006/relationships/hyperlink" Target="https://www.sec.gov/Archives/edgar/data/1781162/000114036122035002/ny20005189x5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2022-11-09T05:23:02Z</dcterms:created>
  <dcterms:modified xsi:type="dcterms:W3CDTF">2022-11-09T05:23:02Z</dcterms:modified>
</cp:coreProperties>
</file>