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12" w:lineRule="exact"/>
        <w:rPr>
          <w:sz w:val="24"/>
          <w:szCs w:val="24"/>
          <w:color w:val="auto"/>
        </w:rPr>
      </w:pPr>
    </w:p>
    <w:p>
      <w:pPr>
        <w:jc w:val="center"/>
        <w:ind w:left="3920" w:right="1100" w:hanging="2811"/>
        <w:spacing w:after="0" w:line="374" w:lineRule="auto"/>
        <w:tabs>
          <w:tab w:leader="none" w:pos="1316"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9" w:lineRule="exact"/>
        <w:rPr>
          <w:rFonts w:ascii="MS PGothic" w:cs="MS PGothic" w:eastAsia="MS PGothic" w:hAnsi="MS PGothic"/>
          <w:sz w:val="18"/>
          <w:szCs w:val="18"/>
          <w:color w:val="auto"/>
        </w:rPr>
      </w:pPr>
    </w:p>
    <w:p>
      <w:pPr>
        <w:ind w:left="1140" w:hanging="216"/>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001-39128</w:t>
      </w:r>
    </w:p>
    <w:p>
      <w:pPr>
        <w:spacing w:after="0" w:line="13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00" w:type="dxa"/>
            <w:vAlign w:val="bottom"/>
            <w:gridSpan w:val="3"/>
          </w:tcPr>
          <w:p>
            <w:pPr>
              <w:jc w:val="center"/>
              <w:ind w:right="198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jc w:val="center"/>
              <w:ind w:right="16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500" w:type="dxa"/>
            <w:vAlign w:val="bottom"/>
            <w:gridSpan w:val="3"/>
          </w:tcPr>
          <w:p>
            <w:pPr>
              <w:jc w:val="center"/>
              <w:ind w:right="1980"/>
              <w:spacing w:after="0"/>
              <w:rPr>
                <w:sz w:val="20"/>
                <w:szCs w:val="20"/>
                <w:color w:val="auto"/>
              </w:rPr>
            </w:pPr>
            <w:r>
              <w:rPr>
                <w:rFonts w:ascii="Arial" w:cs="Arial" w:eastAsia="Arial" w:hAnsi="Arial"/>
                <w:sz w:val="18"/>
                <w:szCs w:val="18"/>
                <w:color w:val="auto"/>
                <w:w w:val="92"/>
              </w:rPr>
              <w:t>incorporation or organization)</w:t>
            </w:r>
          </w:p>
        </w:tc>
        <w:tc>
          <w:tcPr>
            <w:tcW w:w="3740" w:type="dxa"/>
            <w:vAlign w:val="bottom"/>
          </w:tcPr>
          <w:p>
            <w:pPr>
              <w:jc w:val="center"/>
              <w:ind w:right="1670"/>
              <w:spacing w:after="0"/>
              <w:rPr>
                <w:sz w:val="20"/>
                <w:szCs w:val="20"/>
                <w:color w:val="auto"/>
              </w:rPr>
            </w:pPr>
            <w:r>
              <w:rPr>
                <w:rFonts w:ascii="Arial" w:cs="Arial" w:eastAsia="Arial" w:hAnsi="Arial"/>
                <w:sz w:val="18"/>
                <w:szCs w:val="18"/>
                <w:color w:val="auto"/>
                <w:w w:val="94"/>
              </w:rPr>
              <w:t>Identification Number)</w:t>
            </w:r>
          </w:p>
        </w:tc>
      </w:tr>
      <w:tr>
        <w:trPr>
          <w:trHeight w:val="346"/>
        </w:trPr>
        <w:tc>
          <w:tcPr>
            <w:tcW w:w="750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1"/>
              </w:rPr>
              <w:t>1345 Abbot Kinney Blvd.</w:t>
            </w:r>
          </w:p>
        </w:tc>
        <w:tc>
          <w:tcPr>
            <w:tcW w:w="3740" w:type="dxa"/>
            <w:vAlign w:val="bottom"/>
          </w:tcPr>
          <w:p>
            <w:pPr>
              <w:spacing w:after="0"/>
              <w:rPr>
                <w:sz w:val="24"/>
                <w:szCs w:val="24"/>
                <w:color w:val="auto"/>
              </w:rPr>
            </w:pPr>
          </w:p>
        </w:tc>
      </w:tr>
      <w:tr>
        <w:trPr>
          <w:trHeight w:val="241"/>
        </w:trPr>
        <w:tc>
          <w:tcPr>
            <w:tcW w:w="750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1"/>
              </w:rPr>
              <w:t>Venice, California</w:t>
            </w:r>
          </w:p>
        </w:tc>
        <w:tc>
          <w:tcPr>
            <w:tcW w:w="3740" w:type="dxa"/>
            <w:vAlign w:val="bottom"/>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tcPr>
          <w:p>
            <w:pPr>
              <w:jc w:val="center"/>
              <w:ind w:right="1670"/>
              <w:spacing w:after="0"/>
              <w:rPr>
                <w:sz w:val="20"/>
                <w:szCs w:val="20"/>
                <w:color w:val="auto"/>
              </w:rPr>
            </w:pPr>
            <w:r>
              <w:rPr>
                <w:rFonts w:ascii="Arial" w:cs="Arial" w:eastAsia="Arial" w:hAnsi="Arial"/>
                <w:sz w:val="18"/>
                <w:szCs w:val="18"/>
                <w:color w:val="auto"/>
                <w:w w:val="91"/>
              </w:rPr>
              <w:t>(Zip Code)</w:t>
            </w:r>
          </w:p>
        </w:tc>
      </w:tr>
      <w:tr>
        <w:trPr>
          <w:trHeight w:val="323"/>
        </w:trPr>
        <w:tc>
          <w:tcPr>
            <w:tcW w:w="7500" w:type="dxa"/>
            <w:vAlign w:val="bottom"/>
            <w:gridSpan w:val="3"/>
          </w:tcPr>
          <w:p>
            <w:pPr>
              <w:ind w:left="3920"/>
              <w:spacing w:after="0"/>
              <w:rPr>
                <w:sz w:val="20"/>
                <w:szCs w:val="20"/>
                <w:color w:val="auto"/>
              </w:rPr>
            </w:pPr>
            <w:r>
              <w:rPr>
                <w:rFonts w:ascii="Arial" w:cs="Arial" w:eastAsia="Arial" w:hAnsi="Arial"/>
                <w:sz w:val="18"/>
                <w:szCs w:val="18"/>
                <w:color w:val="auto"/>
                <w:w w:val="94"/>
              </w:rPr>
              <w:t xml:space="preserve">Registrant’s telephone number: </w:t>
            </w:r>
            <w:r>
              <w:rPr>
                <w:rFonts w:ascii="Arial" w:cs="Arial" w:eastAsia="Arial" w:hAnsi="Arial"/>
                <w:sz w:val="18"/>
                <w:szCs w:val="18"/>
                <w:b w:val="1"/>
                <w:bCs w:val="1"/>
                <w:color w:val="auto"/>
                <w:w w:val="94"/>
              </w:rPr>
              <w:t>(883) 478-2253</w:t>
            </w:r>
          </w:p>
        </w:tc>
        <w:tc>
          <w:tcPr>
            <w:tcW w:w="3740" w:type="dxa"/>
            <w:vAlign w:val="bottom"/>
          </w:tcPr>
          <w:p>
            <w:pPr>
              <w:spacing w:after="0"/>
              <w:rPr>
                <w:sz w:val="24"/>
                <w:szCs w:val="24"/>
                <w:color w:val="auto"/>
              </w:rPr>
            </w:pP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41"/>
        </w:trPr>
        <w:tc>
          <w:tcPr>
            <w:tcW w:w="5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Title of Each Class</w:t>
            </w: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5"/>
              </w:rPr>
              <w:t>Registered</w:t>
            </w:r>
          </w:p>
        </w:tc>
      </w:tr>
      <w:tr>
        <w:trPr>
          <w:trHeight w:val="202"/>
        </w:trPr>
        <w:tc>
          <w:tcPr>
            <w:tcW w:w="51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Class A Common Stock and one-</w:t>
            </w:r>
          </w:p>
        </w:tc>
        <w:tc>
          <w:tcPr>
            <w:tcW w:w="12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SRACU</w:t>
            </w:r>
          </w:p>
        </w:tc>
        <w:tc>
          <w:tcPr>
            <w:tcW w:w="10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half of one Redeemable Warrant</w:t>
            </w: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5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par value $0.0001 per share</w:t>
            </w: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SRAC</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53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Redeemable Warrants, each whole warrant exercisable for one share of</w:t>
            </w:r>
          </w:p>
        </w:tc>
        <w:tc>
          <w:tcPr>
            <w:tcW w:w="30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SRACW</w:t>
            </w:r>
          </w:p>
        </w:tc>
        <w:tc>
          <w:tcPr>
            <w:tcW w:w="2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Class A Common Stock at an exercise price of $11.50</w:t>
            </w: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bl>
    <w:p>
      <w:pPr>
        <w:spacing w:after="0" w:line="13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432" w:right="339" w:bottom="1440" w:gutter="0" w:footer="0" w:header="0"/>
        </w:sectPr>
      </w:pPr>
    </w:p>
    <w:p>
      <w:pPr>
        <w:spacing w:after="0" w:line="5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4700" w:space="720"/>
            <w:col w:w="5820"/>
          </w:cols>
          <w:pgMar w:left="320" w:top="432" w:right="339" w:bottom="1440"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Class A common stock held by non-affiliates of the registrant, based on the closing price of the Class A common stock on The Nasdaq Stock Market LLC on June 30, 2020, the last business day of the registrant’s most recently completed second fiscal quarter, was approximately $177.1 million.</w:t>
      </w:r>
    </w:p>
    <w:p>
      <w:pPr>
        <w:spacing w:after="0" w:line="8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June 9, 2021, there were 17,775,338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80" w:type="dxa"/>
            <w:vAlign w:val="bottom"/>
            <w:gridSpan w:val="11"/>
          </w:tcPr>
          <w:p>
            <w:pPr>
              <w:ind w:left="3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7"/>
                <w:szCs w:val="17"/>
                <w:color w:val="auto"/>
              </w:rPr>
            </w:pPr>
          </w:p>
        </w:tc>
      </w:tr>
      <w:tr>
        <w:trPr>
          <w:trHeight w:val="460"/>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PAGE</w:t>
            </w: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175"/>
        </w:trPr>
        <w:tc>
          <w:tcPr>
            <w:tcW w:w="60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540" w:type="dxa"/>
            <w:vAlign w:val="bottom"/>
            <w:tcBorders>
              <w:top w:val="single" w:sz="8" w:color="CCEEFF"/>
            </w:tcBorders>
            <w:gridSpan w:val="4"/>
          </w:tcPr>
          <w:p>
            <w:pPr>
              <w:spacing w:after="0"/>
              <w:rPr>
                <w:sz w:val="15"/>
                <w:szCs w:val="15"/>
                <w:color w:val="auto"/>
              </w:rPr>
            </w:pPr>
          </w:p>
        </w:tc>
        <w:tc>
          <w:tcPr>
            <w:tcW w:w="9440" w:type="dxa"/>
            <w:vAlign w:val="bottom"/>
            <w:tcBorders>
              <w:top w:val="single" w:sz="8" w:color="CCEEFF"/>
            </w:tcBorders>
            <w:gridSpan w:val="23"/>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3"/>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1B.</w:t>
              </w:r>
            </w:hyperlink>
          </w:p>
        </w:tc>
        <w:tc>
          <w:tcPr>
            <w:tcW w:w="500" w:type="dxa"/>
            <w:vAlign w:val="bottom"/>
            <w:gridSpan w:val="3"/>
          </w:tcPr>
          <w:p>
            <w:pPr>
              <w:spacing w:after="0"/>
              <w:rPr>
                <w:sz w:val="15"/>
                <w:szCs w:val="15"/>
                <w:color w:val="auto"/>
              </w:rPr>
            </w:pPr>
          </w:p>
        </w:tc>
        <w:tc>
          <w:tcPr>
            <w:tcW w:w="944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620" w:type="dxa"/>
            <w:vAlign w:val="bottom"/>
            <w:tcBorders>
              <w:bottom w:val="single" w:sz="8" w:color="CCEEFF"/>
            </w:tcBorders>
            <w:gridSpan w:val="5"/>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Properties</w:t>
              </w:r>
            </w:hyperlink>
          </w:p>
        </w:tc>
        <w:tc>
          <w:tcPr>
            <w:tcW w:w="8700" w:type="dxa"/>
            <w:vAlign w:val="bottom"/>
            <w:tcBorders>
              <w:bottom w:val="single" w:sz="8" w:color="CCEEFF"/>
            </w:tcBorders>
            <w:gridSpan w:val="21"/>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944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PART 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176"/>
        </w:trPr>
        <w:tc>
          <w:tcPr>
            <w:tcW w:w="60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540" w:type="dxa"/>
            <w:vAlign w:val="bottom"/>
            <w:tcBorders>
              <w:top w:val="single" w:sz="8" w:color="CCEEFF"/>
            </w:tcBorders>
            <w:gridSpan w:val="4"/>
          </w:tcPr>
          <w:p>
            <w:pPr>
              <w:spacing w:after="0"/>
              <w:rPr>
                <w:sz w:val="15"/>
                <w:szCs w:val="15"/>
                <w:color w:val="auto"/>
              </w:rPr>
            </w:pPr>
          </w:p>
        </w:tc>
        <w:tc>
          <w:tcPr>
            <w:tcW w:w="9440" w:type="dxa"/>
            <w:vAlign w:val="bottom"/>
            <w:tcBorders>
              <w:top w:val="single" w:sz="8" w:color="CCEEFF"/>
            </w:tcBorders>
            <w:gridSpan w:val="23"/>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620" w:type="dxa"/>
            <w:vAlign w:val="bottom"/>
            <w:tcBorders>
              <w:bottom w:val="single" w:sz="8" w:color="CCEEFF"/>
            </w:tcBorders>
            <w:gridSpan w:val="5"/>
            <w:shd w:val="clear" w:color="auto" w:fill="CCEEFF"/>
          </w:tcPr>
          <w:p>
            <w:pPr>
              <w:spacing w:after="0"/>
              <w:rPr>
                <w:sz w:val="17"/>
                <w:szCs w:val="17"/>
                <w:color w:val="auto"/>
              </w:rPr>
            </w:pPr>
          </w:p>
        </w:tc>
        <w:tc>
          <w:tcPr>
            <w:tcW w:w="17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Selected Financial Data</w:t>
              </w:r>
            </w:hyperlink>
          </w:p>
        </w:tc>
        <w:tc>
          <w:tcPr>
            <w:tcW w:w="7720" w:type="dxa"/>
            <w:vAlign w:val="bottom"/>
            <w:tcBorders>
              <w:bottom w:val="single" w:sz="8" w:color="CCEEFF"/>
            </w:tcBorders>
            <w:gridSpan w:val="1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7.</w:t>
              </w:r>
            </w:hyperlink>
          </w:p>
        </w:tc>
        <w:tc>
          <w:tcPr>
            <w:tcW w:w="9440" w:type="dxa"/>
            <w:vAlign w:val="bottom"/>
            <w:gridSpan w:val="2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7A.</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176"/>
        </w:trPr>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8.</w:t>
              </w:r>
            </w:hyperlink>
          </w:p>
        </w:tc>
        <w:tc>
          <w:tcPr>
            <w:tcW w:w="500" w:type="dxa"/>
            <w:vAlign w:val="bottom"/>
            <w:tcBorders>
              <w:top w:val="single" w:sz="8" w:color="CCEEFF"/>
            </w:tcBorders>
            <w:gridSpan w:val="3"/>
          </w:tcPr>
          <w:p>
            <w:pPr>
              <w:spacing w:after="0"/>
              <w:rPr>
                <w:sz w:val="15"/>
                <w:szCs w:val="15"/>
                <w:color w:val="auto"/>
              </w:rPr>
            </w:pPr>
          </w:p>
        </w:tc>
        <w:tc>
          <w:tcPr>
            <w:tcW w:w="4360" w:type="dxa"/>
            <w:vAlign w:val="bottom"/>
            <w:tcBorders>
              <w:top w:val="single" w:sz="8" w:color="0000EE"/>
            </w:tcBorders>
            <w:gridSpan w:val="16"/>
          </w:tcPr>
          <w:p>
            <w:pP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Financial Statements and Supplementary Data</w:t>
              </w:r>
            </w:hyperlink>
          </w:p>
        </w:tc>
        <w:tc>
          <w:tcPr>
            <w:tcW w:w="5080" w:type="dxa"/>
            <w:vAlign w:val="bottom"/>
            <w:tcBorders>
              <w:top w:val="single" w:sz="8" w:color="CCEEFF"/>
            </w:tcBorders>
            <w:gridSpan w:val="7"/>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9.</w:t>
              </w:r>
            </w:hyperlink>
          </w:p>
        </w:tc>
        <w:tc>
          <w:tcPr>
            <w:tcW w:w="620" w:type="dxa"/>
            <w:vAlign w:val="bottom"/>
            <w:tcBorders>
              <w:bottom w:val="single" w:sz="8" w:color="CCEEFF"/>
            </w:tcBorders>
            <w:gridSpan w:val="5"/>
            <w:shd w:val="clear" w:color="auto" w:fill="CCEEFF"/>
          </w:tcPr>
          <w:p>
            <w:pPr>
              <w:spacing w:after="0"/>
              <w:rPr>
                <w:sz w:val="17"/>
                <w:szCs w:val="17"/>
                <w:color w:val="auto"/>
              </w:rPr>
            </w:pPr>
          </w:p>
        </w:tc>
        <w:tc>
          <w:tcPr>
            <w:tcW w:w="64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9A.</w:t>
              </w:r>
            </w:hyperlink>
          </w:p>
        </w:tc>
        <w:tc>
          <w:tcPr>
            <w:tcW w:w="9440" w:type="dxa"/>
            <w:vAlign w:val="bottom"/>
            <w:gridSpan w:val="2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9B.</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176"/>
        </w:trPr>
        <w:tc>
          <w:tcPr>
            <w:tcW w:w="660" w:type="dxa"/>
            <w:vAlign w:val="bottom"/>
            <w:tcBorders>
              <w:top w:val="single" w:sz="8" w:color="0000EE"/>
            </w:tcBorders>
            <w:gridSpan w:val="4"/>
          </w:tcPr>
          <w:p>
            <w:pPr>
              <w:spacing w:after="0" w:line="176" w:lineRule="exact"/>
              <w:rPr>
                <w:rFonts w:ascii="Arial" w:cs="Arial" w:eastAsia="Arial" w:hAnsi="Arial"/>
                <w:sz w:val="18"/>
                <w:szCs w:val="18"/>
                <w:color w:val="0000EE"/>
                <w:w w:val="98"/>
              </w:rPr>
            </w:pPr>
            <w:hyperlink w:anchor="page61">
              <w:r>
                <w:rPr>
                  <w:rFonts w:ascii="Arial" w:cs="Arial" w:eastAsia="Arial" w:hAnsi="Arial"/>
                  <w:sz w:val="18"/>
                  <w:szCs w:val="18"/>
                  <w:color w:val="0000EE"/>
                  <w:w w:val="98"/>
                </w:rPr>
                <w:t>Item 10.</w:t>
              </w:r>
            </w:hyperlink>
          </w:p>
        </w:tc>
        <w:tc>
          <w:tcPr>
            <w:tcW w:w="480" w:type="dxa"/>
            <w:vAlign w:val="bottom"/>
            <w:tcBorders>
              <w:top w:val="single" w:sz="8" w:color="CCEEFF"/>
            </w:tcBorders>
            <w:gridSpan w:val="2"/>
          </w:tcPr>
          <w:p>
            <w:pPr>
              <w:spacing w:after="0"/>
              <w:rPr>
                <w:sz w:val="15"/>
                <w:szCs w:val="15"/>
                <w:color w:val="auto"/>
              </w:rPr>
            </w:pPr>
          </w:p>
        </w:tc>
        <w:tc>
          <w:tcPr>
            <w:tcW w:w="9440" w:type="dxa"/>
            <w:vAlign w:val="bottom"/>
            <w:tcBorders>
              <w:top w:val="single" w:sz="8" w:color="CCEEFF"/>
            </w:tcBorders>
            <w:gridSpan w:val="23"/>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56</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11.</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62</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12.</w:t>
              </w:r>
            </w:hyperlink>
          </w:p>
        </w:tc>
        <w:tc>
          <w:tcPr>
            <w:tcW w:w="9440" w:type="dxa"/>
            <w:vAlign w:val="bottom"/>
            <w:gridSpan w:val="2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62</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13.</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14.</w:t>
              </w:r>
            </w:hyperlink>
          </w:p>
        </w:tc>
        <w:tc>
          <w:tcPr>
            <w:tcW w:w="9440" w:type="dxa"/>
            <w:vAlign w:val="bottom"/>
            <w:gridSpan w:val="23"/>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PART IV</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15.</w:t>
              </w:r>
            </w:hyperlink>
          </w:p>
        </w:tc>
        <w:tc>
          <w:tcPr>
            <w:tcW w:w="9440" w:type="dxa"/>
            <w:vAlign w:val="bottom"/>
            <w:gridSpan w:val="23"/>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16.</w:t>
              </w:r>
            </w:hyperlink>
          </w:p>
        </w:tc>
        <w:tc>
          <w:tcPr>
            <w:tcW w:w="9440" w:type="dxa"/>
            <w:vAlign w:val="bottom"/>
            <w:gridSpan w:val="23"/>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Form 10-K Summary</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Stable Road Acquisition Corp. (the “Company,” “we,” “our” or “us”) is filing this Annual Report on Form 10-K/A (Amendment No. 1) (this “Annual Report”), to amend our Annual Report on Form 10-K for the year ended December 31, 2020, originally filed with the Securities and Exchange Commission (the “SEC”), on March 8, 2021 (the “Original Filing”), to restate our consolidated financial statements as of and for the year ended December 31, 2020. We are also restating the consolidated financial statement as of November 13, 2019; as of and for the period ended December 31, 2019; and as of and for the unaudited periods ended March 30, 2020, June 30, 2020 and September 30, 2020 in the accompanying consolidated financial statements included in this Annual Report, including describing the restatement and its impact on previously reported amounts.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restatement results from the Company’s prior accounting for its outstanding warrants issued in connection with its initial public offering in November 2019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 In other words, in the event of a qualifying cash tender offer (which could be outside the control of the Company), all warrant holders would be entitled to cash, while only certain of the holders of the underlying common shares would be entitled to cash.</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April 12, 2021, the Acting Chief Accountant and Acting Director of the Division of Corporation Finance of the SEC issued a Staff Statement on Accounting and Reporting Considerations for Warrants Issued by Special Purpose Acquisition Companies (“SPACs”) (the “Statement”). The Statement sets forth the conclusion of the SEC’s Office of the Chief Accountant that certain provisions included in the warrant agreements entered into by many special purpose acquisition companies require such warrants to be accounted for as liabilities measured at fair value, rather than as equity securities, with changes in fair value during each financial reporting period reported in earnings. In light of the new Statement and in connection with the audit of the Company’s consolidated financial statements for the year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the tender offer provision included in the warrant agreement fails the “classified in stockholders’ equity” criteria as contemplated by ASC Section 815-40-25.</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consolidated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restatement, the Company’s management reassessed the effectiveness of its disclosure controls and procedures for the periods affected by the restatement. As a result of that reassessment, the Company’s management determined that its disclosure controls and procedures for such periods were not effective with respect to the classification of the Company’s warrants as components of equity instead of as derivative liabilities. For more information, see Item 9A included in this Annual Report.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this issued amendment to Form 10-K for the year ended December 31, 2020, the Company has not amended its previously filed Current Report on Form 8-K, Annual Report on Form 10-K for the year ended December 31, 2020 or Quarterly Reports on Form 10-Q for the period affected by the restatement. The financial information that has been previously filed or otherwise reported for these periods is superseded by the information in this Annual Report, and the consolidated financial statements and related financial information contained in such previously filed reports should no longer be relied upon.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restatement is more fully described in Note 2 of the notes to the consolidated financial statements included 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report, including, without limitation, statements under the heading “Management’s Discussion and Analysis of Financial Condition and Results of Operations,” includes forward-looking statements within the meaning of Section 27A of the Securities Act of 1933 and Section 21E of the Securities Exchange Act of 1934.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w:t>
      </w:r>
    </w:p>
    <w:p>
      <w:pPr>
        <w:spacing w:after="0" w:line="178"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Momentus Inc., or any other initial business combination;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summarized under the heading “Summary Risk Factors” and described more fully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may not be exhaustive.</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225" w:lineRule="exact"/>
        <w:rPr>
          <w:sz w:val="20"/>
          <w:szCs w:val="20"/>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shares of our Class B common stock initially purchased by our sponsor in a private placement prior to our initial public offering, and the shares of our Class A common stock issued upon the conversion thereof as described herein;</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stockholders” are to our sponsor and any other holders of our founder shares (or their permitted transferees);</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170"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shares of our Class A common stock sold as part of the units in our initial public offering (whether they were purchased in such offering or thereafter in the open market);</w:t>
      </w:r>
    </w:p>
    <w:p>
      <w:pPr>
        <w:spacing w:after="0" w:line="170" w:lineRule="exact"/>
        <w:rPr>
          <w:rFonts w:ascii="Arial" w:cs="Arial" w:eastAsia="Arial" w:hAnsi="Arial"/>
          <w:sz w:val="18"/>
          <w:szCs w:val="18"/>
          <w:color w:val="auto"/>
        </w:rPr>
      </w:pPr>
    </w:p>
    <w:p>
      <w:pPr>
        <w:jc w:val="both"/>
        <w:ind w:left="344" w:hanging="344"/>
        <w:spacing w:after="0" w:line="286" w:lineRule="auto"/>
        <w:tabs>
          <w:tab w:leader="none" w:pos="34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jc w:val="both"/>
        <w:ind w:left="344" w:hanging="344"/>
        <w:spacing w:after="0" w:line="259"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warrants” are to our redeemable warrants sold as part of the units in our initial public offering (whether they were purchased in our initial public offering or thereafter in the open market) and to any private placement warrants or warrants issued upon conversion of working capital loans that are sold to third parties that are not initial purchasers or executive officers or directors (or permitted transferees) following the consummation of our initial business combination;</w:t>
      </w:r>
    </w:p>
    <w:p>
      <w:pPr>
        <w:spacing w:after="0" w:line="186" w:lineRule="exact"/>
        <w:rPr>
          <w:rFonts w:ascii="Arial" w:cs="Arial" w:eastAsia="Arial" w:hAnsi="Arial"/>
          <w:sz w:val="18"/>
          <w:szCs w:val="18"/>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are to the Securities and Exchange Commission;</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SRC-NI Holdings, LLC, a Delaware limited liability company;</w:t>
      </w:r>
    </w:p>
    <w:p>
      <w:pPr>
        <w:spacing w:after="0" w:line="225"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are to our redeemable warrants, which includes the public warrants as well as the private placement warrants to the extent they are no longer held by the initial purchasers of the private placement warrants or their permitted transferees; and</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“SRAC,” “company” or “our company” are to Stable Road Acquisition Corp.</w:t>
      </w:r>
    </w:p>
    <w:p>
      <w:pPr>
        <w:spacing w:after="0" w:line="200" w:lineRule="exact"/>
        <w:rPr>
          <w:sz w:val="20"/>
          <w:szCs w:val="20"/>
          <w:color w:val="auto"/>
        </w:rPr>
      </w:pPr>
    </w:p>
    <w:p>
      <w:pPr>
        <w:spacing w:after="0" w:line="214"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62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Company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blank check company formed as a Delaware corporation for the purpose of effecting a merger, capital stock exchange, asset acquisition, stock purchase, reorganization or similar business combination with one or more businesses. Throughout this Report we will refer to this as our initial business combination. In November 2019, we closed our initial public offering for the sale of an aggregate of 17,250,000 units at a price of $10.00 per unit, yielding gross proceeds of $172,500,000. Simultaneous with the closing of such offering, SRAC consummated the sale of 545,000 private placement units at a price of $10.00 per unit ($5,450,000 in the aggregate) in a private placement. Such proceeds have been deposited in our trust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Proposed Business Combination with Momentus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7, 2020, we entered into an Agreement and Plan of Merger (the “Merger Agreement”), by and among SRAC, Project Marvel First Merger Sub, Inc., a Delaware corporation and wholly-owned subsidiary of SRAC (“First Merger Sub”), Project Marvel Second Merger Sub, LLC, a Delaware limited liability company and wholly-owned subsidiary of SRAC (“Second Merger Sub”), and Momentus Inc., a Delaware corporation (“Momentus”), pursuant to which, among other things: (a) First Merger Sub will merge with and into Momentus (“First Merger”), with Momentus being the surviving corporation of the First Merger and (b) immediately following the First Merger and as part of the same overall transaction as the First Merger, Momentus will merge with and into Second Merger Sub (the “Second Merger” and, together with the First Merger, the “Mergers”), with Second Merger Sub being the surviving company of the Second Merger. The Merger Agreement, the Mergers and the other transactions contemplated by the Merger Agreement are referred to herein as the “Proposed Transaction.”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 w:name="page7"/>
    <w:bookmarkEnd w:id="6"/>
    <w:p>
      <w:pPr>
        <w:jc w:val="both"/>
        <w:ind w:firstLine="648"/>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7, 2020, we entered into Subscription Agreements with certain investors pursuant to which the investors have agreed to purchase an aggregate of 17,500,000 shares of Class A common stock in a private placement for $10.00 per share (the “Private Placement”). The proceeds from the Private Placement will be partially used to fund the Repurchase (as defined below)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Concurrently with the execution of the Merger Agreement, Prime Movers Lab (“PML”), SRAC and Momentus entered into a repurchase agreement (the “Repurchase Agreement”) pursuant to which, amongst other things, SRAC has agreed to repurchase a certain number of shares of Class A common stock from PML, at a purchase price of $10.00 per share, immediately following the Closing (the “Repurchase”). The Repurchase is contingent on the amount of available cash SRAC has at the Closing from (a) the Private Placement (and any alternative financing arranged by SRAC and Momentus in the event the Private Placement becomes unavailable) and (b) the funds in SRAC’s trust account (after taking into account payments required to satisfy SRAC’s stockholder redemptions), after further deducting the amount of SRAC’s transaction expenses and Momentus’ transaction expenses (“Net Proceeds”) being in excess of $265 million. If Net Proceeds exceed $265,000,000 but are less than $280,000,000, the number of shares of Class A common stock subject to the Repurchase will be equal to the amount by which Net Proceeds exceed $250 million,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$10.00. In the event Net Proceeds are in excess of $280,000,000, the number of shares of Class A common stock subject to the Repurchase will be equal to $30,000,000,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$10.00. At the closing of the Repurchase, SRAC will be entitled to deduct from such cash payment an amount equal to 3.3% of such cash payment (representing PML’s obligation to pay Momentus a portion of its transaction expenses).</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additional information regarding the Proposed Transaction, Momentus, the Merger Agreement, the Subscription Agreements, the Repurchase Agreement and the other agreements entered into in connection with the Proposed Transaction, including risk and uncertainties with respect to Momentus and the parties’ ability to consummate the Proposed Transaction, see the Registration Statement on Form S-4, including a proxy statement/consent solicitation statement/prospectus included therein, initially filed by SRAC with the SEC on November 2, 2020, as subsequently amended.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as specifically discussed, this Report does not assume the Closing of the Proposed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Team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broad experience in identifying targets and acquiring businesses through different economic cycles and under diverse market conditions. We believe our management team is well positioned to identify and evaluate businesses that would benefit from their skills and access to the public markets. We believe our management team offers extensive experience in growing and operating companies, as well as a deep network of contacts.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team has over 60 years of combined professional experience and is led by Brian Kabot, the chief investment officer of Stable Road Capital, and Juan Manuel Quiroga, the chief investment officer of NALA Investments. Stable Road Capital is a single-family office managing a portfolio of investments across public securities, private credit, private equity, real estate and venture capital. NALA Investments is a single-family office with investment interests across various industries including communications, transportation, consumer products, real estate, technology and media. Stable Road Capital and NALA Investments manage, in the aggregate, over $1.0 billion of investment capital.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Brian Kabot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Mr. Kabot, our Chairman and Chief Executive Officer, has over 19 years of principal investing experience and has served as Chief Investment Officer of Stable Road Capital, a single-family office investment vehicle based in Los Angeles, California, since July 2017. In July 2019, Mr. Kabot was named a Strategic Advisor to The Cannabis ETF (NYSE: THCX), a newly-launched cannabis-oriented exchange-traded fund managed by Innovation Shares LLC. Since December 2018, Mr. Kabot has been a director of the Treehouse Real Estate Investment Trust, a private real estate investment trust, where he currently serves as the Chairman of the Investment Committee. Mr. Kabot has also served on the board of directors of Old Pal, LLC, a private cannabis brand company, since June 2018, and on the board of directors of Grenco Science LLC, a private developer of vape pens and portable vaporizers, since July 2019. From May 2016 to July 2017, Mr. Kabot was the Director of Research at Eschaton Opportunities Fund Management LP, a management company for two global value hedge funds. From January 2011 to April 2016, Mr. Kabot served as a partner and Deputy Portfolio Manager of Riverloft Capital Management L.P., or Riverloft Capital, a management company for an event-driven hedge fund. From March 2009 to December 2010, he served as a managing director at Gulf Coast Capital, a single-family office investment vehicle. From August 2006 to January 2009, Mr. Kabot ran the industrials, materials, and energy vertical for Sun Capital Partners’ cross cap structure/activist hedge fund. From February 2005 to July 2006, he served as a senior analyst at Reservoir Capital Group. Mr. Kabot also worked as an associate at Questor Management Company from May 2003 to February 2005, where he focused on acquiring distressed and bankrupt companies in the industrials, materials and energy sectors. From June 2000 to April 2003, Mr. Kabot served as an analyst in the merchant banking partners group at Donaldson, Lufkin &amp; Jenrette.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Norris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Mr. Norris, our Chief Financial Officer, has more than 18 years of experience in the investment management industry. Since November 2018, Mr. Norris has served as the Chief Financial Officer of Stable Road Capital. Mr. Norris previously served as the Chief Financial Officer of Cycad Management LLC, a single family investment office, Chief Financial Officer and Chief Compliance Officer of Blue Jay Capital Management LLC, a SEC-registered investment management firm focused on equity investments in the healthcare sector, the Controller and Chief Compliance Officer of Expo Capital Management LLC, a SEC-registered investment management firm, and a Manager at PriceWaterhouseCoopers.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Juan Manuel Quiroga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Quiroga, our Chief Investment Officer, has over 20 years of experience in the financial sector, including 14 years of principal investing experience. Since August 2015, Mr. Quiroga has served as Chief Investment Officer of Nala Investments. From September 2007 to August 2015, Mr. Quiroga served as Senior Vice President of Darby Private Equity. From August 2005 to August 2007, Mr. Quiroga served as a Vice President of Market Intelligence at General Electric Capital Solutions. Prior to that, from 1996 to 1998 and from 2000 to 2003, Mr. Quiroga worked for Grupo Financiero Banorte in Mexico City and New York City, where he collaborated on the creation of an asset management and financial derivatives division. Mr. Quiroga currently serves on the board of directors of Acrecent Financial Corporation, Cobiscopr and Good Media Company.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Past performance of our management team, Stable Road Capital or NALA Investments is not a guarantee either (i) of success with respect to any business combination we may consummate, including the Mergers, or (ii) that we will be able to identify a suitable candidate for our initial business combination. You should not rely on the historical performance record of our management team, Stable Road Capital or NALA Investments as indicative of our future performance. Additionally, in the course of their respective careers, members of our management team have been involved in businesses and deals that were unsuccessful. Our officers and directors have no other experience with blank check companies or special purpose acquisition companies. In addition, our executive officers and directors may have conflicts of interest with other entities to which they owe fiduciary or contractual obligations with respect to initial business combination opportunities.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Business Strategy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strategy is to pursue one or more business combinations with companies that have an aggregate enterprise value in excess of $300 million, although target entities with a smaller enterprise value may be considered. We are seeking potential targets which we believe can materially grow revenue and earnings both organically and inorganically through the efforts of our management team. These may include targets that can benefit from access to capital in order to: (i) increase spending on strategic initiatives that are expected to generate favorable returns and which can accelerate revenue and earnings growth; (ii) invest in infrastructure or technology; or (iii) fundamentally restructure their business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Acquisition Criteria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identified the following general criteria and guidelines that we believe are consistent with our acquisition philosophy and our management’s experience, and that we believe are important in evaluating prospective target businesses. We use these criteria and guidelines to evaluate acquisition opportunities, but we may decide to enter into our initial business combination with a target business that does not meet these criteria and guidelines.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seeking a business combination with one or more companies that we believe possess some or all of the following characteristics:</w:t>
      </w:r>
    </w:p>
    <w:p>
      <w:pPr>
        <w:spacing w:after="0" w:line="237"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highly scalable;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strong intellectual property including brands, technology, software, methods, etc.;</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an institutional mindset/infrastructure;</w:t>
      </w:r>
    </w:p>
    <w:p>
      <w:pPr>
        <w:spacing w:after="0" w:line="225"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a strong professional management team with deep networks within its industry and the ability to adapt to a quickly changing business environment;</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potential to achieve significant growth in revenue and earnings;</w:t>
      </w:r>
    </w:p>
    <w:p>
      <w:pPr>
        <w:spacing w:after="0" w:line="225"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potential to generate attractive returns on invested capital, with incremental investment opportunities that will allow the company to increase earnings;</w:t>
      </w:r>
    </w:p>
    <w:p>
      <w:pPr>
        <w:spacing w:after="0" w:line="170"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strong intellectual property, a defensible business model, a strong competitive position established customer relationships, and sustainable margins;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potential to grow via add-on acquisitions or is viewed as an appropriate platform for a future roll-up strategy;</w:t>
      </w:r>
    </w:p>
    <w:p>
      <w:pPr>
        <w:spacing w:after="0" w:line="225"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Can benefit from additional managerial guidance and strategic initiatives to reposition the company, accelerate growth or refocus the business on strategies that will result in value creation;</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well received by financial markets as a public company;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the potential to generate risk-adjusted returns that are attractive for our stockholders.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criteria are not intended to be exhaustive. We initially intended to focus our search for target businesses within the cannabis industry as described in the prospectus for our initial public offering, however, our efforts were not limited to that industry and spanned companies in various industries that had the potential to meet the other criteria and guidelines set forth in the prospectus. After initially evaluating several companies operating in the cannabis industry, we expanded our search to include companies operating in other high growth industries. In considering the Proposed Transaction with Momentus, our board of directors determined that the business combination was an attractive business opportunity that met the vast majority of the criteria and guidelines above, although not weighted or in any order of significance.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Competitive Strengths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leveraged and will continue to leverage the following competitive strengths in seeking to achieve our business strategy: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Experienced management team with proven expertise in deploying capital within numerous industries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our management team’s long and diverse transaction experience provides us with a competitive advantage. Our Chairman and Chief Executive Officer has over 19 years of principal investing experience across a number of industries as an owner or financier and our Chief Investment Officer has over 14 years of principal investing experience. Stable Road Capital and NALA Investments manage, in the aggregate, over $1.0 billion of investment capital. Our management team also has extensive experience acquiring companies for private equity investors. Their transaction history includes control private equity investments, distressed debt for control transactions, and a hostile takeover of a public company.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Leveraging management’s extensive experience in capital markets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management team has substantial cross capital structure experience in both the private and public markets. Their transaction experience includes private and public companies as well as debt and equity investments across various stages of a company’s lifecycle. In addition, our management team has also overseen portfolios that invested in a wide variety of transactions, including private equity, public equities, private and public credit, real estate, and venture capital. We view this broad experience in capital markets to be a competitive advantage in sourcing a prospective business combination.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Implementing operational best practices and financial structuring opportunities post-closing</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leveraged and will continue to leverage our management team’s principal investing experience to develop and implement strategies to improve the operational and financial performance of the business combination target to create a platform for growth. Specifically, our management team intends to evaluate opportunities for industry consolidation in the target’s core lines of business as well as opportunities to vertically or horizontally integrate with other industry participants. We also intend to structure and execute a business combination that will provide the target business with a capital structure that provides flexibility to grow organically and through strategic acquisitions or divestitures to drive shareholder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Combination Process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our management team’s operational and investment track record provides us with a deep understanding of challenges faced by operators and owners of high growth businesses. Our diligence includes an assessment of the company’s competitive advantage through meetings with management and key employees, key customers, interactions with consultants and experts within our network, visits of key operating facilities and a review of financial, legal and operational documents. We also have the ability to bring creative solutions from a capital structure, growth, vision and operational standpoint to unlock shareholder value. In addition, we have retained and worked with financial advisors and legal counsel as well as industry consultants to conduct due diligence, develop strategic plans, and implement operational strategies.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Stable Road Capital, NALA Investments, or our sponsor, officers or directors. In the event we seek to complete our initial business combination with a company that is affiliated with Stable Road Capital, NALA Investments or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57" w:lineRule="auto"/>
        <w:rPr>
          <w:sz w:val="20"/>
          <w:szCs w:val="20"/>
          <w:color w:val="auto"/>
        </w:rPr>
      </w:pPr>
      <w:r>
        <w:rPr>
          <w:rFonts w:ascii="Arial" w:cs="Arial" w:eastAsia="Arial" w:hAnsi="Arial"/>
          <w:sz w:val="18"/>
          <w:szCs w:val="18"/>
          <w:color w:val="auto"/>
        </w:rPr>
        <w:t>Members of our management team directly or indirectly own our founders shares, common stock and/or private placement units,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officers and directors presently have fiduciary or contractual obligations to other entities, including Stable Road Capital and NALA Investments,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need to obtain additional financing either to complete our initial business combination or because we become obligated to redeem a significant number of our public shares upon completion of our initial business combination. We intend to acquire a company with an enterprise value significantly above the net proceeds of our initial public offering and the sale of the placement units. Depending on the size of the transaction or the number of public shares we become obligated to redeem, we may potentially utilize several additional financing sources, including but not limited to the issuance of additional securities to the sellers of a target business, debt issued by banks or other lenders or the owners of the target, a private placement to raise additional funds, or a combination of the foregoing. If we are unable to complete our initial business combination because we do not have sufficient funds available to us, we will be forced to cease operations and liquidate the trust account. In addition, following our initial business combination, if cash on hand is insufficient to meet our obligations or our working capital needs, we may need to obtain additional financing.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growth, cost savings and acquisition opportunities, and accessing the financial markets to optimize the company’s capital structure. Subsequent to the closing of the initial business combination we expect to pursue initiatives through participation on the board of directors, through direct involvement with company operations or contacting former managers and advisors when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Status as a Public Company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our structure makes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November 13, 2024, (b) in which we have total annual gross revenue of at least $1.07 billion, or (c) in which we are deemed to be a large accelerated filer, which means the market value of our Class A common stock that is held by non-affiliates exceeds $700 million as of the prior June 30</w:t>
      </w:r>
      <w:r>
        <w:rPr>
          <w:rFonts w:ascii="Arial" w:cs="Arial" w:eastAsia="Arial" w:hAnsi="Arial"/>
          <w:sz w:val="12"/>
          <w:szCs w:val="12"/>
          <w:color w:val="auto"/>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funds available in the trust account for an initial business combination in the amount of $166,207,749 (as of December 31, 2020), after payment of $6,900,000 of deferred underwriting fees,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Effecting Our Initial Business Combination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We intend to effectuate our initial business combination using cash from the proceeds of our initial public offering and the private placement of the placement units, the proceeds of the sale of our shares in connection with our initial business combination (pursuant to backstop agreements we may enter into), shares issued to the owners of the target, debt issued by banks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larger than we could acquire with the net proceeds of our initial public offering and the sale of the placement units, and may as a result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stockholder approval of such financing. There are no prohibitions on our ability to raise additional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Selection of a Target Business and Structuring of our Initial Business Combination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intend to satisfy the 80% requirement even if our securities are not listed on Nasdaq at the time of our initial business combination. We do not intend to purchase multiple businesses in unrelated industries in conjunction with our initial business combination. Subject to this requirement, our management has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color w:val="auto"/>
        </w:rPr>
        <w:t>In evaluating a prospective business target, we conduct a thorough due diligence review, which encompasses, among other things, meetings with incumbent management and employees, document reviews, interviews of customers and suppliers, inspection of facilities, as well as a review of financial and other information that will be made available to us.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Lack of Business Diversification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1000" w:right="120" w:hanging="344"/>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Ability to Evaluate the Target’s Management Team</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there is no assurance that members of our management team will have significant experience or knowledge relating to the operations of the particular target business.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assurance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There is no assurance that we will have the ability to recruit additional managers, or that additional managers will have the requisite skills, knowledge or experience necessary to enhance the incumbent management.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Stockholders May Not Have the Ability to Approve Our Initial Business Combination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may conduct redemptions without a stockholder vote pursuant to the tender offer rules of the SEC. However, we will seek stockholder approval if it is required by law or applicable stock exchange rule, or we may decide to seek stockholder approval for business or other legal reasons.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1000" w:right="20" w:hanging="344"/>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170" w:lineRule="exact"/>
        <w:rPr>
          <w:rFonts w:ascii="Arial" w:cs="Arial" w:eastAsia="Arial" w:hAnsi="Arial"/>
          <w:sz w:val="18"/>
          <w:szCs w:val="18"/>
          <w:color w:val="auto"/>
        </w:rPr>
      </w:pPr>
    </w:p>
    <w:p>
      <w:pPr>
        <w:jc w:val="both"/>
        <w:ind w:left="1000" w:right="20" w:hanging="344"/>
        <w:spacing w:after="0" w:line="31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148" w:lineRule="exact"/>
        <w:rPr>
          <w:rFonts w:ascii="Arial" w:cs="Arial" w:eastAsia="Arial" w:hAnsi="Arial"/>
          <w:sz w:val="16"/>
          <w:szCs w:val="16"/>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Proposed Transaction with Momentus will require the approval of our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Permitted Purchases of our Securities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72" w:lineRule="auto"/>
        <w:rPr>
          <w:sz w:val="20"/>
          <w:szCs w:val="20"/>
          <w:color w:val="auto"/>
        </w:rPr>
      </w:pPr>
      <w:r>
        <w:rPr>
          <w:rFonts w:ascii="Arial" w:cs="Arial" w:eastAsia="Arial" w:hAnsi="Arial"/>
          <w:sz w:val="17"/>
          <w:szCs w:val="17"/>
          <w:color w:val="auto"/>
        </w:rPr>
        <w:t>Our sponsor, officers, directors and/or their affiliates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advisors or their affiliates will only purchase shares if such purchases comply with Regulation M under the Exchange Act and the other federal securities laws.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as of December 31, 2020, approximately $10.04 per public share. The per-share amount we will distribute to investors who properly redeem their shares will not be reduced by the deferred underwriting commissions we will pay to the underwriter. Our sponsor, officers and directors have entered into a letter agreement with us, pursuant to which they have agreed to waive their redemption rights with respect to any founder shares and (along with Cantor Fitzgerald &amp; Co. (“Cantor”)) placement shares and any public shares held by them in connection with the completion of our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initial business combination or (ii)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maintain a listing for our securities on Nasdaq, we are required to comply with such rules.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1000" w:hanging="34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36" w:lineRule="exact"/>
        <w:rPr>
          <w:rFonts w:ascii="Arial" w:cs="Arial" w:eastAsia="Arial" w:hAnsi="Arial"/>
          <w:sz w:val="17"/>
          <w:szCs w:val="17"/>
          <w:color w:val="auto"/>
        </w:rPr>
      </w:pPr>
    </w:p>
    <w:p>
      <w:pPr>
        <w:jc w:val="both"/>
        <w:ind w:left="1000" w:right="20" w:hanging="344"/>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or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are not purchased by our sponsor, which number will be based on the requirement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1000" w:right="20" w:hanging="344"/>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their founder shares and placement shares and any public shares purchased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only 6,196,251, or approximately 35.9%, of the 17,250,000 public shares sold in our initial public offering to be voted in favor of an initial business combination (assuming all outstanding shares are voted) in order to have our initial business combination approved.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w:t>
      </w:r>
    </w:p>
    <w:p>
      <w:pPr>
        <w:spacing w:after="0" w:line="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consideration to be paid to the target or its owners, (ii) cash to be transferred to the target for working capital or other general corporate purposes or</w:t>
      </w:r>
    </w:p>
    <w:p>
      <w:pPr>
        <w:spacing w:after="0" w:line="32" w:lineRule="exact"/>
        <w:rPr>
          <w:rFonts w:ascii="Arial" w:cs="Arial" w:eastAsia="Arial" w:hAnsi="Arial"/>
          <w:sz w:val="16"/>
          <w:szCs w:val="16"/>
          <w:color w:val="auto"/>
        </w:rPr>
      </w:pPr>
    </w:p>
    <w:p>
      <w:pPr>
        <w:jc w:val="both"/>
        <w:ind w:firstLine="8"/>
        <w:spacing w:after="0" w:line="253" w:lineRule="auto"/>
        <w:tabs>
          <w:tab w:leader="none" w:pos="3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Stockholder Approval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our initial public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an aggregate of 15% or more of the shares sold in our initial public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our initial public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provides that we will have until August 13, 2021, to complete our initial business combination, including the proposed business combination with Momentus, unless we obtain stockholder approval to further amend our amended and restated certificate of incorporation to extend the date by which we must complete our initial business combination (the “extension date”). If we are unable to complete our initial business combination by August 13, 2021 or the extension date, as applicable,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by August 13, 2021 or the extension date, as applicable.</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(along with Cantor) placement shares held by them if we fail to complete our initial business combination by August 13, 2021 or the extension date, as applicable. However, if our sponsor, officers or directors acquire public shares after our initial public offering, they will be entitled to liquidating distributions from the trust account with respect to such public shares if we fail to complete our initial business combination by August 13, 2021 or the extension date, as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redemptions in connection with our initial business combination or to redeem 100% of our public shares if we do not complete our initial business combination , or until August 13, 2021 or the extension date, as applicable,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that all costs and expenses associated with implementing our plan of dissolution, as well as payments to any creditors, will be funded from amounts remaining out of the approximately $214,811 of proceeds held outside the trust account (as of December 31, 2020), although there is no assurance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were to expend all of the net proceeds of our initial public offering and the sale of the placement units,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There is no assurance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there is no assurance that we will have funds sufficient to pay or provide for all creditors’ claims.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have sought and will continue to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 of the offering, will not execute agreements with us waiving such claims to the monies held in the trust account.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$10.00 per public share.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have access to approximately $214,810 of proceeds held outside the trust account (as of December 31, 2020) from the proceeds of our initial public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by August 13, 2021 or the extension date, as applicable, may be considered a liquidating distribution under Delaware law. Delaware law provides that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5"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by August 13, 2021 or the extension date, as applicable,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by August 13, 2021 or the extension date, as applicable,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 following August 13, 2021 or the extension date, as applicable,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 of our initial public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redemptions in connection with our initial business combination or to redeem 100% of our public shares if we do not complete our initial business combination by August 13, 2021 or the extension date, as applicable, or (B) with respect to any other provision relating to stockholders’ rights or pre-initial business combination activity, and (iii) the redemption of all of our public shares if we are unable to complete our business combination by August 13, 2021 or the extension date, as applicable,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 In particular, our amended and restated certificate of incorporation may be amended with the affirmative vote of the holders of at least 65% of all then outstanding shares of our common stock to extend the August 13, 2021 deadline by which we must have completed our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Competition</w:t>
      </w:r>
    </w:p>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have encountered and may continue to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is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have three officers. These individuals are not obligated to devote any specific number of hours to our matters but they intend to devote as much of their time as they deem necessary, in the exercise of their respective business judgment, to our affairs and intend to continue doing so until we have completed our initial business combination. The amount of time they devote in any time period will vary based on whether a target business has been selected for our initial business combination and the stage of the initial business combination process we are in. We do not intend to have any full time employees prior to the completion of our initial business combination. We do not have an employment agreement with any member of our management team.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Periodic Reporting and Financial Information</w:t>
      </w:r>
    </w:p>
    <w:p>
      <w:pPr>
        <w:spacing w:after="0" w:line="14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units, Class A common stock and warrants are registered under the Exchange Act and have reporting obligations, including the requirement that we file annual, quarterly and current reports with the SEC. In accordance with the requirements of the Exchange Act, this Report contains consolidated financial statements audited and reported on by our independent registered public accountants.</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will provide stockholders with audited consolidated financial statements of the prospective target business as part of the tender offer materials or proxy solicitation materials sent to stockholders to assist them in assessing the target business. In all likelihood, these consolidated financial statements will need to be prepared in accordance with, or reconciled to, GAAP, or IFRS, depending on the circumstances, and the historical consolidated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consolidated financial statements prepared in accordance with GAAP or that the potential target business will be able to prepare its consolidated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required to evaluate our internal control procedures for the fiscal year ending December 31, 2020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November 13, 2024,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12"/>
          <w:szCs w:val="12"/>
          <w:color w:val="auto"/>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i w:val="1"/>
          <w:iCs w:val="1"/>
          <w:color w:val="auto"/>
        </w:rPr>
        <w:t>You should carefully consider all of the following risk factors and all other information contained in this Report, including the consolidated financial statements. If any of the following risks occur, our business, financial condition or results of operations may be materially and adversely affected. In that event, the trading price of our securities could decline, and you could lose all or part of your investment. The risk factors described below are not necessarily exhaustive and you are encouraged to perform your own investigation with respect to us and our business.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In addition to the risks and uncertainties set forth below, we face certain material risks and uncertainties related to the Proposed Transaction with Momentus. In addition, if we succeed in effecting the Proposed Transaction with Momentus, we will face additional and different risks and uncertainties related to the business of Momentus. Such material risks are set forth in the Registration Statement on Form S-4, including a proxy statement/consent solicitation statement/prospectus included therein, initially filed by SRAC with the SEC on November 2, 2020, as subsequently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certain material risks of which we are aware. You should carefully consider this summary, together with the more detailed description of each risk factor contained below.</w:t>
      </w:r>
    </w:p>
    <w:p>
      <w:pPr>
        <w:spacing w:after="0" w:line="170" w:lineRule="exact"/>
        <w:rPr>
          <w:sz w:val="20"/>
          <w:szCs w:val="20"/>
          <w:color w:val="auto"/>
        </w:rPr>
      </w:pPr>
    </w:p>
    <w:p>
      <w:pPr>
        <w:ind w:left="1000" w:right="20" w:hanging="344"/>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an early stage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initial stockholders have agreed to vote in favor of such initial business combination, regardless of how our public stockholders vote.</w:t>
      </w:r>
    </w:p>
    <w:p>
      <w:pPr>
        <w:spacing w:after="0" w:line="170"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rFonts w:ascii="Arial" w:cs="Arial" w:eastAsia="Arial" w:hAnsi="Arial"/>
          <w:sz w:val="18"/>
          <w:szCs w:val="18"/>
          <w:color w:val="auto"/>
        </w:rPr>
      </w:pPr>
    </w:p>
    <w:p>
      <w:pPr>
        <w:ind w:left="1000" w:hanging="344"/>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3" w:lineRule="exact"/>
        <w:rPr>
          <w:rFonts w:ascii="Arial" w:cs="Arial" w:eastAsia="Arial" w:hAnsi="Arial"/>
          <w:sz w:val="16"/>
          <w:szCs w:val="16"/>
          <w:color w:val="auto"/>
        </w:rPr>
      </w:pPr>
    </w:p>
    <w:p>
      <w:pPr>
        <w:ind w:left="1000" w:hanging="344"/>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344"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within the prescribed time frame may give potential target businesses leverage over us in negotiating an initial business combination.</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complete our initial business combination within the prescribed time frame.</w:t>
      </w:r>
    </w:p>
    <w:p>
      <w:pPr>
        <w:spacing w:after="0" w:line="225" w:lineRule="exact"/>
        <w:rPr>
          <w:rFonts w:ascii="Arial" w:cs="Arial" w:eastAsia="Arial" w:hAnsi="Arial"/>
          <w:sz w:val="18"/>
          <w:szCs w:val="18"/>
          <w:color w:val="auto"/>
        </w:rPr>
      </w:pPr>
    </w:p>
    <w:p>
      <w:pPr>
        <w:jc w:val="both"/>
        <w:ind w:left="344" w:hanging="344"/>
        <w:spacing w:after="0" w:line="263"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directors, officers, advisors and their affiliates may elect to purchase shares or warrants from public stockholders, which may influence a vote on a proposed initial business combination and reduce the public “float” of our Class A common stock.</w:t>
      </w:r>
    </w:p>
    <w:p>
      <w:pPr>
        <w:spacing w:after="0" w:line="183" w:lineRule="exact"/>
        <w:rPr>
          <w:rFonts w:ascii="Arial" w:cs="Arial" w:eastAsia="Arial" w:hAnsi="Arial"/>
          <w:sz w:val="18"/>
          <w:szCs w:val="18"/>
          <w:color w:val="auto"/>
        </w:rPr>
      </w:pPr>
    </w:p>
    <w:p>
      <w:pPr>
        <w:ind w:left="344" w:hanging="344"/>
        <w:spacing w:after="0"/>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certain other blank check companies.</w:t>
      </w:r>
    </w:p>
    <w:p>
      <w:pPr>
        <w:spacing w:after="0" w:line="225" w:lineRule="exact"/>
        <w:rPr>
          <w:rFonts w:ascii="Arial" w:cs="Arial" w:eastAsia="Arial" w:hAnsi="Arial"/>
          <w:sz w:val="18"/>
          <w:szCs w:val="18"/>
          <w:color w:val="auto"/>
        </w:rPr>
      </w:pPr>
    </w:p>
    <w:p>
      <w:pPr>
        <w:ind w:left="344" w:right="20"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w:t>
      </w:r>
    </w:p>
    <w:p>
      <w:pPr>
        <w:spacing w:after="0" w:line="170" w:lineRule="exact"/>
        <w:rPr>
          <w:rFonts w:ascii="Arial" w:cs="Arial" w:eastAsia="Arial" w:hAnsi="Arial"/>
          <w:sz w:val="18"/>
          <w:szCs w:val="18"/>
          <w:color w:val="auto"/>
        </w:rPr>
      </w:pPr>
    </w:p>
    <w:p>
      <w:pPr>
        <w:jc w:val="both"/>
        <w:ind w:left="344" w:hanging="344"/>
        <w:spacing w:after="0" w:line="259"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net proceeds of our initial public offering and the sale of the placement units not being held in the trust account are insufficient to allow us to operate until August 13, 2021 or the extension date, as applicable, we may be unable to complete our initial business combination, in which case our public stockholders may only receive $10.00 per share, or less than such amount in certain circumstances, and our warrants will expire worthless.</w:t>
      </w:r>
    </w:p>
    <w:p>
      <w:pPr>
        <w:spacing w:after="0" w:line="186" w:lineRule="exact"/>
        <w:rPr>
          <w:rFonts w:ascii="Arial" w:cs="Arial" w:eastAsia="Arial" w:hAnsi="Arial"/>
          <w:sz w:val="18"/>
          <w:szCs w:val="18"/>
          <w:color w:val="auto"/>
        </w:rPr>
      </w:pPr>
    </w:p>
    <w:p>
      <w:pPr>
        <w:jc w:val="both"/>
        <w:ind w:left="344" w:hanging="344"/>
        <w:spacing w:after="0" w:line="25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net proceeds of our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7"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hold an annual meeting of stockholders until after the consummation of our initial business combination, which could delay the opportunity for our stockholders to elect directors.</w:t>
      </w:r>
    </w:p>
    <w:p>
      <w:pPr>
        <w:spacing w:after="0" w:line="170" w:lineRule="exact"/>
        <w:rPr>
          <w:rFonts w:ascii="Arial" w:cs="Arial" w:eastAsia="Arial" w:hAnsi="Arial"/>
          <w:sz w:val="18"/>
          <w:szCs w:val="18"/>
          <w:color w:val="auto"/>
        </w:rPr>
      </w:pPr>
    </w:p>
    <w:p>
      <w:pPr>
        <w:jc w:val="both"/>
        <w:ind w:left="344" w:hanging="344"/>
        <w:spacing w:after="0" w:line="263"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w:t>
      </w:r>
    </w:p>
    <w:p>
      <w:pPr>
        <w:spacing w:after="0" w:line="183" w:lineRule="exact"/>
        <w:rPr>
          <w:rFonts w:ascii="Arial" w:cs="Arial" w:eastAsia="Arial" w:hAnsi="Arial"/>
          <w:sz w:val="18"/>
          <w:szCs w:val="18"/>
          <w:color w:val="auto"/>
        </w:rPr>
      </w:pPr>
    </w:p>
    <w:p>
      <w:pPr>
        <w:ind w:left="344" w:hanging="344"/>
        <w:spacing w:after="0"/>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Past performance by our management team may not be indicative of future performance of an investment in us.</w:t>
      </w:r>
    </w:p>
    <w:p>
      <w:pPr>
        <w:spacing w:after="0" w:line="225" w:lineRule="exact"/>
        <w:rPr>
          <w:rFonts w:ascii="Arial" w:cs="Arial" w:eastAsia="Arial" w:hAnsi="Arial"/>
          <w:sz w:val="18"/>
          <w:szCs w:val="18"/>
          <w:color w:val="auto"/>
        </w:rPr>
      </w:pPr>
    </w:p>
    <w:p>
      <w:pPr>
        <w:ind w:left="344"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seek business combination opportunities in industries or sectors which may or may not be outside of our management’s area of expertise.</w:t>
      </w:r>
    </w:p>
    <w:p>
      <w:pPr>
        <w:spacing w:after="0" w:line="170" w:lineRule="exact"/>
        <w:rPr>
          <w:rFonts w:ascii="Arial" w:cs="Arial" w:eastAsia="Arial" w:hAnsi="Arial"/>
          <w:sz w:val="18"/>
          <w:szCs w:val="18"/>
          <w:color w:val="auto"/>
        </w:rPr>
      </w:pPr>
    </w:p>
    <w:p>
      <w:pPr>
        <w:ind w:left="344" w:hanging="344"/>
        <w:spacing w:after="0" w:line="342" w:lineRule="auto"/>
        <w:tabs>
          <w:tab w:leader="none" w:pos="3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3" w:lineRule="exact"/>
        <w:rPr>
          <w:rFonts w:ascii="Arial" w:cs="Arial" w:eastAsia="Arial" w:hAnsi="Arial"/>
          <w:sz w:val="16"/>
          <w:szCs w:val="16"/>
          <w:color w:val="auto"/>
        </w:rPr>
      </w:pPr>
    </w:p>
    <w:p>
      <w:pPr>
        <w:ind w:left="344"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70" w:lineRule="exact"/>
        <w:rPr>
          <w:rFonts w:ascii="Arial" w:cs="Arial" w:eastAsia="Arial" w:hAnsi="Arial"/>
          <w:sz w:val="18"/>
          <w:szCs w:val="18"/>
          <w:color w:val="auto"/>
        </w:rPr>
      </w:pPr>
    </w:p>
    <w:p>
      <w:pPr>
        <w:ind w:left="344" w:right="20" w:hanging="344"/>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Resources could be wasted in researching business combinations that are not completed, which could materially adversely affect subsequent attempts to locate and acquire or merge with another business.</w:t>
      </w:r>
    </w:p>
    <w:p>
      <w:pPr>
        <w:spacing w:after="0" w:line="170" w:lineRule="exact"/>
        <w:rPr>
          <w:rFonts w:ascii="Arial" w:cs="Arial" w:eastAsia="Arial" w:hAnsi="Arial"/>
          <w:sz w:val="18"/>
          <w:szCs w:val="18"/>
          <w:color w:val="auto"/>
        </w:rPr>
      </w:pPr>
    </w:p>
    <w:p>
      <w:pPr>
        <w:ind w:left="344" w:hanging="344"/>
        <w:spacing w:after="0"/>
        <w:tabs>
          <w:tab w:leader="none" w:pos="3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officers, directors, security holders and their respective affiliates may have competitive pecuniary interests that conflict with our interests.</w:t>
      </w:r>
    </w:p>
    <w:p>
      <w:pPr>
        <w:spacing w:after="0" w:line="248" w:lineRule="exact"/>
        <w:rPr>
          <w:rFonts w:ascii="Arial" w:cs="Arial" w:eastAsia="Arial" w:hAnsi="Arial"/>
          <w:sz w:val="16"/>
          <w:szCs w:val="16"/>
          <w:color w:val="auto"/>
        </w:rPr>
      </w:pPr>
    </w:p>
    <w:p>
      <w:pPr>
        <w:ind w:left="344" w:right="20" w:hanging="344"/>
        <w:spacing w:after="0" w:line="342" w:lineRule="auto"/>
        <w:tabs>
          <w:tab w:leader="none" w:pos="3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3" w:lineRule="exact"/>
        <w:rPr>
          <w:rFonts w:ascii="Arial" w:cs="Arial" w:eastAsia="Arial" w:hAnsi="Arial"/>
          <w:sz w:val="16"/>
          <w:szCs w:val="16"/>
          <w:color w:val="auto"/>
        </w:rPr>
      </w:pPr>
    </w:p>
    <w:p>
      <w:pPr>
        <w:jc w:val="both"/>
        <w:ind w:left="344" w:hanging="344"/>
        <w:spacing w:after="0" w:line="263"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controls over financial reporting and may identify additional material weaknesses in the future or otherwise fail to maintain an effective system of internal controls, which could affect our ability to report our results of operations and financial condition accurately and in a timely manner.</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 w:name="page26"/>
    <w:bookmarkEnd w:id="25"/>
    <w:p>
      <w:pPr>
        <w:ind w:left="1000" w:hanging="344"/>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restatement of our consolidated financial statements in May 2021 has subjected us to additional risks and uncertainties, including increased professional costs and the increased possibility of legal proceedings.</w:t>
      </w:r>
    </w:p>
    <w:p>
      <w:pPr>
        <w:spacing w:after="0" w:line="170" w:lineRule="exact"/>
        <w:rPr>
          <w:rFonts w:ascii="Arial" w:cs="Arial" w:eastAsia="Arial" w:hAnsi="Arial"/>
          <w:sz w:val="18"/>
          <w:szCs w:val="18"/>
          <w:color w:val="auto"/>
        </w:rPr>
      </w:pPr>
    </w:p>
    <w:p>
      <w:pPr>
        <w:jc w:val="both"/>
        <w:ind w:left="1000" w:hanging="344"/>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only be able to complete one business combination with the proceeds of our initial public offering, and the sale of the placement units, which will cause us to be solely dependent on a single business which may have a limited number of services and limited operating activities.</w:t>
      </w:r>
    </w:p>
    <w:p>
      <w:pPr>
        <w:spacing w:after="0" w:line="183"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initial stockholders may exert a substantial influence on actions requiring a stockholder vote, potentially in a manner that you do not support.</w:t>
      </w:r>
    </w:p>
    <w:p>
      <w:pPr>
        <w:spacing w:after="0" w:line="170" w:lineRule="exact"/>
        <w:rPr>
          <w:rFonts w:ascii="Arial" w:cs="Arial" w:eastAsia="Arial" w:hAnsi="Arial"/>
          <w:sz w:val="18"/>
          <w:szCs w:val="18"/>
          <w:color w:val="auto"/>
        </w:rPr>
      </w:pPr>
    </w:p>
    <w:p>
      <w:pPr>
        <w:jc w:val="both"/>
        <w:ind w:left="1000" w:hanging="344"/>
        <w:spacing w:after="0" w:line="31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early stage company with no operating history and no revenues, and you have no basis on which to evaluate our ability to achieve our business objective.</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are an early stage company with no operating results.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securities are currently listed on Nasdaq. However,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84" w:lineRule="exact"/>
        <w:rPr>
          <w:sz w:val="20"/>
          <w:szCs w:val="20"/>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1000" w:right="20" w:hanging="331"/>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common stock and warrants are listed on Nasdaq, our units, Class A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certain other blank check companies.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net proceeds of our initial public offering and the sale of the placement units are intended to be used to complete an initial business combination with a target business that has not been identified, we may be deemed to be a “blank check” company under the United States securities laws. However, because we have net tangible assets in excess of $5,000,000, we are exempt from rules promulgated by the SEC to protect investors in blank check companies, such as Rule 419. Accordingly, investors are not afforded the benefits or protections of those rules. Moreover, if our initial public offering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initial stockholders beneficially own shares representing approximately 21.8% of our issued and outstanding shares of common stock.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divided into three classes, each of which generally serves for a term of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$0.006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8"/>
          <w:szCs w:val="18"/>
          <w:b w:val="1"/>
          <w:bCs w:val="1"/>
          <w:color w:val="auto"/>
        </w:rPr>
        <w:t>Unlike other similarly structured blank check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founder shares will automatically convert into Class A common stock at the time of our initial business combination, or earlier at the option of the holders, on a one-for-one basis, subject to adjustment as provided herein. In the case that additional shares of Class A common stock, or equity-linked securities convertible or exercisable for Class A common stock, are issued or deemed issued in excess of the amounts offered in our initial public offering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20% of the total number of all outstanding shares of common stock upon completion of the initial business combination, excluding the placement shares and any shares or equity-linked securities issued, or to be issued, to any seller in the business combination and any private placement-equivalent warrants issued to our sponsor or its affiliates upon conversion of loans made to us. This is different from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each unit contains one-half of one redeemable warrant and only a whole warrant may be exercised, the units may be worth less than units of other blank check companies.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unit contains one-half of one redeemable warrant. No fractional warrants will be issued upon separation of the units and only whole warrants will trade. Accordingly, unless you purchase at least two units, you will not be able to receive or trade a whole warrant.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1000" w:right="20" w:hanging="331"/>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1000" w:right="20" w:hanging="331"/>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1000" w:hanging="33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right="2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Initial Business Combination</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if a majority of our public stockholders do not support such a combination.</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If we seek stockholder approval of our initial business combination, our initial stockholders have agreed to vote in favor of such initial business combination, regardless of how our public stockholders vote.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letter agreement, our sponsor, officers and directors have agreed to vote their founder shares and placement shares, as well as any public shares purchased after our initial public offering (including in open market and privately negotiated transactions), in favor of our initial business combination. As a result, in addition to our initial stockholders’ founder shares and placement shares, we would need only 6,196,251, or approximately 35.9%, of the 17,250,000 public shares sold in our initial public offering to be voted in favor of an initial business combination (assuming all outstanding shares are voted) in order to have our initial business combination approved. Our initial stockholders beneficially own shares representing approximately 21.8%of our outstanding shares of common stock.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by August 13, 2021 or the extension date, as applicable.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advisors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their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342" w:lineRule="auto"/>
        <w:rPr>
          <w:sz w:val="20"/>
          <w:szCs w:val="20"/>
          <w:color w:val="auto"/>
        </w:rPr>
      </w:pPr>
      <w:r>
        <w:rPr>
          <w:rFonts w:ascii="Arial" w:cs="Arial" w:eastAsia="Arial" w:hAnsi="Arial"/>
          <w:sz w:val="16"/>
          <w:szCs w:val="16"/>
          <w:color w:val="auto"/>
        </w:rPr>
        <w:t>In addition, if such purchases are made, the public “float” of our Class A common stock or public warrants and the number of beneficial holders of our securities may be reduced, possibly making it difficult to maintain the quotation, listing or trading of our securities on a national securities exchange.</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redemptions in connection with our initial business combination or to redeem 100% of our public shares if we do not complete our initial business combination by August 13, 2021 or the extension date, as applicable, or (B) with respect to any other provision relating to stockholders’ rights or pre-initial business combination activity and (iii) the redemption of our public shares if we are unable to complete an initial business combination by August 13, 2021 or the extension date, as applicable,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the net proceeds of our initial public offering and the sale of the placement units not being held in the trust account are insufficient to allow us to operate until August 13, 2021 or the extension date, as applicable, we may be unable to complete our initial business combination, in which case our public stockholders may only receive $10.00 per share, or less than such amount in certain circumstances, and our warrants will expire worthless.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until August 13, 2021 or the extension date, as applicable, assuming that our initial business combination is not completed during that time. We believe that the funds available to us outside of the trust account as of December 31, 2020 of $214,811 and the additional $600,000 of funds loaned to us by Stable Road Capital, LLC and DIBALYD Investments, an affiliate of Nala Investments, in February 2021 (which funds are held outside of the trust account) are sufficient to allow us to operate until August 13, 2021 or the extension date,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303" w:lineRule="auto"/>
        <w:rPr>
          <w:sz w:val="20"/>
          <w:szCs w:val="20"/>
          <w:color w:val="auto"/>
        </w:rPr>
      </w:pPr>
      <w:r>
        <w:rPr>
          <w:rFonts w:ascii="Arial" w:cs="Arial" w:eastAsia="Arial" w:hAnsi="Arial"/>
          <w:sz w:val="16"/>
          <w:szCs w:val="16"/>
          <w:b w:val="1"/>
          <w:bCs w:val="1"/>
          <w:color w:val="auto"/>
        </w:rPr>
        <w:t>If the net proceeds of our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Of the net proceeds of our initial public offering and the sale of the placement units, only approximately $214,811 (as of December 31, 2020) is available to us outside the trust account to fund our working capital requirements. In February 2021, Stable Road Capital, LLC and DIBALYD Investments, an affiliate of Nala Investments, loaned us $600,000 pursuant to non-interest bearing promissory notes, which funds are available to be used for working capital expenses.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to be held outside the trust account or from funds released to us upon completion of our initial business combination. Up to $1,500,000 of such loans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Although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consummate a business combination with a company in any industry we choose and are not limited to any particular industry or type of business.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herein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an agreement entered into concurrently with our initial public offering, our initial stockholders and their permitted transferees can demand that we register the placement units, the placement shares, the placement warrants, the shares of Class A common stock issuable upon exercise of the placement warrants, the shares of Class A common stock issuable upon conversion of the founder shares and holders of units that may be issued upon conversion of working capital loans may demand that we register such units, Class A common stock, warrants or the Class A common stock issuable upon exercise of such units and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prior to or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officers and directors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officers and directors are not required to, and do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they may also participate in the formation of, or become officers or directors of, other special purpose acquisition companies) and, accordingly, may have conflicts of interest in allocating their time and determining to which entity a particular business opportunity should be presented.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we consummate our initial business combination, we will continue to engage in the business of identifying and combining with one or more businesses. Our sponsor and officers and directors are, and may in the future become, affiliated with entities (such as operating companies or investment vehicles) that are engaged in a similar business, and they may also participate in the formation of, or become officers or directors of, other special purpose acquisition companies.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light of the involvement of our sponsor, officers and directors with other entities, we may decide to acquire one or more businesses affiliated with our sponsor, officers or directors. Our directors also serve as officers and board members for other entities. Such entities may compete with us for business combination opportunities.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6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June 2019, our sponsor purchased an aggregate of 4,312,500 founder shares for an aggregate purchase price of $25,000, or approximately $0.006 per share. The founder shares will be worthless if we do not complete an initial business combination. Our sponsor and Cantor purchased an aggregate of 545,000 placement units at a price of $10.00 per unit, for a purchase price of $5,450,000. Each placement unit consists of one share of Class A common stock and one-half of one warrant. Each whole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6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no commitments as of the date of this Annual Report to issue any notes or other debt securities, or to otherwise incur outstanding debt,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1000" w:right="20" w:hanging="331"/>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1000" w:right="20" w:hanging="331"/>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1000" w:hanging="33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1000" w:right="20" w:hanging="331"/>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1000" w:right="20" w:hanging="331"/>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48" w:lineRule="exact"/>
        <w:rPr>
          <w:rFonts w:ascii="Arial" w:cs="Arial" w:eastAsia="Arial" w:hAnsi="Arial"/>
          <w:sz w:val="18"/>
          <w:szCs w:val="18"/>
          <w:color w:val="auto"/>
        </w:rPr>
      </w:pPr>
    </w:p>
    <w:p>
      <w:pPr>
        <w:ind w:left="1000" w:right="20" w:hanging="331"/>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48" w:lineRule="exact"/>
        <w:rPr>
          <w:rFonts w:ascii="Arial" w:cs="Arial" w:eastAsia="Arial" w:hAnsi="Arial"/>
          <w:sz w:val="18"/>
          <w:szCs w:val="18"/>
          <w:color w:val="auto"/>
        </w:rPr>
      </w:pPr>
    </w:p>
    <w:p>
      <w:pPr>
        <w:ind w:left="1000" w:hanging="331"/>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our initial public offering, and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Of the net proceeds from our initial public offering and the sale of the placement units, $172,500,000 is available to complete our initial business combination and pay related fees and expenses (which includes $6,900,000 for the payment of deferred underwriting commissions).</w:t>
      </w:r>
    </w:p>
    <w:p>
      <w:pPr>
        <w:spacing w:after="0" w:line="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44" w:lineRule="exact"/>
        <w:rPr>
          <w:sz w:val="20"/>
          <w:szCs w:val="20"/>
          <w:color w:val="auto"/>
        </w:rPr>
      </w:pPr>
    </w:p>
    <w:p>
      <w:pPr>
        <w:ind w:left="1000" w:hanging="33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03" w:lineRule="exact"/>
        <w:rPr>
          <w:rFonts w:ascii="Arial" w:cs="Arial" w:eastAsia="Arial" w:hAnsi="Arial"/>
          <w:sz w:val="18"/>
          <w:szCs w:val="18"/>
          <w:color w:val="auto"/>
        </w:rPr>
      </w:pPr>
    </w:p>
    <w:p>
      <w:pPr>
        <w:ind w:left="1000" w:hanging="331"/>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45" w:lineRule="exact"/>
        <w:rPr>
          <w:sz w:val="20"/>
          <w:szCs w:val="20"/>
          <w:color w:val="auto"/>
        </w:rPr>
      </w:pPr>
    </w:p>
    <w:p>
      <w:pPr>
        <w:jc w:val="both"/>
        <w:ind w:right="20"/>
        <w:spacing w:after="0" w:line="346"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jc w:val="both"/>
        <w:ind w:firstLine="648"/>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our initial public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redemptions in connection with our initial business combination or to redeem 100% of our public shares if we do not complete our initial business combination by August 13, 2021,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provides that any of its provisions related to pre-initial business combination activity (including the requirement to deposit proceeds of our initial public offering and the private placement of warrants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collectively beneficially own up to approximately 21.8% of our common stock,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redemptions in connection with our initial business combination or to redeem 100% of our public shares if we do not complete our initial business combination by August 13, 2021,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targeting businesses larger than we could acquire with the net proceeds of our initial public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statements may also be required to be prepared in accordance with GAAP in connection with our current report on Form 8-K announcing the closing of our initial business combination within four business days following such closing.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this Report.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right="2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Redemption of Shares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right="20"/>
        <w:spacing w:after="0" w:line="282"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our business combination.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1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15% or more of our Class A common stock, you will lose the ability to redeem all such shares in excess of 15% of our Class A common stock.</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or more of the shares sold in our initial public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share.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WithumSmith+Brown, PC, our independent registered public accounting firm, and the underwriter of our initial public offering, will not execute agreements with us waiving such claims to the monies held in the trust account.</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Class A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not registered the shares of Class A common stock issuable upon exercise of the warrants issued in our initial public offering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issued in our initial public offering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issued in our initial public offering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our initial public offering. However, there may be instances in which holders of our public warrants may be unable to exercise such public warrants but holders of our placement warrants may be able to exercise such placement warrants.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color w:val="auto"/>
        </w:rPr>
        <w:t>If you exercise your public warrants on a “cashless basis,” you will receive fewer shares of Class A common stock from such exercise than if you were to exercise such warrants for cash.</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Class A common stock issuable upon exercise of the warrants is not effective by the 60</w:t>
      </w:r>
      <w:r>
        <w:rPr>
          <w:rFonts w:ascii="Arial" w:cs="Arial" w:eastAsia="Arial" w:hAnsi="Arial"/>
          <w:sz w:val="11"/>
          <w:szCs w:val="11"/>
          <w:color w:val="auto"/>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exercise warrants on a cashless basis in accordance with Section 3(a)(9) of the Securities Act or another exemption. Second,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(as defined in the next sentence) by (y) the fair market value. The “fair market value” is the average reported last sale price of the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a majority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(which may include public warrants acquired by our sponsor or its affiliates in our initial public offering or thereafter in the open market).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issued warrants to purchase 8,625,000 shares of our Class A common stock as part of the units offered in our initial public offering and, simultaneously with the closing of our initial public offering, we issued an aggregate of 272,500 placement warrants. Our initial stockholders currently beneficially own an aggregate of 4,312,500 founder shares. The founder shares are convertible into shares of Class A common stock on a one-for-one basis, subject to adjustment as set forth herein. In addition, if our sponsor makes any working capital loans, up to $1,500,000 of such loans may be convertible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placement warrants included in the placement units are identical to the warrants sold as part of the units in our initial public offering except that, so long as they are held by our sponsor or its permitted transferees, (i) they will not be redeemable by us, (ii) they (including the Class A common stock issuable upon exercise of these warrants) may not, subject to certain limited exceptions, be transferred, assigned or sold by our sponsor until 30 days after the completion of our initial business combination and (iii) they may be exercised by the holders on a cashless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79" w:lineRule="auto"/>
        <w:rPr>
          <w:sz w:val="20"/>
          <w:szCs w:val="20"/>
          <w:color w:val="auto"/>
        </w:rPr>
      </w:pPr>
      <w:r>
        <w:rPr>
          <w:rFonts w:ascii="Arial" w:cs="Arial" w:eastAsia="Arial" w:hAnsi="Arial"/>
          <w:sz w:val="17"/>
          <w:szCs w:val="17"/>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amended and restated certificate of incorporation authorizes the issuance of up to 100,000,000 shares of Class A common stock, par value $0.0001 per share, 10,000,000 shares of Class B common stock, par value $0.0001 per share, and 1,000,000 shares of preferred stock, par value $0.0001 per share. There are 73,307,500 and 5,687,500 authorized but unissued shares of Class A common stock and Class B common stock, respectively, available for issuance as of December 31, 2020, which amount takes into account the shares of Class A common stock reserved for issuance upon exercise of outstanding warrants but not the shares of Class A common stock issuable upon conversion of Class B common stock. There are currently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our initial business combination as a result of the anti-dilution provisions contained in our amended and restated certificate of incorporation.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and directors have agreed, pursuant to a written agreement with us, that they will not propose any amendment to our amended and restated certificate of incorporation (A) to modify the substance or timing of our obligation to allow redemptions in connection with our initial business combination or to redeem 100% of our public shares if we do not complete our initial business combination by August 13, 2021 or the extension date, as applicable,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1000" w:right="20" w:hanging="344"/>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1000" w:hanging="33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980" w:firstLine="9"/>
        <w:spacing w:after="0" w:line="500"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1000" w:hanging="33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do not believe that our principal activities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trust account is intended as a holding place for funds pending the earliest to occur of:</w:t>
      </w:r>
    </w:p>
    <w:p>
      <w:pPr>
        <w:spacing w:after="0" w:line="2" w:lineRule="exact"/>
        <w:rPr>
          <w:sz w:val="20"/>
          <w:szCs w:val="20"/>
          <w:color w:val="auto"/>
        </w:rPr>
      </w:pPr>
    </w:p>
    <w:p>
      <w:pPr>
        <w:jc w:val="both"/>
        <w:ind w:firstLine="8"/>
        <w:spacing w:after="0" w:line="281"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redemptions in connection with our initial business combination or to redeem 100% of our public shares if we do not complete our initial business combination by August 13, 2021 or the extension date, as applicable, or (B) with respect to any other provision relating to stockholders’ rights or pre-initial business combination activity; or</w:t>
      </w:r>
    </w:p>
    <w:p>
      <w:pPr>
        <w:spacing w:after="0" w:line="2" w:lineRule="exact"/>
        <w:rPr>
          <w:rFonts w:ascii="Arial" w:cs="Arial" w:eastAsia="Arial" w:hAnsi="Arial"/>
          <w:sz w:val="16"/>
          <w:szCs w:val="16"/>
          <w:color w:val="auto"/>
        </w:rPr>
      </w:pPr>
    </w:p>
    <w:p>
      <w:pPr>
        <w:jc w:val="both"/>
        <w:ind w:firstLine="8"/>
        <w:spacing w:after="0" w:line="270"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absent an initial business combination by August 13, 2021 or the extension date, as applicable,,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on the liquidation of our trust account and our warrants will expire worthless.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(the “Sarbanes Oxley Act”), the Dodd-Frank Wall Street Reform and Consumer Protection Act, the listing requirements of Nasdaq and other applicable securities rules and regulations, Compliance with these rules and regulations increase our legal and financial compliance costs, make some activities more difficult, time-consuming or costly and increase demand on our systems and resources, particularly after we are no longer an “emerging growth company.”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costs and expenses.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described elsewhere in this Annual Report, we identified a material weakness in our internal control over financial reporting related to the accounting for a significant and unusual transaction related to the warrants we issued in connection with our initial public offering in November 2019. As a result of this material weakness, our management, including our principal executive and financial officers, concluded that our internal control over financial reporting was not effective as of December 31, 2020. This resulted in a material misstatement of our warrant liability, change in fair value of warrant liability, additional paid-in capital and accumulated deficit as of and for the years ended December 31, 2020 and 2019.</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 For a discussion of management’s consideration of the material weakness identified related to our accounting for the warrants we issued in connection with the November 2019 Initial Public Offering, see “Note 2—Restatement of Previously Issued Consolidated Financial Statements” to the accompanying consolidated financial statements, as well as the Explanatory Note and Part II, Item 9A: Controls and Procedures included in this Annual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91" w:lineRule="auto"/>
        <w:rPr>
          <w:sz w:val="20"/>
          <w:szCs w:val="20"/>
          <w:color w:val="auto"/>
        </w:rPr>
      </w:pPr>
      <w:r>
        <w:rPr>
          <w:rFonts w:ascii="Arial" w:cs="Arial" w:eastAsia="Arial" w:hAnsi="Arial"/>
          <w:sz w:val="16"/>
          <w:szCs w:val="16"/>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the stock exchange on which our common stock is listed, the SEC or other regulatory authorities. In either case, there could result a material adverse effect on our business. Failure to timely file will cause us to be ineligible to utilize short form registration statements on Form S-3 or Form S-4, which may impair our ability to obtain capital in a timely fashion to execute our business strategies or issue shares to effect an acquisition. Ineffective internal controls could also cause investors to lose confidence in our reported financial information, which could have a negative effect on the trading price of our stock.</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warrants are required to be accounted for as liabilities rather than as equity and such requirement resulted in a restatement of our previously issued consolidated financial statements.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12, 2021, the staff of the SEC issued its Statement. In the Statement, the SEC staff expressed its view that certain terms and conditions common to SPAC warrants may require the warrants to be classified as liabilities on the SPAC’s balance sheet as opposed to equity. Since issuance, our warrants were accounted for as equity within our balance sheet, and after discussion and evaluation, including with our independent auditors, we have concluded that our warrants should be presented as liabilities with subsequent fair value remeasurement. Therefore we conducted a valuation of our warrants and restated our previously issued consolidated financial statements, which resulted in unanticipated costs and diversion of management resources and may result in potential loss of investor confidence. Although we have now completed the restatement, we cannot guarantee that we will have no further inquiries from the SEC or Nasdaq regarding our restated consolidated financial statements or matters relating thereto.</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future inquiries from the SEC or Nasdaq as a result of the restatement of our historical consolidated financial statements will, regardless of the outcome, likely consume a significant amount of our resources in addition to those resources already consumed in connection with the restatement itself.</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restatement of our consolidated financial statements in May 2021 has subjected us to additional risks and uncertainties, including increased professional costs and the increased possibility of legal proceedings.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Restatement, we have become subject to additional risks and uncertainties, including, among others, increased professional fees and expenses and time commitment that may be required to address matters related to the restatements, and scrutiny of the SEC and other regulatory bodies which could cause investors to lose confidence in our reported financial information and could subject us to civil or criminal penalties or shareholder litigation. We could face monetary judgments, penalties or other sanctions that could have a material adverse effect on our business, financial condition and results of operations and could cause our stock price to decline.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warrants are accounted for as a warrant liability and are recorded at fair value upon issuance with changes in fair value each period to be reported in earnings, which may have an adverse effect on the market price of our Common Stock.</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the Restatement of our historical consolidated financial statements, we account for our warrants as a warrant liability recorded at fair value upon issuance with any changes in fair value each period reported in earnings based upon a valuation report obtained from its independent third party valuation firm. The impact of changes in fair value on earnings may have an adverse effect on the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for our securities may not develop, which would adversely affect the liquidity and price of our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our management team’s or advisors’ performance as indicative of our future performance of an investment in the company or the returns the company will, or is likely to, generate going forward. Additionally, in the course of their respective careers, members of our management team have been involved in businesses and deals that were unsuccessful. Our officers and directors have not had experience with blank check companies or special purpose acquisition companies in the past.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Cyber incidents or attacks directed at us could result in information theft, data corruption, operational disruption and/or financial loss.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46" w:lineRule="exact"/>
        <w:rPr>
          <w:sz w:val="20"/>
          <w:szCs w:val="20"/>
          <w:color w:val="auto"/>
        </w:rPr>
      </w:pPr>
    </w:p>
    <w:p>
      <w:pPr>
        <w:ind w:left="1000" w:right="20" w:hanging="344"/>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be able to adequately address these additional risks. If we were unable to do so, our operations might suffer, which may adversely impact our results of operations and financial condition.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Fraudulent or illegal activity by employees, contractors and consultants may adversely affect our business, financial condition or results of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own any real estate or other physical properties materially important to our operation. We currently maintain our principal executive offices at 1345 Abbot Kinney Blvd., Venice, California 90291. The cost for this space is included in the $10,000 per-month aggregate fee our sponsor charges us for general and administrative services. We consider our current office space, combined with the other office space otherwise available to our executive officers, adequate for our current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3. Legal Proceedings.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December 3, 2020, a purported stockholder of SRAC filed a complaint against us and our board of directors in the United States District Court for the Southern District of New York, in a case captioned </w:t>
      </w:r>
      <w:r>
        <w:rPr>
          <w:rFonts w:ascii="Arial" w:cs="Arial" w:eastAsia="Arial" w:hAnsi="Arial"/>
          <w:sz w:val="18"/>
          <w:szCs w:val="18"/>
          <w:i w:val="1"/>
          <w:iCs w:val="1"/>
          <w:color w:val="auto"/>
        </w:rPr>
        <w:t>Wallace v. Stable Road Acquisition Corp., et al.</w:t>
      </w:r>
      <w:r>
        <w:rPr>
          <w:rFonts w:ascii="Arial" w:cs="Arial" w:eastAsia="Arial" w:hAnsi="Arial"/>
          <w:sz w:val="18"/>
          <w:szCs w:val="18"/>
          <w:color w:val="auto"/>
        </w:rPr>
        <w:t xml:space="preserve">, No. 1:20-cv-10193, alleging that our Registration Statement on Form S-4, originally filed with the SEC on November 2, 2020, omitted certain material information regarding the Proposed Transaction with Momentus, in violation of the securities laws. As relief, the complaint seeks an injunction barring us from proceeding with a stockholder vote with respect to, or consummating, the Proposed Transaction absent additional disclosures, as well as unspecified costs and damages. On December 9, 2020, another purported stockholder of filed a complaint against us and our board of directors in the Supreme Court of the State of New York for the County of New York, in a case captioned </w:t>
      </w:r>
      <w:r>
        <w:rPr>
          <w:rFonts w:ascii="Arial" w:cs="Arial" w:eastAsia="Arial" w:hAnsi="Arial"/>
          <w:sz w:val="18"/>
          <w:szCs w:val="18"/>
          <w:i w:val="1"/>
          <w:iCs w:val="1"/>
          <w:color w:val="auto"/>
        </w:rPr>
        <w:t>Ciccotelli v. Stable Road Acquisition Corp., et al.</w:t>
      </w:r>
      <w:r>
        <w:rPr>
          <w:rFonts w:ascii="Arial" w:cs="Arial" w:eastAsia="Arial" w:hAnsi="Arial"/>
          <w:sz w:val="18"/>
          <w:szCs w:val="18"/>
          <w:color w:val="auto"/>
        </w:rPr>
        <w:t xml:space="preserve">, No. 656895/2020, raising similar allegations and seeking similar relief as the complaint from the </w:t>
      </w:r>
      <w:r>
        <w:rPr>
          <w:rFonts w:ascii="Arial" w:cs="Arial" w:eastAsia="Arial" w:hAnsi="Arial"/>
          <w:sz w:val="18"/>
          <w:szCs w:val="18"/>
          <w:i w:val="1"/>
          <w:iCs w:val="1"/>
          <w:color w:val="auto"/>
        </w:rPr>
        <w:t>Wallace</w:t>
      </w:r>
      <w:r>
        <w:rPr>
          <w:rFonts w:ascii="Arial" w:cs="Arial" w:eastAsia="Arial" w:hAnsi="Arial"/>
          <w:sz w:val="18"/>
          <w:szCs w:val="18"/>
          <w:color w:val="auto"/>
        </w:rPr>
        <w:t xml:space="preserve"> action.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January 2021, the SEC’s Division of Enforcement informed SRAC that it was investigating certain disclosures made in filings with the SEC, including in connection with the Business Combination. SRAC is fully cooperating with the SEC’s investigation.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outcome of these matters cannot be determined at this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above, to the knowledge of our management, there is no material litigation currently pending against us, any of our officers or directors in their capacity as such or against any of our property.</w:t>
      </w:r>
    </w:p>
    <w:p>
      <w:pPr>
        <w:spacing w:after="0" w:line="170" w:lineRule="exact"/>
        <w:rPr>
          <w:sz w:val="20"/>
          <w:szCs w:val="20"/>
          <w:color w:val="auto"/>
        </w:rPr>
      </w:pPr>
    </w:p>
    <w:p>
      <w:pPr>
        <w:jc w:val="center"/>
        <w:ind w:right="8860"/>
        <w:spacing w:after="0"/>
        <w:rPr>
          <w:sz w:val="20"/>
          <w:szCs w:val="20"/>
          <w:color w:val="auto"/>
        </w:rPr>
      </w:pPr>
      <w:r>
        <w:rPr>
          <w:rFonts w:ascii="Arial" w:cs="Arial" w:eastAsia="Arial" w:hAnsi="Arial"/>
          <w:sz w:val="16"/>
          <w:szCs w:val="16"/>
          <w:color w:val="auto"/>
        </w:rPr>
        <w:t>Item 4. Mine Safety Disclosures.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Our units, Class A common stock and warrants are each traded on the Nasdaq Capital Market under the symbols “SRACU,” “SRAC” and “SRACW,” respectively. Our units commenced public trading on November 8, 2019, and our Class A common stock and warrants commenced separate public trading on December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On March 1, 2021, there were three holders of record of our units, one holder of record of our Class A common stock and one holder of record of our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required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i w:val="1"/>
          <w:iCs w:val="1"/>
          <w:color w:val="auto"/>
        </w:rPr>
        <w:t>The following discussion and analysis of the Company’s financial condition and results of operations should be read in conjunction with our audited consolidated financial statements and the notes related thereto which are included in “Item 8. Consolidated Financial Statements and Supplementary Data” of this Annual Report on Form 10-K/A.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Proposed Business Combination with Momentus</w:t>
      </w:r>
    </w:p>
    <w:p>
      <w:pPr>
        <w:spacing w:after="0" w:line="225" w:lineRule="exact"/>
        <w:rPr>
          <w:sz w:val="20"/>
          <w:szCs w:val="20"/>
          <w:color w:val="auto"/>
        </w:rPr>
      </w:pPr>
    </w:p>
    <w:p>
      <w:pPr>
        <w:jc w:val="both"/>
        <w:ind w:firstLine="583"/>
        <w:spacing w:after="0" w:line="308" w:lineRule="auto"/>
        <w:rPr>
          <w:sz w:val="20"/>
          <w:szCs w:val="20"/>
          <w:color w:val="auto"/>
        </w:rPr>
      </w:pPr>
      <w:r>
        <w:rPr>
          <w:rFonts w:ascii="Arial" w:cs="Arial" w:eastAsia="Arial" w:hAnsi="Arial"/>
          <w:sz w:val="17"/>
          <w:szCs w:val="17"/>
          <w:color w:val="auto"/>
        </w:rPr>
        <w:t>On October 7, 2020, we entered into the Merger Agreement with First Merger Sub, Second Merger Sub and Momentus. The Merger Agreement, the Mergers and the other transactions contemplated by the Merger Agreement are referred to herein as the “Proposed Transaction”.</w:t>
      </w:r>
    </w:p>
    <w:p>
      <w:pPr>
        <w:spacing w:after="0" w:line="146"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195"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71"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583"/>
        <w:spacing w:after="0" w:line="259" w:lineRule="auto"/>
        <w:rPr>
          <w:sz w:val="20"/>
          <w:szCs w:val="20"/>
          <w:color w:val="auto"/>
        </w:rPr>
      </w:pPr>
      <w:r>
        <w:rPr>
          <w:rFonts w:ascii="Arial" w:cs="Arial" w:eastAsia="Arial" w:hAnsi="Arial"/>
          <w:sz w:val="18"/>
          <w:szCs w:val="18"/>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187" w:lineRule="exact"/>
        <w:rPr>
          <w:sz w:val="20"/>
          <w:szCs w:val="20"/>
          <w:color w:val="auto"/>
        </w:rPr>
      </w:pPr>
    </w:p>
    <w:p>
      <w:pPr>
        <w:jc w:val="both"/>
        <w:ind w:firstLine="583"/>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On October 7, 2020, we entered into Subscription Agreements with certain investors pursuant to which the investors have agreed to purchase an aggregate of 17,500,000 shares of Class A common stock in a private placement for $10.00 per share (“Private Placement”). The proceeds from the Private Placement will be partially used to fund the Repurchase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ind w:firstLine="583"/>
        <w:spacing w:after="0" w:line="287" w:lineRule="auto"/>
        <w:rPr>
          <w:sz w:val="20"/>
          <w:szCs w:val="20"/>
          <w:color w:val="auto"/>
        </w:rPr>
      </w:pPr>
      <w:r>
        <w:rPr>
          <w:rFonts w:ascii="Arial" w:cs="Arial" w:eastAsia="Arial" w:hAnsi="Arial"/>
          <w:sz w:val="16"/>
          <w:szCs w:val="16"/>
          <w:color w:val="auto"/>
        </w:rPr>
        <w:t>Concurrently with the execution of the Merger Agreement, PML, SRAC and Momentus entered into a Repurchase Agreement pursuant to which, amongst other things, SRAC has agreed to repurchase a certain number of shares of Class A common stock from PML, at a purchase price of $10.00 per share, immediately following the Closing (the “Repurchase”). The Repurchase is contingent on the amount of available cash SRAC has at the Closing from</w:t>
      </w:r>
    </w:p>
    <w:p>
      <w:pPr>
        <w:spacing w:after="0" w:line="2" w:lineRule="exact"/>
        <w:rPr>
          <w:sz w:val="20"/>
          <w:szCs w:val="20"/>
          <w:color w:val="auto"/>
        </w:rPr>
      </w:pPr>
    </w:p>
    <w:p>
      <w:pPr>
        <w:jc w:val="both"/>
        <w:ind w:firstLine="8"/>
        <w:spacing w:after="0" w:line="251"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Private Placement (and any alternative financing arranged by SRAC and Momentus in the event the Private Placement becomes unavailable) and (b) the funds in SRAC’s trust account (after taking into account payments required to satisfy SRAC’s stockholder redemptions), after further deducting the amount of SRAC’s transaction expenses and Momentus’ transaction expenses (“</w:t>
      </w:r>
      <w:r>
        <w:rPr>
          <w:rFonts w:ascii="Arial" w:cs="Arial" w:eastAsia="Arial" w:hAnsi="Arial"/>
          <w:sz w:val="18"/>
          <w:szCs w:val="18"/>
          <w:u w:val="single" w:color="auto"/>
          <w:color w:val="auto"/>
        </w:rPr>
        <w:t>Net Proceeds</w:t>
      </w:r>
      <w:r>
        <w:rPr>
          <w:rFonts w:ascii="Arial" w:cs="Arial" w:eastAsia="Arial" w:hAnsi="Arial"/>
          <w:sz w:val="18"/>
          <w:szCs w:val="18"/>
          <w:color w:val="auto"/>
        </w:rPr>
        <w:t xml:space="preserve">”) being in excess of $265 million. If Net Proceeds exceed $265,000,000 but are less than $280,000,000, the number of shares of Class A common stock subject to the Repurchase will be equal to the amount by which Net Proceeds exceed $250 million,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$10.00. In the event Net Proceeds are in excess of $280,000,000, the number of shares of Class A common stock subject to the Repurchase will be equal to $30,000,000,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$10.00. At the closing of the Repurchase, SRAC will be entitled to deduct from such cash payment an amount equal to 3.3% of such cash payment (representing PML’s obligation to pay Momentus a portion of its transaction expenses).</w:t>
      </w:r>
    </w:p>
    <w:p>
      <w:pPr>
        <w:spacing w:after="0" w:line="198" w:lineRule="exact"/>
        <w:rPr>
          <w:sz w:val="20"/>
          <w:szCs w:val="20"/>
          <w:color w:val="auto"/>
        </w:rPr>
      </w:pPr>
    </w:p>
    <w:p>
      <w:pPr>
        <w:jc w:val="both"/>
        <w:ind w:firstLine="583"/>
        <w:spacing w:after="0" w:line="301" w:lineRule="auto"/>
        <w:rPr>
          <w:sz w:val="20"/>
          <w:szCs w:val="20"/>
          <w:color w:val="auto"/>
        </w:rPr>
      </w:pPr>
      <w:r>
        <w:rPr>
          <w:rFonts w:ascii="Arial" w:cs="Arial" w:eastAsia="Arial" w:hAnsi="Arial"/>
          <w:sz w:val="16"/>
          <w:szCs w:val="16"/>
          <w:color w:val="auto"/>
        </w:rPr>
        <w:t>For additional information regarding the Proposed Transaction, Momentus, the Merger Agreement, the Subscription Agreements, the Repurchase Agreement and the other agreements entered into in connection with the Proposed Transaction, including risk and uncertainties with respect to Momentus and the parties’ ability to consummate the Proposed Transaction, see the Registration Statement on Form S-4, including a proxy statement/consent solicitation statement/prospectus included therein, initially filed by SRAC with the SEC on November 2, 2020, as subsequently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(As Restated)</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our Initial Public Offering, described below, identifying a target for our initial Business Combination and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 including the Proposed Transaction with Momentus.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583"/>
        <w:spacing w:after="0" w:line="263" w:lineRule="auto"/>
        <w:rPr>
          <w:sz w:val="20"/>
          <w:szCs w:val="20"/>
          <w:color w:val="auto"/>
        </w:rPr>
      </w:pPr>
      <w:r>
        <w:rPr>
          <w:rFonts w:ascii="Arial" w:cs="Arial" w:eastAsia="Arial" w:hAnsi="Arial"/>
          <w:sz w:val="18"/>
          <w:szCs w:val="18"/>
          <w:color w:val="auto"/>
        </w:rPr>
        <w:t>For the year ended December 31, 2020, we had net loss of $42,986,163, which consists of operating costs of $3,720,975, a change in the fair value of warrant liabilities of $40,220,713, and a provision for income taxes of $178,866, offset by interest income on marketable securities held in the Trust Account of $1,134,391.</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three months ended September 30, 2020, we had net loss of $4,866,923, which consists of operating costs of $223,942, a change in the fair value of warrant liabilities of $4,702,313, and a provision for income taxes of $2,209, offset by interest income on marketable securities held in the trust account (the “Trust Account”) of $61,541.</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nine months ended September 30, 2020, we had net loss of $2,435,680, which consists of operating costs of $776,516, a change in the fair value of warrant liabilities of $2,566,913, and a provision for income taxes of $179,405, offset by interest income on marketable securities held in the Trust Account of $1,087,154.</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three months ended June 30, 2020, we had net income of $1,222,072, which consists of interest income on marketable securities held in the Trust Account of $355,824 and a change in the fair value of warrant liabilities of $1,185,700, offset by operating costs of $315,695 and a provision for income taxes of $3,757.</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six months ended June 30, 2020, we had net income of $2,431,243, which consists of interest income on marketable securities held in the Trust Account of $1,025,613 and a change in the fair value of warrant liabilities of $2,135,400, offset by operating costs of $552,574 and a provision for income taxes of $177,196.</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three months ended March 31, 2020, we had net income of $1,209,171, which consists of interest income on marketable securities held in the Trust Account of $669,789 and a change in the fair value of warrant liabilities of $949,700, offset by operating costs of $236,879 and a provision for income taxes of $173,439.</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period from May 28, 2019 (date of inception) through December 31, 2019, we had net income of $5,343,820, which consists of interest income on marketable securities held in the trust account of $346,011 and a change in the fair value of warrant liabilities of $6,139,150, offset by operating costs of $1,093,774 and a provision for income taxes of $47,567.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 (As Restated)</w:t>
      </w:r>
    </w:p>
    <w:p>
      <w:pPr>
        <w:spacing w:after="0" w:line="225"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year ended December 31, 2020, cash used in operating activities was $1,751,026. Net loss of $42,986,163 was impacted by interest earned on marketable securities held in the Trust Account of $1,134,391, a change in the fair value of warrant liabilities of $40,220,713, and changes in operating assets and liabilities, which provided $2,148,815 of cash from operating activities.</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nine months ended September 30, 2020, cash used in operating activities was $1,161,611. Net loss of $2,435,680 was offset by interest earned on marketable securities held in the Trust Account of $1,087,154, a change in the fair value of warrant liabilities of $2,566,913, and changes in operating assets and liabilities, which used $205,690 of cash from operating activities.</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six months ended June 30, 2020, cash used in operating activities was $984,160. Net income of $2,431,243 was offset by interest earned on marketable securities held in the Trust Account of $1,025,613, a change in the fair value of warrant liabilities of $2,135,400, and changes in operating assets and liabilities, which used $254,390 of cash from operating activities.</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For the three months ended March 31, 2020, cash used in operating activities was $227,767. Net income of $1,209,171 was offset by interest earned on marketable securities held in the Trust Account of $669,789, a change in the fair value of warrant liabilities of $949,700, and changes in operating assets and liabilities, which provided $182,551 of cash from operating activities.</w:t>
      </w:r>
    </w:p>
    <w:p>
      <w:pPr>
        <w:spacing w:after="0" w:line="184"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For the period from May 28, 2019 (inception) through December 31, 2019, cash used in operating activities was $356,959. Net income of $5,343,820 was offset by interest earned on marketable securities held in the trust account of $346,011, a change in the fair value of warrant liabilities of $6,139,150, transaction costs allocable to warrant liabilities of $857,689, and changes in operating assets and liabilities, which used $73,307 of cash from operating activities.</w:t>
      </w:r>
    </w:p>
    <w:p>
      <w:pPr>
        <w:spacing w:after="0" w:line="187" w:lineRule="exact"/>
        <w:rPr>
          <w:sz w:val="20"/>
          <w:szCs w:val="20"/>
          <w:color w:val="auto"/>
        </w:rPr>
      </w:pPr>
    </w:p>
    <w:p>
      <w:pPr>
        <w:jc w:val="both"/>
        <w:ind w:firstLine="583"/>
        <w:spacing w:after="0" w:line="293" w:lineRule="auto"/>
        <w:rPr>
          <w:sz w:val="20"/>
          <w:szCs w:val="20"/>
          <w:color w:val="auto"/>
        </w:rPr>
      </w:pPr>
      <w:r>
        <w:rPr>
          <w:rFonts w:ascii="Arial" w:cs="Arial" w:eastAsia="Arial" w:hAnsi="Arial"/>
          <w:sz w:val="16"/>
          <w:szCs w:val="16"/>
          <w:color w:val="auto"/>
        </w:rPr>
        <w:t>As of December 31, 2020, we had cash and marketable securities in the Trust Account of $173,107,749.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year ended December 31, 2020, we withdrew $872,653 of interest income from the Trust Account principally to pay for federal and state income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57" w:name="page58"/>
    <w:bookmarkEnd w:id="57"/>
    <w:p>
      <w:pPr>
        <w:jc w:val="both"/>
        <w:ind w:firstLine="583"/>
        <w:spacing w:after="0" w:line="259" w:lineRule="auto"/>
        <w:rPr>
          <w:sz w:val="20"/>
          <w:szCs w:val="20"/>
          <w:color w:val="auto"/>
        </w:rPr>
      </w:pPr>
      <w:r>
        <w:rPr>
          <w:rFonts w:ascii="Arial" w:cs="Arial" w:eastAsia="Arial" w:hAnsi="Arial"/>
          <w:sz w:val="18"/>
          <w:szCs w:val="18"/>
          <w:color w:val="auto"/>
        </w:rPr>
        <w:t>As of December 31, 2020, we had cash of $214,811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92" w:lineRule="exact"/>
        <w:rPr>
          <w:sz w:val="20"/>
          <w:szCs w:val="20"/>
          <w:color w:val="auto"/>
        </w:rPr>
      </w:pPr>
    </w:p>
    <w:p>
      <w:pPr>
        <w:jc w:val="both"/>
        <w:ind w:firstLine="583"/>
        <w:spacing w:after="0" w:line="290" w:lineRule="auto"/>
        <w:rPr>
          <w:sz w:val="20"/>
          <w:szCs w:val="20"/>
          <w:color w:val="auto"/>
        </w:rPr>
      </w:pPr>
      <w:r>
        <w:rPr>
          <w:rFonts w:ascii="Arial" w:cs="Arial" w:eastAsia="Arial" w:hAnsi="Arial"/>
          <w:sz w:val="16"/>
          <w:szCs w:val="16"/>
          <w:color w:val="auto"/>
        </w:rPr>
        <w:t>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5"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In February 2021, Stable Road Capital and DIBALYD Investments, an affiliate of Nala Investments, each loaned $300,000 to us pursuant to non-interest bearing promissory notes in order to finance transaction and working capital costs. The promissory notes mature upon the earlier of June 30, 2021 or the consummation of our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Going Concern</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August 13, 2021 or the extension date, as applicable,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Financing Arrangements</w:t>
      </w:r>
    </w:p>
    <w:p>
      <w:pPr>
        <w:spacing w:after="0" w:line="225" w:lineRule="exact"/>
        <w:rPr>
          <w:sz w:val="20"/>
          <w:szCs w:val="20"/>
          <w:color w:val="auto"/>
        </w:rPr>
      </w:pPr>
    </w:p>
    <w:p>
      <w:pPr>
        <w:jc w:val="both"/>
        <w:ind w:firstLine="583"/>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consolidated financial statements, and income and expenses during the periods reported. Actual results could materially differ from those estimates. We have identified the following critical accounting policies: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Warrant Liability</w:t>
      </w:r>
    </w:p>
    <w:p>
      <w:pPr>
        <w:spacing w:after="0" w:line="225"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Subject to Possible Redemption</w:t>
      </w:r>
    </w:p>
    <w:p>
      <w:pPr>
        <w:spacing w:after="0" w:line="225" w:lineRule="exact"/>
        <w:rPr>
          <w:sz w:val="20"/>
          <w:szCs w:val="20"/>
          <w:color w:val="auto"/>
        </w:rPr>
      </w:pPr>
    </w:p>
    <w:p>
      <w:pPr>
        <w:jc w:val="both"/>
        <w:ind w:firstLine="583"/>
        <w:spacing w:after="0" w:line="272" w:lineRule="auto"/>
        <w:rPr>
          <w:sz w:val="20"/>
          <w:szCs w:val="20"/>
          <w:color w:val="auto"/>
        </w:rPr>
      </w:pPr>
      <w:r>
        <w:rPr>
          <w:rFonts w:ascii="Arial" w:cs="Arial" w:eastAsia="Arial" w:hAnsi="Arial"/>
          <w:sz w:val="17"/>
          <w:szCs w:val="17"/>
          <w:color w:val="auto"/>
        </w:rPr>
        <w:t>We accounts for our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shares of Class A common stock subject to possible redemption are presented as temporary equity, outside of the stockholders’ equity section of our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Common Share</w:t>
      </w:r>
    </w:p>
    <w:p>
      <w:pPr>
        <w:spacing w:after="0" w:line="225" w:lineRule="exact"/>
        <w:rPr>
          <w:sz w:val="20"/>
          <w:szCs w:val="20"/>
          <w:color w:val="auto"/>
        </w:rPr>
      </w:pPr>
    </w:p>
    <w:p>
      <w:pPr>
        <w:jc w:val="both"/>
        <w:ind w:firstLine="583"/>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loss per common share, basic and diluted for and Class B non-redeemable common stock is calculated by dividing net income (loss) adjusted for net income attributable to Class A redeemable common stock, by the weighted average number of shares of Class B non-redeemable common stock outstanding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As of December 31,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8. Consolidated Financial Statements and Supplementary Data</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information appears following Item 16 of this Report and is included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jc w:val="both"/>
        <w:ind w:firstLine="583"/>
        <w:spacing w:after="0" w:line="269"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and financial officers (our “Certifying Officers”), the effectiveness of our disclosure controls and procedures as of December 31, 2020, pursuant to Rule 13a-15(b) under the Exchange Act. Based upon that evaluation, our Certifying Officers concluded that, as of December 31, 2020, we did not maintain effective internal control over financial reporting because of a material weakness in our internal control over financial reporting related to the accounting for a significant and unusual transaction related to the warrants we issued in connection with our Initial Public Offering. Notwithstanding the material weakness described below, our management has concluded that our restated and revised consolidated financial statements included in this Annual Report are fairly stated in all material respects in accordance with U.S. GAAP for each of the periods presented herein.</w:t>
      </w:r>
    </w:p>
    <w:p>
      <w:pPr>
        <w:spacing w:after="0" w:line="182" w:lineRule="exact"/>
        <w:rPr>
          <w:sz w:val="20"/>
          <w:szCs w:val="20"/>
          <w:color w:val="auto"/>
        </w:rPr>
      </w:pPr>
    </w:p>
    <w:p>
      <w:pPr>
        <w:jc w:val="both"/>
        <w:ind w:firstLine="583"/>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254"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Management’s Report on Internal Controls Over Financial Reporting</w:t>
      </w:r>
    </w:p>
    <w:p>
      <w:pPr>
        <w:spacing w:after="0" w:line="144"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defined in Rules 13a-15(f) and 15d-15(f) under the Exchange Act. Our internal control over financial reporting is designed to provide reasonable assurance regarding the reliability of financial reporting and the presentation of consolidated financial statements for external purposes in accordance with U.S. generally accepted accounting principles. Internal control over financial reporting includes those policies and procedures that:</w:t>
      </w:r>
    </w:p>
    <w:p>
      <w:pPr>
        <w:spacing w:after="0" w:line="90" w:lineRule="exact"/>
        <w:rPr>
          <w:sz w:val="20"/>
          <w:szCs w:val="20"/>
          <w:color w:val="auto"/>
        </w:rPr>
      </w:pPr>
    </w:p>
    <w:p>
      <w:pPr>
        <w:ind w:left="1000" w:right="20" w:hanging="344"/>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1000" w:right="20" w:hanging="344"/>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183"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89"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03"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In connection with the restatement of our consolidated financial statements included in this Annual Report, our management, including our principal executive and financial officers, have evaluated the effectiveness of our internal control over financial reporting and concluded that we did not maintain effective internal control over financial reporting as of December 31, 2020 because of a material weakness in our internal control over financial reporting described below related to the accounting for a significant and unusual transaction related to the warrants we issued in connection with our Initial Public Offering. Notwithstanding the material weakness described below, our management has concluded that our restated and revised consolidated financial statements included in this Annual Report are fairly stated in all material respects in accordance with U.S. GAAP for each of the periods presented herein.</w:t>
      </w:r>
    </w:p>
    <w:p>
      <w:pPr>
        <w:spacing w:after="0" w:line="195" w:lineRule="exact"/>
        <w:rPr>
          <w:sz w:val="20"/>
          <w:szCs w:val="20"/>
          <w:color w:val="auto"/>
        </w:rPr>
      </w:pPr>
    </w:p>
    <w:p>
      <w:pPr>
        <w:jc w:val="both"/>
        <w:ind w:firstLine="583"/>
        <w:spacing w:after="0" w:line="275" w:lineRule="auto"/>
        <w:rPr>
          <w:sz w:val="20"/>
          <w:szCs w:val="20"/>
          <w:color w:val="auto"/>
        </w:rPr>
      </w:pPr>
      <w:r>
        <w:rPr>
          <w:rFonts w:ascii="Arial" w:cs="Arial" w:eastAsia="Arial" w:hAnsi="Arial"/>
          <w:sz w:val="17"/>
          <w:szCs w:val="17"/>
          <w:color w:val="auto"/>
        </w:rPr>
        <w:t>In connection with the restatement described in “Note 2— Restatement of Previously Issued Consolidated Financial Statements” to the accompanying consolidated financial statements included in this Annual Report, management identified a material weakness in our internal control over financial reporting related to the accounting for a significant and unusual transaction related to the warrants we issued in connection with the Initial Public Offering. This material weakness resulted in a material misstatement of our warrant liability, change in fair value of warrant liability, additional paid-in capital and accumulated deficit as of and for the year ended December 31, 2020 and the period ended December 31, 2019.</w:t>
      </w:r>
    </w:p>
    <w:p>
      <w:pPr>
        <w:spacing w:after="0" w:line="176"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consolidated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14"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due to a transition period established by the rules of the SEC for newly public companies.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Consolidated Financial Statements</w:t>
      </w:r>
    </w:p>
    <w:p>
      <w:pPr>
        <w:spacing w:after="0" w:line="229"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On June 8, 2021, we revised our prior position on accounting for warrants and concluded that our previously issued consolidated financial statements as of and for the year ended December 31, 2020 and the period ended December 31, 2019; as of November 13, 2019; and as of and for the periods ended March 30, 2020, June 30, 2020 and September 30, 2020 should not be relied on because of a misapplication in the guidance on warrant accounting. However, the non-cash adjustments to the consolidated financial statements do not impact the amounts previously reported for our cash and cash equivalents, total assets, or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firstLine="583"/>
        <w:spacing w:after="0" w:line="271"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as the circumstances leading to the restatement had not yet been identified. In light of the restatement of our consolidated financial statements included in this Annual Report, we plan to enhance our processes to identify and appropriately apply applicable accounting requirements to better evaluate and understand the nuances of the complex accounting standards that apply to our consolidated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983"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March 8, 2021, our directors and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68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Brian Kabot</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James Norris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Juan Manuel Quiroga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Chief Investment Officer and Secretary</w:t>
            </w:r>
          </w:p>
        </w:tc>
      </w:tr>
      <w:tr>
        <w:trPr>
          <w:trHeight w:val="216"/>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Marc Lehmann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Hofmockel</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Ann Kono</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6"/>
          <w:szCs w:val="16"/>
          <w:b w:val="1"/>
          <w:bCs w:val="1"/>
          <w:color w:val="auto"/>
        </w:rPr>
        <w:t xml:space="preserve">Brian Kabot </w:t>
      </w:r>
      <w:r>
        <w:rPr>
          <w:rFonts w:ascii="Arial" w:cs="Arial" w:eastAsia="Arial" w:hAnsi="Arial"/>
          <w:sz w:val="16"/>
          <w:szCs w:val="16"/>
          <w:color w:val="auto"/>
        </w:rPr>
        <w:t>has served as our Chief Executive Officer and Chairman since inception. Mr. Kabot has over 19 years of principal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and has served as Chief Investment Officer of Stable Road Capital, a single-family office investment vehicle based in Los Angeles, California, since July 2017. In July 2019, Mr. Kabot was named a Strategic Advisor to The Cannabis ETF (NYSE: THCX), a newly-launched cannabis-oriented exchange-traded fund managed by Innovation Shares LLC. Since December 2018, Mr. Kabot has been a director of the Treehouse Real Estate Investment Trust, a private real estate investment trust, where he currently serves as the Chairman of the Investment Committee. Mr. Kabot has also served on the board of directors of Old Pal, LLC, a private cannabis brand company, since June 2018, and on the board of directors of Grenco Science LLC, a private developer of vape pens and portable vaporizers, since July 2019. From May 2016 to July 2017, Mr. Kabot was the Director of Research at Eschaton Opportunities Fund Management LP, a management company for two global value hedge funds. From January 2011 to April 2016, Mr. Kabot served as a partner and Deputy Portfolio Manager of Riverloft Capital Management L.P., or Riverloft Capital, a management company for an event-driven hedge fund. From March 2009 to December 2010, he served as a managing director at Gulf Coast Capital, a single-family office investment vehicle. From August 2006 to January 2009, Mr. Kabot ran the industrials, materials, and energy vertical for Sun Capital Partners’ cross cap structure/activist hedge fund. From February 2005 to July 2006, he served as a senior analyst at Reservoir Capital Group. Mr. Kabot also worked as an associate at Questor Management Company from May 2003 to February 2005, where he focused on acquiring distressed and bankrupt companies in the industrials, materials and energy sectors. From June 2000 to April 2003, Mr. Kabot served as an analyst in the merchant banking partners group at Donaldson, Lufkin &amp; Jenrette. Mr. Kabot received a Bachelor of Science in Hotel and Restaurant Administration from Cornell University. Mr. Kabot is well qualified to serve as a director due to his extensive investing and advisory experience in numerous industries.</w:t>
      </w:r>
    </w:p>
    <w:p>
      <w:pPr>
        <w:spacing w:after="0" w:line="164" w:lineRule="exact"/>
        <w:rPr>
          <w:sz w:val="20"/>
          <w:szCs w:val="20"/>
          <w:color w:val="auto"/>
        </w:rPr>
      </w:pPr>
    </w:p>
    <w:p>
      <w:pPr>
        <w:jc w:val="both"/>
        <w:ind w:firstLine="583"/>
        <w:spacing w:after="0" w:line="269" w:lineRule="auto"/>
        <w:rPr>
          <w:sz w:val="20"/>
          <w:szCs w:val="20"/>
          <w:color w:val="auto"/>
        </w:rPr>
      </w:pPr>
      <w:r>
        <w:rPr>
          <w:rFonts w:ascii="Arial" w:cs="Arial" w:eastAsia="Arial" w:hAnsi="Arial"/>
          <w:sz w:val="17"/>
          <w:szCs w:val="17"/>
          <w:b w:val="1"/>
          <w:bCs w:val="1"/>
          <w:color w:val="auto"/>
        </w:rPr>
        <w:t xml:space="preserve">James Norris </w:t>
      </w:r>
      <w:r>
        <w:rPr>
          <w:rFonts w:ascii="Arial" w:cs="Arial" w:eastAsia="Arial" w:hAnsi="Arial"/>
          <w:sz w:val="17"/>
          <w:szCs w:val="17"/>
          <w:color w:val="auto"/>
        </w:rPr>
        <w:t>has served as our Chief Financial Officer since inception and as a director. Mr. Norris has more than 18 years of experience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management industry. Since November 2018, Mr. Norris has served as the Chief Financial Officer of Stable Road Capital, LLC. From October 2017 to September 2018, Mr. Norris served as the Chief Financial Officer of Cycad Management LLC, a single family investment office. From April 2013 to October 2017, Mr. Norris served as the Chief Financial Officer and Chief Compliance Officer of Blue Jay Capital Management LLC, a SEC-registered investment management firm focused on equity investments in the healthcare sector. From September 2012 to April 2013, Mr. Norris served as the Controller of Kennedy-Wilson Holdings Inc. (NYSE:KW), a global real estate company. From January 2010 to July 2012, Mr. Norris served as the Controller and Chief Compliance Officer of Expo Capital Management LLC, a SEC-registered investment management firm. From September 2004 to July 2009, Mr. Norris served as Manager at PriceWaterhouseCoopers in the United Kingdom and the United States, specializing in investment management. From September 2001 to August 2004, Mr. Norris served as an accountant at Ainsworth’s Chartered Accountants in the United Kingdom. Mr. Norris received a Bachelor of Arts in Accounting and Finance from the University of Glamorgan in the United Kingdom. He is a certified public accountant and is a fellow member of the Association of Chartered Certified Accountants. Mr. Norris is well qualified to serve as a director due to his extensive investment management experience.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583"/>
        <w:spacing w:after="0" w:line="254" w:lineRule="auto"/>
        <w:rPr>
          <w:sz w:val="20"/>
          <w:szCs w:val="20"/>
          <w:color w:val="auto"/>
        </w:rPr>
      </w:pPr>
      <w:r>
        <w:rPr>
          <w:rFonts w:ascii="Arial" w:cs="Arial" w:eastAsia="Arial" w:hAnsi="Arial"/>
          <w:sz w:val="18"/>
          <w:szCs w:val="18"/>
          <w:b w:val="1"/>
          <w:bCs w:val="1"/>
          <w:color w:val="auto"/>
        </w:rPr>
        <w:t xml:space="preserve">Juan Manuel Quiroga </w:t>
      </w:r>
      <w:r>
        <w:rPr>
          <w:rFonts w:ascii="Arial" w:cs="Arial" w:eastAsia="Arial" w:hAnsi="Arial"/>
          <w:sz w:val="18"/>
          <w:szCs w:val="18"/>
          <w:color w:val="auto"/>
        </w:rPr>
        <w:t>has served as our Chief Investment Officer since inception. Mr. Quiroga has over 20 years of experience in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sector, including 14 years of principal investing experience. Since August 2015, Mr. Quiroga has served as Chief Investment Officer of Nala Investments. From September 2007 to August 2015, Mr. Quiroga served as Senior Vice President of Darby Private Equity. From August 2005 to August 2007, Mr. Quiroga served as a Vice President of Market Intelligence at General Electric Capital Solutions. Prior to that, from 1996 to 1998 and from 2000 to 2003, Mr. Quiroga worked for Grupo Financiero Banorte in Mexico City and New York City, where he collaborated on the creation of an asset management and financial derivatives division. Mr. Quiroga currently serves on the board of directors of Acrecent Financial Corporation, Cobiscopr and Good Media Company. Mr. Quiroga received a Bachelor of Arts in Management, Finance and International Business from the Universidad Panamericana in Mexico, a Graduate Diploma in Finance from Universis Pompeu Fabra in Spain and a Master of Business Administration from the University of Chicago Booth School of Business.</w:t>
      </w:r>
    </w:p>
    <w:p>
      <w:pPr>
        <w:spacing w:after="0" w:line="188" w:lineRule="exact"/>
        <w:rPr>
          <w:sz w:val="20"/>
          <w:szCs w:val="20"/>
          <w:color w:val="auto"/>
        </w:rPr>
      </w:pPr>
    </w:p>
    <w:p>
      <w:pPr>
        <w:jc w:val="both"/>
        <w:ind w:firstLine="583"/>
        <w:spacing w:after="0" w:line="253" w:lineRule="auto"/>
        <w:rPr>
          <w:sz w:val="20"/>
          <w:szCs w:val="20"/>
          <w:color w:val="auto"/>
        </w:rPr>
      </w:pPr>
      <w:r>
        <w:rPr>
          <w:rFonts w:ascii="Arial" w:cs="Arial" w:eastAsia="Arial" w:hAnsi="Arial"/>
          <w:sz w:val="18"/>
          <w:szCs w:val="18"/>
          <w:b w:val="1"/>
          <w:bCs w:val="1"/>
          <w:color w:val="auto"/>
        </w:rPr>
        <w:t xml:space="preserve">Marc Lehmann </w:t>
      </w:r>
      <w:r>
        <w:rPr>
          <w:rFonts w:ascii="Arial" w:cs="Arial" w:eastAsia="Arial" w:hAnsi="Arial"/>
          <w:sz w:val="18"/>
          <w:szCs w:val="18"/>
          <w:color w:val="auto"/>
        </w:rPr>
        <w:t>is one of our independent directors. Mr. Lehman has served as the Managing Member of Flamingo Drive Partners, LLC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predecessor, an investment firm involved in public markets, real estate and start-up investing, since July 2016. Since November 2018, Mr. Lehmann has served as a director of Green Growth Brands Inc. (CSE:GGB; OTCQB:GGBXF), a producer and seller of cannabis and CBD products. Mr. Lehmann served as the General Partner of Riverloft Capital from January 2011 to June 2016. From May 2002 to June 2010, Mr. Lehmann served as a Partner and Director of Research at JANA Partners LLC, a hedge fund. From July 1999 to May 2002, he served as an analyst at Appaloosa Management LP, an opportunistic hedge fund portfolio. He began his career as an analyst at Morgan Stanley (February 1995-September 2005) and Lehman Brothers Holdings Inc. (February 1994-February 1995). He then served as a lead analyst at SAC Capital, LP from September 1995 to June 1997. Mr. Lehmann received a Bachelor of Science in Finance and International Business from New York University and a Master of Business Administration from The Wharton School at the University of Pennsylvania. Mr. Lehmann is well qualified to serve as a director due to his extensive investing and advisory experience in the cannabis industry.</w:t>
      </w:r>
    </w:p>
    <w:p>
      <w:pPr>
        <w:spacing w:after="0" w:line="194" w:lineRule="exact"/>
        <w:rPr>
          <w:sz w:val="20"/>
          <w:szCs w:val="20"/>
          <w:color w:val="auto"/>
        </w:rPr>
      </w:pPr>
    </w:p>
    <w:p>
      <w:pPr>
        <w:jc w:val="both"/>
        <w:ind w:firstLine="583"/>
        <w:spacing w:after="0" w:line="269" w:lineRule="auto"/>
        <w:rPr>
          <w:sz w:val="20"/>
          <w:szCs w:val="20"/>
          <w:color w:val="auto"/>
        </w:rPr>
      </w:pPr>
      <w:r>
        <w:rPr>
          <w:rFonts w:ascii="Arial" w:cs="Arial" w:eastAsia="Arial" w:hAnsi="Arial"/>
          <w:sz w:val="17"/>
          <w:szCs w:val="17"/>
          <w:b w:val="1"/>
          <w:bCs w:val="1"/>
          <w:color w:val="auto"/>
        </w:rPr>
        <w:t xml:space="preserve">James Hofmockel </w:t>
      </w:r>
      <w:r>
        <w:rPr>
          <w:rFonts w:ascii="Arial" w:cs="Arial" w:eastAsia="Arial" w:hAnsi="Arial"/>
          <w:sz w:val="17"/>
          <w:szCs w:val="17"/>
          <w:color w:val="auto"/>
        </w:rPr>
        <w:t>is one of our independent directors. Mr. Hofmockel has over 30 years of experience in the financial sector as an entrepreneur,</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and advisor, including nearly 20 years of principal investing and completion of numerous capital-raising and M&amp;A transactions in the public and private markets. Since July 2007, Mr. Hofmockel has been the managing partner of Hofmockel Investments, LLC, and since September 2018, (312) Investments, LLC, both private investment and financial advisory firms. From September 2000 to June 2009, Mr. Hofmockel served as a Principal in the private equity firm Cardinal Growth, L.P., where he led a number of investments and was a board member of several portfolio companies, and co-founded Diamond Communication Solutions, Inc. From 1998 to 2000, he served as a Vice President at Resource Financial Corporation, an investment banking and merchant banking firm, and Mr. Hofmockel worked in investment banking in the financial institutions groups of Salomon Brothers (1996–1998) and Bear Stearns (1994–1996). Between December 1988 and July 1992, Mr. Hofmockel was a certified public accountant working in KPMG’s financial services group in tax and consulting. Mr. Hofmockel received a Bachelor of Science in Accounting from Purdue University and a Master of Business Administration from the University of Chicago Booth School of Business. Mr. Hofmockel is well qualified to serve as a director due to his extensive investing and advisory experience.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583"/>
        <w:spacing w:after="0" w:line="294" w:lineRule="auto"/>
        <w:rPr>
          <w:sz w:val="20"/>
          <w:szCs w:val="20"/>
          <w:color w:val="auto"/>
        </w:rPr>
      </w:pPr>
      <w:r>
        <w:rPr>
          <w:rFonts w:ascii="Arial" w:cs="Arial" w:eastAsia="Arial" w:hAnsi="Arial"/>
          <w:sz w:val="16"/>
          <w:szCs w:val="16"/>
          <w:b w:val="1"/>
          <w:bCs w:val="1"/>
          <w:color w:val="auto"/>
        </w:rPr>
        <w:t>Ann Kono</w:t>
      </w:r>
      <w:r>
        <w:rPr>
          <w:rFonts w:ascii="Arial" w:cs="Arial" w:eastAsia="Arial" w:hAnsi="Arial"/>
          <w:sz w:val="16"/>
          <w:szCs w:val="16"/>
          <w:color w:val="auto"/>
        </w:rPr>
        <w:t>, is one of our independent directors. Ms. Kono has more than 20 years of experience in the financial services industry. Ms. Kono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the Chief Executive Officer of the Leda Advisory Group, a strategy consulting firm focusing on growth-stage startups that she founded in January 2019. From April 2007 to December 2018, Ms. Kono was a senior executive and most recently a partner and Chief Information and Risk Officer of Ares Management LLC (NYSE: ARES). Ms. Kono currently serves on the board of directors of Treehouse Real Estate Investment Trust, a private real estate investment trust. Ms. Kono earned a bachelor’s degree in business administration from Boston University and a master’s degree in business administration from the University of Southern California. Ms. Kono is well qualified to serve as a director due to her extensive advisory experience.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Number, Classes and Terms of Office of Officers and Directors</w:t>
      </w:r>
    </w:p>
    <w:p>
      <w:pPr>
        <w:spacing w:after="0" w:line="225" w:lineRule="exact"/>
        <w:rPr>
          <w:sz w:val="20"/>
          <w:szCs w:val="20"/>
          <w:color w:val="auto"/>
        </w:rPr>
      </w:pPr>
    </w:p>
    <w:p>
      <w:pPr>
        <w:jc w:val="both"/>
        <w:ind w:firstLine="583"/>
        <w:spacing w:after="0" w:line="273" w:lineRule="auto"/>
        <w:rPr>
          <w:sz w:val="20"/>
          <w:szCs w:val="20"/>
          <w:color w:val="auto"/>
        </w:rPr>
      </w:pPr>
      <w:r>
        <w:rPr>
          <w:rFonts w:ascii="Arial" w:cs="Arial" w:eastAsia="Arial" w:hAnsi="Arial"/>
          <w:sz w:val="17"/>
          <w:szCs w:val="17"/>
          <w:color w:val="auto"/>
        </w:rPr>
        <w:t>Our board of directors consists of five directors and is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Class I directors, consisting of Mr. Hofmockel and Ms. Kono, will expire at our first annual meeting of stockholders. The term of office of the Class II of directors, consisting of Messrs. Norris and Lehmann, will expire at the second annual meeting of stockholders. The term of office of the Class III directors, consisting of Mr. Kabot, will expire at the third annual meeting of stockholders.</w:t>
      </w:r>
    </w:p>
    <w:p>
      <w:pPr>
        <w:spacing w:after="0" w:line="178"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Director Independence</w:t>
      </w:r>
    </w:p>
    <w:p>
      <w:pPr>
        <w:spacing w:after="0" w:line="225" w:lineRule="exact"/>
        <w:rPr>
          <w:sz w:val="20"/>
          <w:szCs w:val="20"/>
          <w:color w:val="auto"/>
        </w:rPr>
      </w:pPr>
    </w:p>
    <w:p>
      <w:pPr>
        <w:jc w:val="both"/>
        <w:ind w:firstLine="583"/>
        <w:spacing w:after="0" w:line="296"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Messrs. Lehmann and Hofmockel and Ms. Kono are “independent directors” as defined in the Nasdaq listing standards and applicable SEC rules. Our independent directors will have regularly scheduled meetings at which only independent directors are present.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 Compensation</w:t>
      </w:r>
    </w:p>
    <w:p>
      <w:pPr>
        <w:spacing w:after="0" w:line="225" w:lineRule="exact"/>
        <w:rPr>
          <w:sz w:val="20"/>
          <w:szCs w:val="20"/>
          <w:color w:val="auto"/>
        </w:rPr>
      </w:pPr>
    </w:p>
    <w:p>
      <w:pPr>
        <w:jc w:val="both"/>
        <w:ind w:firstLine="583"/>
        <w:spacing w:after="0" w:line="269" w:lineRule="auto"/>
        <w:rPr>
          <w:sz w:val="20"/>
          <w:szCs w:val="20"/>
          <w:color w:val="auto"/>
        </w:rPr>
      </w:pPr>
      <w:r>
        <w:rPr>
          <w:rFonts w:ascii="Arial" w:cs="Arial" w:eastAsia="Arial" w:hAnsi="Arial"/>
          <w:sz w:val="17"/>
          <w:szCs w:val="17"/>
          <w:color w:val="auto"/>
        </w:rPr>
        <w:t>None of our officers has received any cash compensation for services rendered to us. Commencing with our initial public offering in November 2019, we have agreed to pay an affiliate of our sponsor a total of $10,000 per month for office space, utilities and administrative support. Upon completion of our initial business combination or our liquidation, we will cease paying these monthly fees. Other than as set forth elsewhere in this report, no compensation of any kind, including any finder’s fee, reimbursement, consulting fee or monies in respect of any payment of a loan, will be paid by us to our sponsor, officers, directors or advisors or any affiliate of our sponsor, officers, directors or advisors,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advisors or our or their affiliates. Any such payments prior to an initial business combination will be made using funds to be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583"/>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ind w:firstLine="583"/>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Committees of the Board of Directors</w:t>
      </w:r>
    </w:p>
    <w:p>
      <w:pPr>
        <w:spacing w:after="0" w:line="225"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7"/>
          <w:szCs w:val="17"/>
          <w:color w:val="auto"/>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We have established an audit committee of the board of directors. Messrs. Lehmann and Hofmockel and Ms. Kono serve as members of our audit committee, and Mr. Lehmann chairs the audit committee. Under the Nasdaq listing standards and applicable SEC rules, we are required to have at least three members of the audit committee, all of whom must be independent. Each of Messrs. Lehmann and Hofmockel and Ms. Kono meet the independent director standard under Nasdaq listing standards and under Rule 10-A-3(b)(1) of the Exchange Act.</w:t>
      </w:r>
    </w:p>
    <w:p>
      <w:pPr>
        <w:spacing w:after="0" w:line="171" w:lineRule="exact"/>
        <w:rPr>
          <w:sz w:val="20"/>
          <w:szCs w:val="20"/>
          <w:color w:val="auto"/>
        </w:rPr>
      </w:pPr>
    </w:p>
    <w:p>
      <w:pPr>
        <w:jc w:val="both"/>
        <w:ind w:right="20" w:firstLine="583"/>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Lehmann qualifies as an “audit committee financial expert” as defined in applicable SEC rules.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ind w:left="1000" w:right="20" w:hanging="344"/>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56"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56"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56" w:lineRule="exact"/>
        <w:rPr>
          <w:rFonts w:ascii="Arial" w:cs="Arial" w:eastAsia="Arial" w:hAnsi="Arial"/>
          <w:sz w:val="18"/>
          <w:szCs w:val="18"/>
          <w:color w:val="auto"/>
        </w:rPr>
      </w:pPr>
    </w:p>
    <w:p>
      <w:pPr>
        <w:ind w:left="1000" w:hanging="344"/>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11" w:lineRule="exact"/>
        <w:rPr>
          <w:rFonts w:ascii="Arial" w:cs="Arial" w:eastAsia="Arial" w:hAnsi="Arial"/>
          <w:sz w:val="18"/>
          <w:szCs w:val="18"/>
          <w:color w:val="auto"/>
        </w:rPr>
      </w:pPr>
    </w:p>
    <w:p>
      <w:pPr>
        <w:jc w:val="both"/>
        <w:ind w:left="1000" w:right="20" w:hanging="344"/>
        <w:spacing w:after="0" w:line="255"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1000" w:right="20" w:hanging="344"/>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56" w:lineRule="exact"/>
        <w:rPr>
          <w:rFonts w:ascii="Arial" w:cs="Arial" w:eastAsia="Arial" w:hAnsi="Arial"/>
          <w:sz w:val="18"/>
          <w:szCs w:val="18"/>
          <w:color w:val="auto"/>
        </w:rPr>
      </w:pPr>
    </w:p>
    <w:p>
      <w:pPr>
        <w:jc w:val="both"/>
        <w:ind w:left="1000" w:right="20" w:hanging="344"/>
        <w:spacing w:after="0" w:line="30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consolidated financial statements or accounting policies and any significant changes in accounting standards or rules promulgated by the Financial Accounting Standards Board, the SEC or other regulatory authorities.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We have established a compensation committee of the board of directors. Ms. Kono and Messrs. Lehmann and Hofmockel serve as members of our compensation committee. Under the Nasdaq listing standards and applicable SEC rules, we are required to have at least two members of the compensation committee, all of whom must be independent. Ms. O’Keefe and Messrs. Lehmann and Hofmockel are independent and Ms. Kono chairs the compensation committee.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jc w:val="both"/>
        <w:ind w:left="1000" w:right="20" w:hanging="344"/>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11"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56"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Notwithstanding the foregoing, as indicated above, other than the payment to an affiliate of our sponsor of $10,000 per month, for up to 18 months, for office space, utilities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583"/>
        <w:spacing w:after="0" w:line="259"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Director Nominations</w:t>
      </w:r>
    </w:p>
    <w:p>
      <w:pPr>
        <w:spacing w:after="0" w:line="225"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Lehmann and Hofmockel and Ms. Kono. In accordance with Rule 5605 of the Nasdaq rules, all such directors are independent. As there is no standing nominating committee, we do not have a nominating committee charter in place.</w:t>
      </w:r>
    </w:p>
    <w:p>
      <w:pPr>
        <w:spacing w:after="0" w:line="195"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65"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225"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Documents</w:t>
      </w:r>
    </w:p>
    <w:p>
      <w:pPr>
        <w:spacing w:after="0" w:line="229" w:lineRule="exact"/>
        <w:rPr>
          <w:sz w:val="20"/>
          <w:szCs w:val="20"/>
          <w:color w:val="auto"/>
        </w:rPr>
      </w:pPr>
    </w:p>
    <w:p>
      <w:pPr>
        <w:jc w:val="both"/>
        <w:ind w:firstLine="583"/>
        <w:spacing w:after="0" w:line="301" w:lineRule="auto"/>
        <w:rPr>
          <w:sz w:val="20"/>
          <w:szCs w:val="20"/>
          <w:color w:val="auto"/>
        </w:rPr>
      </w:pPr>
      <w:r>
        <w:rPr>
          <w:rFonts w:ascii="Arial" w:cs="Arial" w:eastAsia="Arial" w:hAnsi="Arial"/>
          <w:sz w:val="16"/>
          <w:szCs w:val="16"/>
          <w:color w:val="auto"/>
        </w:rPr>
        <w:t>We have filed a copy of our form of Code of Ethics, our audit committee charter, our nominating committee charter and compensation committee charter as exhibits to the registration statement filed in connection with our initial public offering.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Section 16(a) of the Exchange Act</w:t>
      </w:r>
    </w:p>
    <w:p>
      <w:pPr>
        <w:spacing w:after="0" w:line="225"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reports applicable to our executive officers, directors and greater than 10% beneficial owners were filed in a timely manner in accordance with Section 16(a) of the Exchange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9" w:lineRule="exact"/>
        <w:rPr>
          <w:sz w:val="20"/>
          <w:szCs w:val="20"/>
          <w:color w:val="auto"/>
        </w:rPr>
      </w:pPr>
    </w:p>
    <w:p>
      <w:pPr>
        <w:jc w:val="both"/>
        <w:ind w:firstLine="583"/>
        <w:spacing w:after="0" w:line="253" w:lineRule="auto"/>
        <w:rPr>
          <w:sz w:val="20"/>
          <w:szCs w:val="20"/>
          <w:color w:val="auto"/>
        </w:rPr>
      </w:pPr>
      <w:r>
        <w:rPr>
          <w:rFonts w:ascii="Arial" w:cs="Arial" w:eastAsia="Arial" w:hAnsi="Arial"/>
          <w:sz w:val="18"/>
          <w:szCs w:val="18"/>
          <w:color w:val="auto"/>
        </w:rPr>
        <w:t>None of our officers has received any cash compensation for services rendered to us. We pay an affiliate of our sponsor a total of $10,000 per month for office space, utilities and administrative support. Upon completion of our initial business combination or our liquidation, we will cease paying these monthly fees. No compensation of any kind, including any finder’s fee, reimbursement, consulting fee or monies in respect of any payment of a loan, will be paid by us to our sponsor, officers and directors, or any affiliate of our sponsor or officers, prior to, or in connection with any services rendered in order to effectuate, the consummation of our initial business combination (regardless of the type of transaction that it is). However, these individuals are reimbursed for any out-of-pocket expenses incurred in connection with activities on our behalf such as identifying potential target businesses and performing due diligence on suitable business combinations. Any such payments prior to an initial business combination will be made using funds held outside the trust account. Other than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194"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ind w:firstLine="583"/>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1, 2021 based on information obtained from the persons named below, with respect to the beneficial ownership of shares of our common stock, by:</w:t>
      </w:r>
    </w:p>
    <w:p>
      <w:pPr>
        <w:spacing w:after="0" w:line="170" w:lineRule="exact"/>
        <w:rPr>
          <w:sz w:val="20"/>
          <w:szCs w:val="20"/>
          <w:color w:val="auto"/>
        </w:rPr>
      </w:pPr>
    </w:p>
    <w:p>
      <w:pPr>
        <w:ind w:left="1000" w:hanging="344"/>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shares of our common stock; and</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583"/>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89"/>
              </w:rPr>
              <w:t>Class A Common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Class B Common</w:t>
            </w:r>
          </w:p>
        </w:tc>
        <w:tc>
          <w:tcPr>
            <w:tcW w:w="0" w:type="dxa"/>
            <w:vAlign w:val="bottom"/>
          </w:tcPr>
          <w:p>
            <w:pPr>
              <w:spacing w:after="0"/>
              <w:rPr>
                <w:sz w:val="1"/>
                <w:szCs w:val="1"/>
                <w:color w:val="auto"/>
              </w:rPr>
            </w:pPr>
          </w:p>
        </w:tc>
      </w:tr>
      <w:tr>
        <w:trPr>
          <w:trHeight w:val="241"/>
        </w:trPr>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5"/>
              </w:rPr>
              <w:t>Stock</w:t>
            </w: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5"/>
              </w:rPr>
              <w:t>Stock</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420"/>
              <w:spacing w:after="0" w:line="202" w:lineRule="exact"/>
              <w:rPr>
                <w:sz w:val="20"/>
                <w:szCs w:val="20"/>
                <w:color w:val="auto"/>
              </w:rPr>
            </w:pPr>
            <w:r>
              <w:rPr>
                <w:rFonts w:ascii="Arial" w:cs="Arial" w:eastAsia="Arial" w:hAnsi="Arial"/>
                <w:sz w:val="18"/>
                <w:szCs w:val="18"/>
                <w:b w:val="1"/>
                <w:bCs w:val="1"/>
                <w:color w:val="auto"/>
                <w:w w:val="93"/>
              </w:rPr>
              <w:t>Number of</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center"/>
              <w:ind w:right="420"/>
              <w:spacing w:after="0" w:line="202" w:lineRule="exact"/>
              <w:rPr>
                <w:sz w:val="20"/>
                <w:szCs w:val="20"/>
                <w:color w:val="auto"/>
              </w:rPr>
            </w:pPr>
            <w:r>
              <w:rPr>
                <w:rFonts w:ascii="Arial" w:cs="Arial" w:eastAsia="Arial" w:hAnsi="Arial"/>
                <w:sz w:val="18"/>
                <w:szCs w:val="18"/>
                <w:b w:val="1"/>
                <w:bCs w:val="1"/>
                <w:color w:val="auto"/>
                <w:w w:val="93"/>
              </w:rPr>
              <w:t>Number of</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Shares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20" w:type="dxa"/>
            <w:vAlign w:val="bottom"/>
            <w:vMerge w:val="restart"/>
          </w:tcPr>
          <w:p>
            <w:pPr>
              <w:spacing w:after="0"/>
              <w:rPr>
                <w:sz w:val="18"/>
                <w:szCs w:val="18"/>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Beneficially</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Beneficially</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Class</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(2)</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Class</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SRC-NI Holdings, LLC</w:t>
            </w:r>
            <w:r>
              <w:rPr>
                <w:rFonts w:ascii="Arial" w:cs="Arial" w:eastAsia="Arial" w:hAnsi="Arial"/>
                <w:sz w:val="29"/>
                <w:szCs w:val="29"/>
                <w:color w:val="auto"/>
                <w:vertAlign w:val="superscript"/>
              </w:rPr>
              <w:t>(1) (2)</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4,136,029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Brian Kabot</w:t>
            </w:r>
            <w:r>
              <w:rPr>
                <w:rFonts w:ascii="Arial" w:cs="Arial" w:eastAsia="Arial" w:hAnsi="Arial"/>
                <w:sz w:val="29"/>
                <w:szCs w:val="29"/>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495,000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w:t>
            </w:r>
          </w:p>
        </w:tc>
        <w:tc>
          <w:tcPr>
            <w:tcW w:w="980" w:type="dxa"/>
            <w:vAlign w:val="bottom"/>
          </w:tcPr>
          <w:p>
            <w:pPr>
              <w:jc w:val="right"/>
              <w:spacing w:after="0"/>
              <w:rPr>
                <w:sz w:val="20"/>
                <w:szCs w:val="20"/>
                <w:color w:val="auto"/>
              </w:rPr>
            </w:pPr>
            <w:r>
              <w:rPr>
                <w:rFonts w:ascii="Arial" w:cs="Arial" w:eastAsia="Arial" w:hAnsi="Arial"/>
                <w:sz w:val="18"/>
                <w:szCs w:val="18"/>
                <w:color w:val="auto"/>
              </w:rPr>
              <w:t>4,136,029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63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Juan Manuel Quiroga</w:t>
            </w:r>
            <w:r>
              <w:rPr>
                <w:rFonts w:ascii="Arial" w:cs="Arial" w:eastAsia="Arial" w:hAnsi="Arial"/>
                <w:sz w:val="29"/>
                <w:szCs w:val="29"/>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4,136,029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63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Edward K. Freedman</w:t>
            </w:r>
            <w:r>
              <w:rPr>
                <w:rFonts w:ascii="Arial" w:cs="Arial" w:eastAsia="Arial" w:hAnsi="Arial"/>
                <w:sz w:val="29"/>
                <w:szCs w:val="29"/>
                <w:color w:val="auto"/>
                <w:vertAlign w:val="superscript"/>
              </w:rPr>
              <w:t>(1)(3)</w:t>
            </w:r>
          </w:p>
        </w:tc>
        <w:tc>
          <w:tcPr>
            <w:tcW w:w="1000" w:type="dxa"/>
            <w:vAlign w:val="bottom"/>
          </w:tcPr>
          <w:p>
            <w:pPr>
              <w:jc w:val="right"/>
              <w:spacing w:after="0"/>
              <w:rPr>
                <w:sz w:val="20"/>
                <w:szCs w:val="20"/>
                <w:color w:val="auto"/>
              </w:rPr>
            </w:pPr>
            <w:r>
              <w:rPr>
                <w:rFonts w:ascii="Arial" w:cs="Arial" w:eastAsia="Arial" w:hAnsi="Arial"/>
                <w:sz w:val="18"/>
                <w:szCs w:val="18"/>
                <w:color w:val="auto"/>
              </w:rPr>
              <w:t>495,000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w:t>
            </w:r>
          </w:p>
        </w:tc>
        <w:tc>
          <w:tcPr>
            <w:tcW w:w="980" w:type="dxa"/>
            <w:vAlign w:val="bottom"/>
          </w:tcPr>
          <w:p>
            <w:pPr>
              <w:jc w:val="right"/>
              <w:spacing w:after="0"/>
              <w:rPr>
                <w:sz w:val="20"/>
                <w:szCs w:val="20"/>
                <w:color w:val="auto"/>
              </w:rPr>
            </w:pPr>
            <w:r>
              <w:rPr>
                <w:rFonts w:ascii="Arial" w:cs="Arial" w:eastAsia="Arial" w:hAnsi="Arial"/>
                <w:sz w:val="18"/>
                <w:szCs w:val="18"/>
                <w:color w:val="auto"/>
              </w:rPr>
              <w:t>4,312,500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Norris</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Marc Lehmann</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Hofmockel</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Ann Kono</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executive officers and directors as a group (7 individuals)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63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HGC Investment Management Inc.</w:t>
            </w:r>
            <w:r>
              <w:rPr>
                <w:rFonts w:ascii="Arial" w:cs="Arial" w:eastAsia="Arial" w:hAnsi="Arial"/>
                <w:sz w:val="29"/>
                <w:szCs w:val="29"/>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1,487,170</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8.4%</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3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683 Capital Management, LLC</w:t>
            </w:r>
            <w:r>
              <w:rPr>
                <w:rFonts w:ascii="Arial" w:cs="Arial" w:eastAsia="Arial" w:hAnsi="Arial"/>
                <w:sz w:val="29"/>
                <w:szCs w:val="29"/>
                <w:color w:val="auto"/>
                <w:vertAlign w:val="superscript"/>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962,892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Susquehanna Securities, LLC</w:t>
            </w:r>
            <w:r>
              <w:rPr>
                <w:rFonts w:ascii="Arial" w:cs="Arial" w:eastAsia="Arial" w:hAnsi="Arial"/>
                <w:sz w:val="29"/>
                <w:szCs w:val="29"/>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1,171,717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6.6%</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ind w:left="340" w:right="20" w:hanging="332"/>
        <w:spacing w:after="0" w:line="275"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SRC-NI Holdings, LLC, our sponsor, is the record holder of the shares reported herein. Each of our officers and directors is, directly or indirectly, a member of our sponsor. The business address of our sponsor is 1345 Abbot Kinney Blvd., Venice, California 90291. Our sponsor’s board of managers is comprised of Edward K. Freedman, Brian Kabot and Juan Manuel Quiroga. Consequently, each of these individuals may be deemed the beneficial owner of the founder shares held by our sponsor and shares voting and dispositive control over such securities. Each of these individuals disclaims beneficial ownership over any securities owned by our sponsor in which he does not have any pecuniary interest.</w:t>
      </w:r>
    </w:p>
    <w:p>
      <w:pPr>
        <w:spacing w:after="0" w:line="162"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Founder shares are convertible into shares of Class A common stock on a one-for-one basis, subject to adjustment.</w:t>
      </w:r>
    </w:p>
    <w:p>
      <w:pPr>
        <w:spacing w:after="0" w:line="156" w:lineRule="exact"/>
        <w:rPr>
          <w:rFonts w:ascii="Arial" w:cs="Arial" w:eastAsia="Arial" w:hAnsi="Arial"/>
          <w:sz w:val="18"/>
          <w:szCs w:val="18"/>
          <w:color w:val="auto"/>
        </w:rPr>
      </w:pPr>
    </w:p>
    <w:p>
      <w:pPr>
        <w:jc w:val="both"/>
        <w:ind w:left="340" w:right="2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176,471 founder shares held by SRAC PIPE Partners LLC (“SRAC Partners”). Stable Road Capital LLC is the managing member of SRAC Partners, and Edward Freedman is the sole member of Stable Road Capital LLC. As such, Mr. Freedman may be deemed to possess beneficial ownership of the securities held directly by SRAC Partners. Mr. Freedman disclaims any beneficial ownership of the securities held directly by SRAC Partners other than to the extent of any pecuniary interest he may have therein.</w:t>
      </w:r>
    </w:p>
    <w:p>
      <w:pPr>
        <w:spacing w:after="0" w:line="173" w:lineRule="exact"/>
        <w:rPr>
          <w:rFonts w:ascii="Arial" w:cs="Arial" w:eastAsia="Arial" w:hAnsi="Arial"/>
          <w:sz w:val="18"/>
          <w:szCs w:val="18"/>
          <w:color w:val="auto"/>
        </w:rPr>
      </w:pPr>
    </w:p>
    <w:p>
      <w:pPr>
        <w:jc w:val="both"/>
        <w:ind w:left="340" w:right="2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Schedule 13G filed with the SEC on February 14, 2020 by HGC Investment Management Inc. HGC Investment Management Inc. serves as the investment manager to HGC Arbitrage Fund LP, an Ontario limited partnership (the “Fund”), with respect to the Class A common stock held by HGC Investment Management Inc. on behalf of the Fund. The business address of HGC Investment Management Inc. is 366 Adelaide, Suite 601, Toronto, Ontario M5V 1R9, Canada.</w:t>
      </w:r>
    </w:p>
    <w:p>
      <w:pPr>
        <w:spacing w:after="0" w:line="17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13G/A filed with the SEC on February 16, 2021 by 683 Capital Management, LLC, 683 Capital Partners, LP and Ari Zweiman. The business address of each of the foregoing is 3 Columbus Circle, Suite 2205, New York, NY 10019.</w:t>
      </w:r>
    </w:p>
    <w:p>
      <w:pPr>
        <w:spacing w:after="0" w:line="15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February 16, 2021 by Susquehanna Securities, LLC. The business address of the foregoing is 401 E. City Avenue Suite 220, Bala Cynwyd, PA 19004.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583"/>
        <w:spacing w:after="0" w:line="277" w:lineRule="auto"/>
        <w:rPr>
          <w:sz w:val="20"/>
          <w:szCs w:val="20"/>
          <w:color w:val="auto"/>
        </w:rPr>
      </w:pPr>
      <w:r>
        <w:rPr>
          <w:rFonts w:ascii="Arial" w:cs="Arial" w:eastAsia="Arial" w:hAnsi="Arial"/>
          <w:sz w:val="18"/>
          <w:szCs w:val="18"/>
          <w:color w:val="auto"/>
        </w:rPr>
        <w:t>The table above does not include the shares of common stock underlying the private placement warrants held by our sponsor because these securities are not exercisable within 60 days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25"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In June 2019, we issued an aggregate of 4,312,500 founder shares to our sponsor for an aggregate purchase price of $25,000 in cash, or approximately $0.006 per share. The number of founder shares issued was determined based on the expectation that such founder shares would represent 20% of the outstanding shares upon completion of our initial public offering (excluding the placement units and underlying securities). The founder shares (including the Class A common stock issuable upon exercise thereof) may not, subject to certain limited exceptions, be transferred, assigned or sold by the holder.</w:t>
      </w:r>
    </w:p>
    <w:p>
      <w:pPr>
        <w:spacing w:after="0" w:line="188"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7"/>
          <w:szCs w:val="17"/>
          <w:color w:val="auto"/>
        </w:rPr>
        <w:t>Our sponsor and Cantor purchased an aggregate of 545,000 placement units at a price of $10.00 per unit, for a purchase price of $5,450,000. There will be no redemption rights or liquidating distributions from the trust account with respect to the founder shares, placement shares or placement warrants, which will expire worthless if we do not consummate a business combination within the allotted 18 month period.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pay Stable Road Capital, LLC, an affiliate of our sponsor, a total of $10,000 per month for office space, utilities and administrative support.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completion of our initial business combination or our liquidation, we will cease paying these monthly fees.</w:t>
      </w:r>
    </w:p>
    <w:p>
      <w:pPr>
        <w:spacing w:after="0" w:line="211"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Other than the foregoing, no compensation of any kind, including any finder’s fee, reimbursement, consulting fee or monies in respect of any payment of a loan, will be paid by us to our sponsor, officers, directors or advisors or any affiliate of our sponsor, officers, directors or advisors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advisors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92" w:lineRule="exact"/>
        <w:rPr>
          <w:sz w:val="20"/>
          <w:szCs w:val="20"/>
          <w:color w:val="auto"/>
        </w:rPr>
      </w:pPr>
    </w:p>
    <w:p>
      <w:pPr>
        <w:jc w:val="both"/>
        <w:ind w:firstLine="583"/>
        <w:spacing w:after="0" w:line="253"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to be held outside the trust account to repay such loaned amounts but no proceeds from our trust account would be used for such repayment. Up to $1,500,000 of such loans may be convertible into units, at a price of $10.00 per unit at the option of the lender, upon consummation of our initial business combination. The units would be identical to the placement units.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96"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In February 2021, Stable Road Capital and DIBALYD Investments, an affiliate of Nala Investments, each loaned $300,000 to us pursuant to non-interest bearing promissory notes in order to finance transaction and working capital costs. The promissory notes mature upon the earlier of June 30, 2021 or the consummation of our initial business combination.</w:t>
      </w:r>
    </w:p>
    <w:p>
      <w:pPr>
        <w:spacing w:after="0" w:line="184" w:lineRule="exact"/>
        <w:rPr>
          <w:sz w:val="20"/>
          <w:szCs w:val="20"/>
          <w:color w:val="auto"/>
        </w:rPr>
      </w:pPr>
    </w:p>
    <w:p>
      <w:pPr>
        <w:jc w:val="both"/>
        <w:ind w:firstLine="583"/>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583"/>
        <w:spacing w:after="0" w:line="301" w:lineRule="auto"/>
        <w:rPr>
          <w:sz w:val="20"/>
          <w:szCs w:val="20"/>
          <w:color w:val="auto"/>
        </w:rPr>
      </w:pPr>
      <w:r>
        <w:rPr>
          <w:rFonts w:ascii="Arial" w:cs="Arial" w:eastAsia="Arial" w:hAnsi="Arial"/>
          <w:sz w:val="16"/>
          <w:szCs w:val="16"/>
          <w:color w:val="auto"/>
        </w:rPr>
        <w:t>The holders of the founder shares, placement units, and units that may be issued upon conversion of working capital loans (and in each case holders of their component securities, as applicable) will have registration rights to require us to register a sale of any of our securities held by them.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in Connection with Proposed Business Combination with Momentus</w:t>
      </w:r>
    </w:p>
    <w:p>
      <w:pPr>
        <w:spacing w:after="0" w:line="225"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6"/>
          <w:szCs w:val="16"/>
          <w:color w:val="auto"/>
        </w:rPr>
        <w:t xml:space="preserve">Concurrently with the execution of the Merger Agreement, our sponsor, SRAC Partners, Momentus and SRAC entered into a letter agreement (the “Sponsor Agreement”), pursuant to which, among other things, our sponsor agreed to (a) waive certain anti-dilution rights set forth in Section 4.3(b)(ii) of our amended and restated certificate of incorporation, (b) surrender to SRAC, immediately prior to the consummation of the Mergers and for no consideration, up to 1,437,500 shares of Class B common stock in the event that the amount in our trust account (for the avoidance of doubt, prior to giving effect to the any redemptions by our stockholders and the payment of any transaction costs by us),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cash proceeds that will be required to satisfy any redemptions by our stockholders, is less than $100,000,000, (c) subject to potential forfeiture 1,437,000 shares of Class A common stock (the “Sponsor Earnout Shares”) in accordance with the terms of the Merger Agreement, such that one-third of such Sponsor Earnout Shares will be respectively forfeited in the event that the Class A common stock does not achieve trading prices of at least $12.50, $15.00 and $17.50 (as such trading prices may be adjusted for any dividend, subdivision, stock split or similar event, and as determined by reference to the volume-weighted average price achieved for at least 20 out of 30 consecutive trading days) prior to the fifth (5th) anniversary of the Closing (and provided that, in connection with any change of control of SRAC prior to such five-year anniversary, such Sponsor Earnout Shares shall become no longer subject to forfeiture based upon the value received by holders of Class A common stock being at least such trading prices in connection with such change of control), (d) support the transactions contemplated by the Merger Agreement, including agreeing to vote in favor of the adoption of the Merger Agreement at the special meeting of stockholders and (e) not to transfer any shares of Class A common stock for a period of six months following the Closing (or, if earlier, the date that the Class A common stock trades at or above $12.00 per share for any 20 trading days in a 30 trading day period after Closing).</w:t>
      </w:r>
    </w:p>
    <w:p>
      <w:pPr>
        <w:spacing w:after="0" w:line="167"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In addition, at the consummation of the Mergers, SRAC, our sponsor, certain existing holder(s) of our common stock (including SRAC Partners) and certain stockholders of Momentus, in each case who will receive Class A common stock pursuant to the Merger Agreement and the transactions contemplated thereby will enter into an Amended and Restated Registration Rights Agreement (the “Registration Rights Agreement”) in respect of the shares of Class A common stock issued to our sponsor and such Momentus stockholders in connection with the Proposed Transaction. Pursuant to such agreement, such holders and their permitted transferees will be entitled to certain customary registration rights, including, among other things, demand, shelf and piggy-back rights, subject to cut-back provisions. Pursuant to the Registration Rights Agreement, our sponsor and SRAC Partners will agree not to sell, transfer, pledge or otherwise dispose of shares of Class A common stock or other securities exercisable therefor for certain time periods specified therein.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Related Party Policy</w:t>
      </w:r>
    </w:p>
    <w:p>
      <w:pPr>
        <w:spacing w:after="0" w:line="225"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6"/>
          <w:szCs w:val="16"/>
          <w:color w:val="auto"/>
        </w:rPr>
        <w:t>Our audit committee must review and approve any related person transaction we propose to enter into. Our audit committee charter details the policies and procedures relating to transactions that may present actual, potential or perceived conflicts of interest and may raise questions as to whether such transactions are consistent with the best interest of our company and our stockholders. A summary of such policies and procedures is set forth below.</w:t>
      </w:r>
    </w:p>
    <w:p>
      <w:pPr>
        <w:spacing w:after="0" w:line="149" w:lineRule="exact"/>
        <w:rPr>
          <w:sz w:val="20"/>
          <w:szCs w:val="20"/>
          <w:color w:val="auto"/>
        </w:rPr>
      </w:pPr>
    </w:p>
    <w:p>
      <w:pPr>
        <w:jc w:val="both"/>
        <w:ind w:firstLine="583"/>
        <w:spacing w:after="0" w:line="301" w:lineRule="auto"/>
        <w:rPr>
          <w:sz w:val="20"/>
          <w:szCs w:val="20"/>
          <w:color w:val="auto"/>
        </w:rPr>
      </w:pPr>
      <w:r>
        <w:rPr>
          <w:rFonts w:ascii="Arial" w:cs="Arial" w:eastAsia="Arial" w:hAnsi="Arial"/>
          <w:sz w:val="16"/>
          <w:szCs w:val="16"/>
          <w:color w:val="auto"/>
        </w:rPr>
        <w:t>Any potential related party transaction that is brought to the audit committee’s attention will be analyzed by the audit committee, in consultation with outside counsel or members of management, as appropriate, to determine whether the transaction or relationship does, in fact, constitute a related party transaction. At its meetings, the audit committee will be provided with the details of each new, existing or proposed related party transaction, including the terms of the transaction, the business purpose of the transaction and the benefits to us and to the relevant related party.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firstLine="583"/>
        <w:spacing w:after="0" w:line="277" w:lineRule="auto"/>
        <w:rPr>
          <w:sz w:val="20"/>
          <w:szCs w:val="20"/>
          <w:color w:val="auto"/>
        </w:rPr>
      </w:pPr>
      <w:r>
        <w:rPr>
          <w:rFonts w:ascii="Arial" w:cs="Arial" w:eastAsia="Arial" w:hAnsi="Arial"/>
          <w:sz w:val="18"/>
          <w:szCs w:val="18"/>
          <w:color w:val="auto"/>
        </w:rPr>
        <w:t>In determining whether to approve a related party transaction, the audit committee must consider, among other factors, the following factors to the extent relevant:</w:t>
      </w:r>
    </w:p>
    <w:p>
      <w:pPr>
        <w:spacing w:after="0" w:line="170" w:lineRule="exact"/>
        <w:rPr>
          <w:sz w:val="20"/>
          <w:szCs w:val="20"/>
          <w:color w:val="auto"/>
        </w:rPr>
      </w:pPr>
    </w:p>
    <w:p>
      <w:pPr>
        <w:ind w:left="1000" w:hanging="344"/>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the terms of the transaction are fair to us and on the same basis as would apply if the transaction did not involve a related party;</w:t>
      </w:r>
    </w:p>
    <w:p>
      <w:pPr>
        <w:spacing w:after="0" w:line="234" w:lineRule="exact"/>
        <w:rPr>
          <w:rFonts w:ascii="Arial" w:cs="Arial" w:eastAsia="Arial" w:hAnsi="Arial"/>
          <w:sz w:val="16"/>
          <w:szCs w:val="16"/>
          <w:color w:val="auto"/>
        </w:rPr>
      </w:pPr>
    </w:p>
    <w:p>
      <w:pPr>
        <w:ind w:left="1000" w:hanging="34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there are business reasons for us to enter into the transaction;</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 and</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w:t>
      </w:r>
    </w:p>
    <w:p>
      <w:pPr>
        <w:spacing w:after="0" w:line="225"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7"/>
          <w:szCs w:val="17"/>
          <w:color w:val="auto"/>
        </w:rPr>
        <w:t>Any member of the audit committee who has an interest in the transaction under discussion must abstain from any voting regarding the transaction, but may, if so requested by the chairman of the audit committee, participate in some or all of the audit committee’s discussions of the transaction. Upon completion of its review of the transaction, the audit committee may determine to permit or to prohibit the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583"/>
        <w:spacing w:after="0" w:line="296"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Messrs. Lehmann and Hofmockel and Ms. Kono are “independent directors” as defined in the Nasdaq listing standards and applicable SEC rules. Our independent directors have regularly scheduled meetings at which only independent directors are present.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Item 14</w:t>
      </w:r>
      <w:r>
        <w:rPr>
          <w:rFonts w:ascii="Arial" w:cs="Arial" w:eastAsia="Arial" w:hAnsi="Arial"/>
          <w:sz w:val="18"/>
          <w:szCs w:val="18"/>
          <w:i w:val="1"/>
          <w:iCs w:val="1"/>
          <w:color w:val="auto"/>
        </w:rPr>
        <w:t>.</w:t>
      </w:r>
      <w:r>
        <w:rPr>
          <w:rFonts w:ascii="Arial" w:cs="Arial" w:eastAsia="Arial" w:hAnsi="Arial"/>
          <w:sz w:val="18"/>
          <w:szCs w:val="18"/>
          <w:color w:val="auto"/>
        </w:rPr>
        <w:t xml:space="preserve"> Principal Accountant Fees and Services.</w:t>
      </w:r>
    </w:p>
    <w:p>
      <w:pPr>
        <w:spacing w:after="0" w:line="225" w:lineRule="exact"/>
        <w:rPr>
          <w:sz w:val="20"/>
          <w:szCs w:val="20"/>
          <w:color w:val="auto"/>
        </w:rPr>
      </w:pPr>
    </w:p>
    <w:p>
      <w:pPr>
        <w:jc w:val="both"/>
        <w:ind w:right="20" w:firstLine="583"/>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ind w:right="20" w:firstLine="583"/>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year ended December 31, 2020 and for the period from May 28, 2019 (inception) through December 31, 2019, fees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were $71,530 and $43,775, respectively, for the services Withum performed in connection with our Initial Public Offering and the audits of our consolidated financial statements.</w:t>
      </w:r>
    </w:p>
    <w:p>
      <w:pPr>
        <w:spacing w:after="0" w:line="184"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2020 and for the period from May 28, 2019 (inception) through December 31, 2019,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did not render assurance and related services related to the performance of the audit or review of consolidated financial statements.</w:t>
      </w:r>
    </w:p>
    <w:p>
      <w:pPr>
        <w:spacing w:after="0" w:line="184" w:lineRule="exact"/>
        <w:rPr>
          <w:sz w:val="20"/>
          <w:szCs w:val="20"/>
          <w:color w:val="auto"/>
        </w:rPr>
      </w:pPr>
    </w:p>
    <w:p>
      <w:pPr>
        <w:jc w:val="both"/>
        <w:ind w:firstLine="583"/>
        <w:spacing w:after="0" w:line="286" w:lineRule="auto"/>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For the year ended December 31, 2020, fees for our independent registered public accounting firm were approximately $5,500 for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Withum performed relating to tax compliance, tax advice and tax planning. For the period from May 28, 2019 (inception) through December 31, 2019, our independent registered public accounting firm did not render services to us for tax compliance, tax advice and tax planning.</w:t>
      </w:r>
    </w:p>
    <w:p>
      <w:pPr>
        <w:spacing w:after="0" w:line="165" w:lineRule="exact"/>
        <w:rPr>
          <w:sz w:val="20"/>
          <w:szCs w:val="20"/>
          <w:color w:val="auto"/>
        </w:rPr>
      </w:pPr>
    </w:p>
    <w:p>
      <w:pPr>
        <w:jc w:val="both"/>
        <w:ind w:firstLine="583"/>
        <w:spacing w:after="0" w:line="308" w:lineRule="auto"/>
        <w:rPr>
          <w:sz w:val="20"/>
          <w:szCs w:val="20"/>
          <w:color w:val="auto"/>
        </w:rPr>
      </w:pPr>
      <w:r>
        <w:rPr>
          <w:rFonts w:ascii="Arial" w:cs="Arial" w:eastAsia="Arial" w:hAnsi="Arial"/>
          <w:sz w:val="17"/>
          <w:szCs w:val="17"/>
          <w:i w:val="1"/>
          <w:iCs w:val="1"/>
          <w:color w:val="auto"/>
        </w:rPr>
        <w:t>All Other Fees</w:t>
      </w:r>
      <w:r>
        <w:rPr>
          <w:rFonts w:ascii="Arial" w:cs="Arial" w:eastAsia="Arial" w:hAnsi="Arial"/>
          <w:sz w:val="17"/>
          <w:szCs w:val="17"/>
          <w:color w:val="auto"/>
        </w:rPr>
        <w:t>. For the year ended December 31, 2020 and for the period from May 28, 2019 (inception) through December 31, 2019, there were</w:t>
      </w:r>
      <w:r>
        <w:rPr>
          <w:rFonts w:ascii="Arial" w:cs="Arial" w:eastAsia="Arial" w:hAnsi="Arial"/>
          <w:sz w:val="17"/>
          <w:szCs w:val="17"/>
          <w:i w:val="1"/>
          <w:iCs w:val="1"/>
          <w:color w:val="auto"/>
        </w:rPr>
        <w:t xml:space="preserve"> </w:t>
      </w:r>
      <w:r>
        <w:rPr>
          <w:rFonts w:ascii="Arial" w:cs="Arial" w:eastAsia="Arial" w:hAnsi="Arial"/>
          <w:sz w:val="17"/>
          <w:szCs w:val="17"/>
          <w:color w:val="auto"/>
        </w:rPr>
        <w:t>no fees billed for products and services provided by our independent registered public accounting firm other than those set forth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Pre-Approval Policy</w:t>
      </w:r>
    </w:p>
    <w:p>
      <w:pPr>
        <w:spacing w:after="0" w:line="225" w:lineRule="exact"/>
        <w:rPr>
          <w:sz w:val="20"/>
          <w:szCs w:val="20"/>
          <w:color w:val="auto"/>
        </w:rPr>
      </w:pPr>
    </w:p>
    <w:p>
      <w:pPr>
        <w:jc w:val="both"/>
        <w:ind w:firstLine="583"/>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Consolidated </w:t>
      </w:r>
      <w:r>
        <w:rPr>
          <w:rFonts w:ascii="Arial" w:cs="Arial" w:eastAsia="Arial" w:hAnsi="Arial"/>
          <w:sz w:val="18"/>
          <w:szCs w:val="18"/>
          <w:u w:val="single" w:color="auto"/>
          <w:color w:val="auto"/>
        </w:rPr>
        <w:t>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 Schedule</w:t>
      </w:r>
    </w:p>
    <w:p>
      <w:pPr>
        <w:spacing w:after="0" w:line="252" w:lineRule="exact"/>
        <w:rPr>
          <w:sz w:val="20"/>
          <w:szCs w:val="20"/>
          <w:color w:val="auto"/>
        </w:rPr>
      </w:pPr>
    </w:p>
    <w:p>
      <w:pPr>
        <w:ind w:right="20" w:firstLine="583"/>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amounts are immaterial and not required, or the required information is presented in the consolidated financial statements and notes thereto in is Item 15 of Part IV below.</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0" w:type="dxa"/>
            <w:vAlign w:val="bottom"/>
            <w:gridSpan w:val="16"/>
          </w:tcPr>
          <w:p>
            <w:pPr>
              <w:ind w:left="88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gridSpan w:val="15"/>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77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Underwriting Agreement, dated November 7, 2019, between the Company and Cantor Fitzgerald &amp; Co. (2)</w:t>
              </w:r>
            </w:hyperlink>
          </w:p>
        </w:tc>
        <w:tc>
          <w:tcPr>
            <w:tcW w:w="248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Merger Agreement, dated as of October 7, 2020, by and among the Company, Project Marvel First Merger Sub, Inc., Project Marvel Second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Merger Sub, LLC, and Momentus Inc. (1)</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Amended and Restated Certificate of Incorporation (2)</w:t>
              </w:r>
            </w:hyperlink>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23"/>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Amendment to Amended and Restated Certificate of Incorporation (3)</w:t>
              </w:r>
            </w:hyperlink>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Bylaws (4)</w:t>
              </w:r>
            </w:hyperlink>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r:id="rId89">
              <w:r>
                <w:rPr>
                  <w:rFonts w:ascii="Arial" w:cs="Arial" w:eastAsia="Arial" w:hAnsi="Arial"/>
                  <w:sz w:val="18"/>
                  <w:szCs w:val="18"/>
                  <w:color w:val="0000EE"/>
                </w:rPr>
                <w:t>Warrant Agreement, dated November 7, 2019, between Continental Stock Transfer &amp; Trust Company and the Company. (2)</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Description of Securities (5)</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Investment Management Trust Account Agreement, dated November 7, 2019, between Continental Stock Transfer &amp; Trust Company and the</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18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 (2)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r:id="rId92">
              <w:r>
                <w:rPr>
                  <w:rFonts w:ascii="Arial" w:cs="Arial" w:eastAsia="Arial" w:hAnsi="Arial"/>
                  <w:sz w:val="18"/>
                  <w:szCs w:val="18"/>
                  <w:color w:val="0000EE"/>
                </w:rPr>
                <w:t>Registration Rights Agreement, dated November 7, 2019, between the Company, the Sponsor and Cantor Fitzgerald &amp; Co. (2)</w:t>
              </w:r>
            </w:hyperlink>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Letter Agreement, dated November 7, 2019, by and among the Company, its officers, certain of its directors and the Sponsor. (2)</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r:id="rId94">
              <w:r>
                <w:rPr>
                  <w:rFonts w:ascii="Arial" w:cs="Arial" w:eastAsia="Arial" w:hAnsi="Arial"/>
                  <w:sz w:val="18"/>
                  <w:szCs w:val="18"/>
                  <w:color w:val="0000EE"/>
                </w:rPr>
                <w:t>Administrative Support Agreement, dated November 7, 2019, between the Company and Stable Road Capital, LLC. (2)</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r:id="rId95">
              <w:r>
                <w:rPr>
                  <w:rFonts w:ascii="Arial" w:cs="Arial" w:eastAsia="Arial" w:hAnsi="Arial"/>
                  <w:sz w:val="18"/>
                  <w:szCs w:val="18"/>
                  <w:color w:val="0000EE"/>
                </w:rPr>
                <w:t>Unit Subscription Agreement, dated November 7, 2019, between the Company and Sponsor. (2)</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Unit Subscription Agreement, dated November 7, 2019, between the Company and Cantor Fitzgerald &amp; Co. (2)</w:t>
              </w:r>
            </w:hyperlink>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Form of Subscription Agreement (1)</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Form of Support Agreement (1)</w:t>
              </w:r>
            </w:hyperlink>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Sponsor Agreement, dated as of October 7, 2020, by and among the Company, SRC-NI Holdings, LLC and SRAC PIPE Partners LLC (1)</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Repurchase Agreement, dated as October 7, 2020, by and among the Company, Momentus Inc. and Prime Movers Lab Fund I, LP. (1)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Code of Ethics (6)</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Certification of the Chief Executive Officer required by Rule 13a-14(a) or Rule 15d-14(a).*</w:t>
              </w:r>
            </w:hyperlink>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Certification of the Chief Financial Officer required by Rule 13a-14(a) or Rule 15d-14(a).*</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10200" w:type="dxa"/>
            <w:vAlign w:val="bottom"/>
            <w:gridSpan w:val="23"/>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Certification of the Chief Executive Officer required by Rule 13a-14(b) or Rule 15d-14(b) and 18 U.S.C. 1350.**</w:t>
              </w:r>
            </w:hyperlink>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Borders>
              <w:right w:val="single" w:sz="8" w:color="CCEEFF"/>
            </w:tcBorders>
            <w:shd w:val="clear" w:color="auto" w:fill="CCEEFF"/>
          </w:tcPr>
          <w:p>
            <w:pPr>
              <w:spacing w:after="0"/>
              <w:rPr>
                <w:sz w:val="15"/>
                <w:szCs w:val="15"/>
                <w:color w:val="auto"/>
              </w:rPr>
            </w:pPr>
          </w:p>
        </w:tc>
        <w:tc>
          <w:tcPr>
            <w:tcW w:w="10200" w:type="dxa"/>
            <w:vAlign w:val="bottom"/>
            <w:gridSpan w:val="23"/>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Certification of the Chief Executive Officer required by Rule 13a-14(b) or Rule 15d-14(b) and 18 U.S.C. 1350.**</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20" w:type="dxa"/>
            <w:vAlign w:val="bottom"/>
            <w:tcBorders>
              <w:right w:val="single" w:sz="8" w:color="CCEEFF"/>
            </w:tcBorders>
            <w:shd w:val="clear" w:color="auto" w:fill="CCEEFF"/>
          </w:tcPr>
          <w:p>
            <w:pPr>
              <w:spacing w:after="0"/>
              <w:rPr>
                <w:sz w:val="18"/>
                <w:szCs w:val="18"/>
                <w:color w:val="auto"/>
              </w:rPr>
            </w:pPr>
          </w:p>
        </w:tc>
        <w:tc>
          <w:tcPr>
            <w:tcW w:w="1020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20" w:type="dxa"/>
            <w:vAlign w:val="bottom"/>
            <w:tcBorders>
              <w:right w:val="single" w:sz="8" w:color="CCEEFF"/>
            </w:tcBorders>
            <w:shd w:val="clear" w:color="auto" w:fill="CCEEFF"/>
          </w:tcPr>
          <w:p>
            <w:pPr>
              <w:spacing w:after="0"/>
              <w:rPr>
                <w:sz w:val="18"/>
                <w:szCs w:val="18"/>
                <w:color w:val="auto"/>
              </w:rPr>
            </w:pPr>
          </w:p>
        </w:tc>
        <w:tc>
          <w:tcPr>
            <w:tcW w:w="1020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XBRL Taxonomy Label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Arial" w:cs="Arial" w:eastAsia="Arial" w:hAnsi="Arial"/>
                <w:sz w:val="18"/>
                <w:szCs w:val="18"/>
                <w:color w:val="auto"/>
              </w:rPr>
              <w:t>XBRL Definition Linkbase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20" w:type="dxa"/>
            <w:vAlign w:val="bottom"/>
            <w:tcBorders>
              <w:right w:val="single" w:sz="8" w:color="CCEEFF"/>
            </w:tcBorders>
            <w:shd w:val="clear" w:color="auto" w:fill="CCEEFF"/>
          </w:tcPr>
          <w:p>
            <w:pPr>
              <w:spacing w:after="0"/>
              <w:rPr>
                <w:sz w:val="18"/>
                <w:szCs w:val="18"/>
                <w:color w:val="auto"/>
              </w:rPr>
            </w:pPr>
          </w:p>
        </w:tc>
        <w:tc>
          <w:tcPr>
            <w:tcW w:w="1020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7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8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October 7, 2020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November 13,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May 13,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September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Form 10-K, filed with the SEC on March 26,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 filed with the SEC on October 10,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16. Form 10-K Summary.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(AS RESTATED)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80" w:type="dxa"/>
            <w:vAlign w:val="bottom"/>
            <w:gridSpan w:val="7"/>
            <w:shd w:val="clear" w:color="auto" w:fill="CCEEFF"/>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 of Independent Registered Public Accounting Firm</w:t>
              </w:r>
            </w:hyperlink>
          </w:p>
        </w:tc>
        <w:tc>
          <w:tcPr>
            <w:tcW w:w="5760" w:type="dxa"/>
            <w:vAlign w:val="bottom"/>
            <w:shd w:val="clear" w:color="auto" w:fill="CCEEFF"/>
          </w:tcPr>
          <w:p>
            <w:pPr>
              <w:jc w:val="center"/>
              <w:ind w:left="4550"/>
              <w:spacing w:after="0"/>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1260" w:type="dxa"/>
            <w:vAlign w:val="bottom"/>
            <w:tcBorders>
              <w:top w:val="single" w:sz="8" w:color="CCEEFF"/>
            </w:tcBorders>
            <w:gridSpan w:val="2"/>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0000EE"/>
            </w:tcBorders>
            <w:shd w:val="clear" w:color="auto" w:fill="CCEEFF"/>
          </w:tcPr>
          <w:p>
            <w:pPr>
              <w:ind w:left="20"/>
              <w:spacing w:after="0" w:line="17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Balance Sheets (as restated)</w:t>
              </w:r>
            </w:hyperlink>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5760" w:type="dxa"/>
            <w:vAlign w:val="bottom"/>
            <w:tcBorders>
              <w:bottom w:val="single" w:sz="8" w:color="CCEEFF"/>
            </w:tcBorders>
            <w:shd w:val="clear" w:color="auto" w:fill="CCEEFF"/>
          </w:tcPr>
          <w:p>
            <w:pPr>
              <w:jc w:val="center"/>
              <w:ind w:left="4550"/>
              <w:spacing w:after="0" w:line="176" w:lineRule="exact"/>
              <w:rPr>
                <w:sz w:val="20"/>
                <w:szCs w:val="20"/>
                <w:color w:val="auto"/>
              </w:rPr>
            </w:pPr>
            <w:r>
              <w:rPr>
                <w:rFonts w:ascii="Arial" w:cs="Arial" w:eastAsia="Arial" w:hAnsi="Arial"/>
                <w:sz w:val="18"/>
                <w:szCs w:val="18"/>
                <w:color w:val="auto"/>
                <w:w w:val="88"/>
              </w:rPr>
              <w:t>F-3</w:t>
            </w:r>
          </w:p>
        </w:tc>
      </w:tr>
      <w:tr>
        <w:trPr>
          <w:trHeight w:val="175"/>
        </w:trPr>
        <w:tc>
          <w:tcPr>
            <w:tcW w:w="160" w:type="dxa"/>
            <w:vAlign w:val="bottom"/>
          </w:tcPr>
          <w:p>
            <w:pPr>
              <w:spacing w:after="0"/>
              <w:rPr>
                <w:sz w:val="15"/>
                <w:szCs w:val="15"/>
                <w:color w:val="auto"/>
              </w:rPr>
            </w:pPr>
          </w:p>
        </w:tc>
        <w:tc>
          <w:tcPr>
            <w:tcW w:w="5320" w:type="dxa"/>
            <w:vAlign w:val="bottom"/>
            <w:gridSpan w:val="6"/>
          </w:tcPr>
          <w:p>
            <w:pPr>
              <w:ind w:left="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Operations (as restated)</w:t>
              </w:r>
            </w:hyperlink>
          </w:p>
        </w:tc>
        <w:tc>
          <w:tcPr>
            <w:tcW w:w="5760" w:type="dxa"/>
            <w:vAlign w:val="bottom"/>
          </w:tcPr>
          <w:p>
            <w:pPr>
              <w:jc w:val="center"/>
              <w:ind w:left="4550"/>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160" w:type="dxa"/>
            <w:vAlign w:val="bottom"/>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01"/>
        </w:trPr>
        <w:tc>
          <w:tcPr>
            <w:tcW w:w="16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Changes in Stockholders’ Equity (as restated)</w:t>
              </w:r>
            </w:hyperlink>
          </w:p>
        </w:tc>
        <w:tc>
          <w:tcPr>
            <w:tcW w:w="5760" w:type="dxa"/>
            <w:vAlign w:val="bottom"/>
            <w:tcBorders>
              <w:bottom w:val="single" w:sz="8" w:color="CCEEFF"/>
            </w:tcBorders>
            <w:shd w:val="clear" w:color="auto" w:fill="CCEEFF"/>
          </w:tcPr>
          <w:p>
            <w:pPr>
              <w:jc w:val="center"/>
              <w:ind w:left="4550"/>
              <w:spacing w:after="0" w:line="176" w:lineRule="exact"/>
              <w:rPr>
                <w:sz w:val="20"/>
                <w:szCs w:val="20"/>
                <w:color w:val="auto"/>
              </w:rPr>
            </w:pPr>
            <w:r>
              <w:rPr>
                <w:rFonts w:ascii="Arial" w:cs="Arial" w:eastAsia="Arial" w:hAnsi="Arial"/>
                <w:sz w:val="18"/>
                <w:szCs w:val="18"/>
                <w:color w:val="auto"/>
                <w:w w:val="88"/>
              </w:rPr>
              <w:t>F-5</w:t>
            </w:r>
          </w:p>
        </w:tc>
      </w:tr>
      <w:tr>
        <w:trPr>
          <w:trHeight w:val="175"/>
        </w:trPr>
        <w:tc>
          <w:tcPr>
            <w:tcW w:w="160" w:type="dxa"/>
            <w:vAlign w:val="bottom"/>
            <w:tcBorders>
              <w:top w:val="single" w:sz="8" w:color="CCEEFF"/>
            </w:tcBorders>
          </w:tcPr>
          <w:p>
            <w:pPr>
              <w:spacing w:after="0"/>
              <w:rPr>
                <w:sz w:val="15"/>
                <w:szCs w:val="15"/>
                <w:color w:val="auto"/>
              </w:rPr>
            </w:pPr>
          </w:p>
        </w:tc>
        <w:tc>
          <w:tcPr>
            <w:tcW w:w="5320" w:type="dxa"/>
            <w:vAlign w:val="bottom"/>
            <w:tcBorders>
              <w:top w:val="single" w:sz="8" w:color="CCEEFF"/>
            </w:tcBorders>
            <w:gridSpan w:val="6"/>
          </w:tcPr>
          <w:p>
            <w:pPr>
              <w:ind w:left="2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 (as restated)</w:t>
              </w:r>
            </w:hyperlink>
          </w:p>
        </w:tc>
        <w:tc>
          <w:tcPr>
            <w:tcW w:w="5760" w:type="dxa"/>
            <w:vAlign w:val="bottom"/>
            <w:tcBorders>
              <w:top w:val="single" w:sz="8" w:color="CCEEFF"/>
            </w:tcBorders>
          </w:tcPr>
          <w:p>
            <w:pPr>
              <w:jc w:val="center"/>
              <w:ind w:left="4550"/>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160" w:type="dxa"/>
            <w:vAlign w:val="bottom"/>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32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 (as restated)</w:t>
              </w:r>
            </w:hyperlink>
          </w:p>
        </w:tc>
        <w:tc>
          <w:tcPr>
            <w:tcW w:w="5760" w:type="dxa"/>
            <w:vAlign w:val="bottom"/>
            <w:shd w:val="clear" w:color="auto" w:fill="CCEEFF"/>
          </w:tcPr>
          <w:p>
            <w:pPr>
              <w:jc w:val="center"/>
              <w:ind w:left="4530"/>
              <w:spacing w:after="0" w:line="176" w:lineRule="exact"/>
              <w:rPr>
                <w:sz w:val="20"/>
                <w:szCs w:val="20"/>
                <w:color w:val="auto"/>
              </w:rPr>
            </w:pPr>
            <w:r>
              <w:rPr>
                <w:rFonts w:ascii="Arial" w:cs="Arial" w:eastAsia="Arial" w:hAnsi="Arial"/>
                <w:sz w:val="18"/>
                <w:szCs w:val="18"/>
                <w:color w:val="auto"/>
                <w:w w:val="92"/>
              </w:rPr>
              <w:t>F-7 to F-23</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30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5760" w:type="dxa"/>
            <w:vAlign w:val="bottom"/>
            <w:tcBorders>
              <w:top w:val="single" w:sz="8" w:color="CCEEFF"/>
              <w:bottom w:val="single" w:sz="8" w:color="auto"/>
            </w:tcBorders>
          </w:tcPr>
          <w:p>
            <w:pPr>
              <w:ind w:left="2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40"/>
          </w:cols>
          <w:pgMar w:left="320" w:top="904" w:right="339" w:bottom="1440" w:gutter="0" w:footer="0" w:header="0"/>
        </w:sectPr>
      </w:pPr>
    </w:p>
    <w:bookmarkStart w:id="74" w:name="page75"/>
    <w:bookmarkEnd w:id="7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Stable Road Acquisition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jc w:val="both"/>
        <w:ind w:firstLine="583"/>
        <w:spacing w:after="0" w:line="293" w:lineRule="auto"/>
        <w:rPr>
          <w:sz w:val="20"/>
          <w:szCs w:val="20"/>
          <w:color w:val="auto"/>
        </w:rPr>
      </w:pPr>
      <w:r>
        <w:rPr>
          <w:rFonts w:ascii="Arial" w:cs="Arial" w:eastAsia="Arial" w:hAnsi="Arial"/>
          <w:sz w:val="16"/>
          <w:szCs w:val="16"/>
          <w:color w:val="auto"/>
        </w:rPr>
        <w:t>We have audited the accompanying consolidated balance sheet of Stable Road Acquisition Corp. (the “Company”) as of December 31, 2020 and 2019, the related consolidated statements of operations, changes in stockholders’ equity and cash flows for the year ended December 31, 2020 and for the period from May 28, 2019 (inception) through December 31, 2019,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 ended December 31, 2020 and for the period from May 28, 2019 (inception) through December 31, 2019,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Financial Statements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As discussed in Note 2 to the consolidated financial statements, the Securities and Exchange Commission issued a public statement entitled </w:t>
      </w:r>
      <w:r>
        <w:rPr>
          <w:rFonts w:ascii="Arial" w:cs="Arial" w:eastAsia="Arial" w:hAnsi="Arial"/>
          <w:sz w:val="17"/>
          <w:szCs w:val="17"/>
          <w:i w:val="1"/>
          <w:iCs w:val="1"/>
          <w:color w:val="auto"/>
        </w:rPr>
        <w:t>Staff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on Accounting and Reporting Considerations for Warrants Issued by Special Purpose Acquisition Companies (“SPACs”) </w:t>
      </w:r>
      <w:r>
        <w:rPr>
          <w:rFonts w:ascii="Arial" w:cs="Arial" w:eastAsia="Arial" w:hAnsi="Arial"/>
          <w:sz w:val="17"/>
          <w:szCs w:val="17"/>
          <w:color w:val="auto"/>
        </w:rPr>
        <w:t>(the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consolidated financial statements have been restated to correct the accounting and related disclosure for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if the Company is unable to raise additional funds to alleviate liquidity needs and complete a business combination by August 13, 2021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583"/>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RESTATED)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81,850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328,538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625,199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1,361,800</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173,107,749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172,846,011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173,732,948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174,207,811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2,485,896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2,485,896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48,077,888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7,857,175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57,463,784</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14,952,484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common stock subject to possible redemption, 11,126,916 and 15,425,532 shares at $10.00 per share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at December 31, 2020 and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111,269,160</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154,255,320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Class A common stock, $0.0001 par value; 100,000,000 shares authorized; 6,668,084 and 2,369,468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(excluding 11,126,916 and 15,425,532 shares subject to possible redemption) at December 31, 2020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4,312,500 shares issued and outstanding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 and 2019</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45,416,946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(40,418,039)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4,999,340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173,732,948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3"/>
              </w:rPr>
              <w:t>174,207,811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(AS RESTATED)</w:t>
      </w:r>
    </w:p>
    <w:p>
      <w:pPr>
        <w:spacing w:after="0" w:line="218" w:lineRule="exact"/>
        <w:rPr>
          <w:sz w:val="20"/>
          <w:szCs w:val="20"/>
          <w:color w:val="auto"/>
        </w:rPr>
      </w:pPr>
    </w:p>
    <w:tbl>
      <w:tblPr>
        <w:tblLayout w:type="fixed"/>
        <w:tblInd w:w="86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May 28,</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bl>
    <w:p>
      <w:pPr>
        <w:spacing w:after="0" w:line="200"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315"/>
        <w:spacing w:after="0" w:line="260" w:lineRule="auto"/>
        <w:rPr>
          <w:sz w:val="20"/>
          <w:szCs w:val="20"/>
          <w:color w:val="auto"/>
        </w:rPr>
      </w:pPr>
      <w:r>
        <w:rPr>
          <w:rFonts w:ascii="Arial" w:cs="Arial" w:eastAsia="Arial" w:hAnsi="Arial"/>
          <w:sz w:val="18"/>
          <w:szCs w:val="18"/>
          <w:color w:val="auto"/>
        </w:rPr>
        <w:t>Interest earned on marketable securities held in Trust Account 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(Loss) income before provision for income taxes</w:t>
      </w:r>
    </w:p>
    <w:p>
      <w:pPr>
        <w:spacing w:after="0" w:line="20" w:lineRule="exact"/>
        <w:rPr>
          <w:sz w:val="20"/>
          <w:szCs w:val="20"/>
          <w:color w:val="auto"/>
        </w:rPr>
      </w:pPr>
      <w:r>
        <w:rPr>
          <w:sz w:val="20"/>
          <w:szCs w:val="20"/>
          <w:color w:val="auto"/>
        </w:rPr>
        <w:br w:type="column"/>
      </w:r>
    </w:p>
    <w:p>
      <w:pPr>
        <w:ind w:left="405" w:hanging="405"/>
        <w:spacing w:after="0"/>
        <w:tabs>
          <w:tab w:leader="none" w:pos="4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3,720,975   </w:t>
      </w:r>
      <w:r>
        <w:rPr>
          <w:rFonts w:ascii="Arial" w:cs="Arial" w:eastAsia="Arial" w:hAnsi="Arial"/>
          <w:sz w:val="18"/>
          <w:szCs w:val="18"/>
          <w:u w:val="single" w:color="auto"/>
          <w:color w:val="auto"/>
        </w:rPr>
        <w:t>$    1,093,774</w:t>
      </w:r>
    </w:p>
    <w:p>
      <w:pPr>
        <w:spacing w:after="0" w:line="23" w:lineRule="exact"/>
        <w:rPr>
          <w:rFonts w:ascii="Arial" w:cs="Arial" w:eastAsia="Arial" w:hAnsi="Arial"/>
          <w:sz w:val="18"/>
          <w:szCs w:val="18"/>
          <w:color w:val="auto"/>
        </w:rPr>
      </w:pPr>
    </w:p>
    <w:p>
      <w:pPr>
        <w:ind w:left="345"/>
        <w:spacing w:after="0"/>
        <w:rPr>
          <w:rFonts w:ascii="Arial" w:cs="Arial" w:eastAsia="Arial" w:hAnsi="Arial"/>
          <w:sz w:val="18"/>
          <w:szCs w:val="18"/>
          <w:color w:val="auto"/>
        </w:rPr>
      </w:pPr>
      <w:r>
        <w:rPr>
          <w:rFonts w:ascii="Arial" w:cs="Arial" w:eastAsia="Arial" w:hAnsi="Arial"/>
          <w:sz w:val="18"/>
          <w:szCs w:val="18"/>
          <w:b w:val="1"/>
          <w:bCs w:val="1"/>
          <w:color w:val="auto"/>
        </w:rPr>
        <w:t>(3,720,975)</w:t>
      </w:r>
      <w:r>
        <w:rPr>
          <w:rFonts w:ascii="Arial" w:cs="Arial" w:eastAsia="Arial" w:hAnsi="Arial"/>
          <w:sz w:val="16"/>
          <w:szCs w:val="16"/>
          <w:b w:val="1"/>
          <w:bCs w:val="1"/>
          <w:color w:val="auto"/>
        </w:rPr>
        <w:t>(1,093,774)</w:t>
      </w:r>
    </w:p>
    <w:p>
      <w:pPr>
        <w:spacing w:after="0" w:line="200" w:lineRule="exact"/>
        <w:rPr>
          <w:sz w:val="20"/>
          <w:szCs w:val="20"/>
          <w:color w:val="auto"/>
        </w:rPr>
      </w:pPr>
    </w:p>
    <w:p>
      <w:pPr>
        <w:spacing w:after="0" w:line="281" w:lineRule="exact"/>
        <w:rPr>
          <w:sz w:val="20"/>
          <w:szCs w:val="20"/>
          <w:color w:val="auto"/>
        </w:rPr>
      </w:pPr>
    </w:p>
    <w:p>
      <w:pPr>
        <w:ind w:left="405"/>
        <w:spacing w:after="0"/>
        <w:tabs>
          <w:tab w:leader="none" w:pos="1865" w:val="left"/>
        </w:tabs>
        <w:rPr>
          <w:sz w:val="20"/>
          <w:szCs w:val="20"/>
          <w:color w:val="auto"/>
        </w:rPr>
      </w:pPr>
      <w:r>
        <w:rPr>
          <w:rFonts w:ascii="Arial" w:cs="Arial" w:eastAsia="Arial" w:hAnsi="Arial"/>
          <w:sz w:val="17"/>
          <w:szCs w:val="17"/>
          <w:color w:val="auto"/>
        </w:rPr>
        <w:t>1,134,391</w:t>
      </w:r>
      <w:r>
        <w:rPr>
          <w:sz w:val="20"/>
          <w:szCs w:val="20"/>
          <w:color w:val="auto"/>
        </w:rPr>
        <w:tab/>
      </w:r>
      <w:r>
        <w:rPr>
          <w:rFonts w:ascii="Arial" w:cs="Arial" w:eastAsia="Arial" w:hAnsi="Arial"/>
          <w:sz w:val="17"/>
          <w:szCs w:val="17"/>
          <w:color w:val="auto"/>
        </w:rPr>
        <w:t>346,011</w:t>
      </w:r>
    </w:p>
    <w:p>
      <w:pPr>
        <w:spacing w:after="0" w:line="35" w:lineRule="exact"/>
        <w:rPr>
          <w:sz w:val="20"/>
          <w:szCs w:val="20"/>
          <w:color w:val="auto"/>
        </w:rPr>
      </w:pPr>
    </w:p>
    <w:p>
      <w:pPr>
        <w:ind w:left="265"/>
        <w:spacing w:after="0"/>
        <w:tabs>
          <w:tab w:leader="none" w:pos="1725" w:val="left"/>
        </w:tabs>
        <w:rPr>
          <w:sz w:val="20"/>
          <w:szCs w:val="20"/>
          <w:color w:val="auto"/>
        </w:rPr>
      </w:pPr>
      <w:r>
        <w:rPr>
          <w:rFonts w:ascii="Arial" w:cs="Arial" w:eastAsia="Arial" w:hAnsi="Arial"/>
          <w:sz w:val="18"/>
          <w:szCs w:val="18"/>
          <w:color w:val="auto"/>
        </w:rPr>
        <w:t>(40,220,713)</w:t>
      </w:r>
      <w:r>
        <w:rPr>
          <w:sz w:val="20"/>
          <w:szCs w:val="20"/>
          <w:color w:val="auto"/>
        </w:rPr>
        <w:tab/>
      </w:r>
      <w:r>
        <w:rPr>
          <w:rFonts w:ascii="Arial" w:cs="Arial" w:eastAsia="Arial" w:hAnsi="Arial"/>
          <w:sz w:val="16"/>
          <w:szCs w:val="16"/>
          <w:color w:val="auto"/>
        </w:rPr>
        <w:t>6,139,150</w:t>
      </w:r>
    </w:p>
    <w:p>
      <w:pPr>
        <w:spacing w:after="0" w:line="251" w:lineRule="exact"/>
        <w:rPr>
          <w:sz w:val="20"/>
          <w:szCs w:val="20"/>
          <w:color w:val="auto"/>
        </w:rPr>
      </w:pPr>
    </w:p>
    <w:p>
      <w:pPr>
        <w:ind w:left="265"/>
        <w:spacing w:after="0"/>
        <w:tabs>
          <w:tab w:leader="none" w:pos="1725" w:val="left"/>
        </w:tabs>
        <w:rPr>
          <w:sz w:val="20"/>
          <w:szCs w:val="20"/>
          <w:color w:val="auto"/>
        </w:rPr>
      </w:pPr>
      <w:r>
        <w:rPr>
          <w:rFonts w:ascii="Arial" w:cs="Arial" w:eastAsia="Arial" w:hAnsi="Arial"/>
          <w:sz w:val="17"/>
          <w:szCs w:val="17"/>
          <w:color w:val="auto"/>
        </w:rPr>
        <w:t>(42,807,297)</w:t>
      </w:r>
      <w:r>
        <w:rPr>
          <w:sz w:val="20"/>
          <w:szCs w:val="20"/>
          <w:color w:val="auto"/>
        </w:rPr>
        <w:tab/>
      </w:r>
      <w:r>
        <w:rPr>
          <w:rFonts w:ascii="Arial" w:cs="Arial" w:eastAsia="Arial" w:hAnsi="Arial"/>
          <w:sz w:val="17"/>
          <w:szCs w:val="17"/>
          <w:color w:val="auto"/>
        </w:rPr>
        <w:t>5,391,387</w:t>
      </w:r>
    </w:p>
    <w:p>
      <w:pPr>
        <w:spacing w:after="0" w:line="52" w:lineRule="exact"/>
        <w:rPr>
          <w:sz w:val="20"/>
          <w:szCs w:val="20"/>
          <w:color w:val="auto"/>
        </w:rPr>
      </w:pPr>
    </w:p>
    <w:p>
      <w:pPr>
        <w:sectPr>
          <w:pgSz w:w="11900" w:h="16838" w:orient="portrait"/>
          <w:cols w:equalWidth="0" w:num="2">
            <w:col w:w="7955" w:space="720"/>
            <w:col w:w="2565"/>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(178,866)</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77"/>
        </w:trPr>
        <w:tc>
          <w:tcPr>
            <w:tcW w:w="86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(42,986,163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5,343,820</w:t>
            </w: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17,250,000</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4,041,761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income per share, Class A redeemable common stock</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4,857,500</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4,456,075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net (loss) income per share, Class A and Class B non-redeemable common stock</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4,857,500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4,168,777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80" w:type="dxa"/>
            <w:vAlign w:val="bottom"/>
          </w:tcPr>
          <w:p>
            <w:pPr>
              <w:spacing w:after="0"/>
              <w:rPr>
                <w:sz w:val="20"/>
                <w:szCs w:val="20"/>
                <w:color w:val="auto"/>
              </w:rPr>
            </w:pPr>
            <w:r>
              <w:rPr>
                <w:rFonts w:ascii="Arial" w:cs="Arial" w:eastAsia="Arial" w:hAnsi="Arial"/>
                <w:sz w:val="18"/>
                <w:szCs w:val="18"/>
                <w:b w:val="1"/>
                <w:bCs w:val="1"/>
                <w:color w:val="auto"/>
              </w:rPr>
              <w:t>Diluted net (loss) income per share, Class A and Class B non-redeemable common stock</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Class 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55"/>
        </w:trPr>
        <w:tc>
          <w:tcPr>
            <w:tcW w:w="1940" w:type="dxa"/>
            <w:vAlign w:val="bottom"/>
          </w:tcPr>
          <w:p>
            <w:pPr>
              <w:spacing w:after="0"/>
              <w:rPr>
                <w:sz w:val="22"/>
                <w:szCs w:val="22"/>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Common Stock</w:t>
            </w:r>
          </w:p>
        </w:tc>
        <w:tc>
          <w:tcPr>
            <w:tcW w:w="26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7"/>
        </w:trPr>
        <w:tc>
          <w:tcPr>
            <w:tcW w:w="1940" w:type="dxa"/>
            <w:vAlign w:val="bottom"/>
          </w:tcPr>
          <w:p>
            <w:pPr>
              <w:spacing w:after="0"/>
              <w:rPr>
                <w:sz w:val="20"/>
                <w:szCs w:val="20"/>
                <w:color w:val="auto"/>
              </w:rPr>
            </w:pPr>
          </w:p>
        </w:tc>
        <w:tc>
          <w:tcPr>
            <w:tcW w:w="12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184"/>
        </w:trPr>
        <w:tc>
          <w:tcPr>
            <w:tcW w:w="19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 May 28,</w:t>
            </w: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to</w:t>
            </w: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7"/>
        </w:trPr>
        <w:tc>
          <w:tcPr>
            <w:tcW w:w="194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Sponsor</w:t>
            </w:r>
            <w:r>
              <w:rPr>
                <w:rFonts w:ascii="Arial" w:cs="Arial" w:eastAsia="Arial" w:hAnsi="Arial"/>
                <w:sz w:val="29"/>
                <w:szCs w:val="29"/>
                <w:color w:val="auto"/>
                <w:vertAlign w:val="superscript"/>
              </w:rPr>
              <w:t>(1)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24,569</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17,250,000</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of Class A</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Public Offering,</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underwriting</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and offering</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148,888,387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148,890,112</w:t>
            </w:r>
          </w:p>
        </w:tc>
        <w:tc>
          <w:tcPr>
            <w:tcW w:w="100" w:type="dxa"/>
            <w:vAlign w:val="bottom"/>
            <w:shd w:val="clear" w:color="auto" w:fill="CCEEFF"/>
          </w:tcPr>
          <w:p>
            <w:pPr>
              <w:spacing w:after="0"/>
              <w:rPr>
                <w:sz w:val="20"/>
                <w:szCs w:val="20"/>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545,000 shares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Class A common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in private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4,996,341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4,996,395</w:t>
            </w:r>
          </w:p>
        </w:tc>
        <w:tc>
          <w:tcPr>
            <w:tcW w:w="100" w:type="dxa"/>
            <w:vAlign w:val="bottom"/>
            <w:shd w:val="clear" w:color="auto" w:fill="CCEEFF"/>
          </w:tcPr>
          <w:p>
            <w:pPr>
              <w:spacing w:after="0"/>
              <w:rPr>
                <w:sz w:val="20"/>
                <w:szCs w:val="20"/>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to possible redemption</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(15,425,532)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(1,543)</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(153,909,297)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(344,480)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(154,255,320)</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5,343,820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5,344,820</w:t>
            </w:r>
          </w:p>
        </w:tc>
        <w:tc>
          <w:tcPr>
            <w:tcW w:w="100" w:type="dxa"/>
            <w:vAlign w:val="bottom"/>
          </w:tcPr>
          <w:p>
            <w:pPr>
              <w:spacing w:after="0"/>
              <w:rPr>
                <w:sz w:val="20"/>
                <w:szCs w:val="20"/>
                <w:color w:val="auto"/>
              </w:rPr>
            </w:pPr>
          </w:p>
        </w:tc>
      </w:tr>
      <w:tr>
        <w:trPr>
          <w:trHeight w:val="184"/>
        </w:trPr>
        <w:tc>
          <w:tcPr>
            <w:tcW w:w="19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 December</w:t>
            </w: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31, 2019 (as restated)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2,369,468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4,999,340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100" w:type="dxa"/>
            <w:vAlign w:val="bottom"/>
            <w:shd w:val="clear" w:color="auto" w:fill="CCEEFF"/>
          </w:tcPr>
          <w:p>
            <w:pPr>
              <w:spacing w:after="0"/>
              <w:rPr>
                <w:sz w:val="20"/>
                <w:szCs w:val="20"/>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to possible redemption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4,298,616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45,416,946</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(2,431,216)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42,986,160</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(42,986,163)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(42,986,163)</w:t>
            </w:r>
          </w:p>
        </w:tc>
      </w:tr>
      <w:tr>
        <w:trPr>
          <w:trHeight w:val="171"/>
        </w:trPr>
        <w:tc>
          <w:tcPr>
            <w:tcW w:w="19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 December</w:t>
            </w: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82"/>
        </w:trPr>
        <w:tc>
          <w:tcPr>
            <w:tcW w:w="1940" w:type="dxa"/>
            <w:vAlign w:val="bottom"/>
          </w:tcPr>
          <w:p>
            <w:pPr>
              <w:ind w:left="180"/>
              <w:spacing w:after="0"/>
              <w:rPr>
                <w:sz w:val="20"/>
                <w:szCs w:val="20"/>
                <w:color w:val="auto"/>
              </w:rPr>
            </w:pPr>
            <w:r>
              <w:rPr>
                <w:rFonts w:ascii="Arial" w:cs="Arial" w:eastAsia="Arial" w:hAnsi="Arial"/>
                <w:sz w:val="18"/>
                <w:szCs w:val="18"/>
                <w:b w:val="1"/>
                <w:bCs w:val="1"/>
                <w:color w:val="auto"/>
                <w:w w:val="95"/>
              </w:rPr>
              <w:t>31, 2020 (as restated)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6,668,084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666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45,416,946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line="275" w:lineRule="exact"/>
              <w:rPr>
                <w:sz w:val="20"/>
                <w:szCs w:val="20"/>
                <w:color w:val="auto"/>
              </w:rPr>
            </w:pPr>
            <w:r>
              <w:rPr>
                <w:rFonts w:ascii="Arial" w:cs="Arial" w:eastAsia="Arial" w:hAnsi="Arial"/>
                <w:sz w:val="17"/>
                <w:szCs w:val="17"/>
                <w:b w:val="1"/>
                <w:bCs w:val="1"/>
                <w:color w:val="auto"/>
              </w:rPr>
              <w:t>(40,418,039</w:t>
            </w:r>
            <w:r>
              <w:rPr>
                <w:rFonts w:ascii="Arial" w:cs="Arial" w:eastAsia="Arial" w:hAnsi="Arial"/>
                <w:sz w:val="31"/>
                <w:szCs w:val="31"/>
                <w:b w:val="1"/>
                <w:bCs w:val="1"/>
                <w:color w:val="auto"/>
                <w:vertAlign w:val="superscript"/>
              </w:rPr>
              <w:t>)</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60" w:right="1100" w:hanging="2552"/>
        <w:spacing w:after="0" w:line="573" w:lineRule="auto"/>
        <w:tabs>
          <w:tab w:leader="none" w:pos="579"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Included up to 562,500 shares subject to forfeiture if the over-allotment option was not exercised in full or in part by the underwriter. The accompanying notes are an integral part of the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(AS RESTATED)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5"/>
              </w:rPr>
              <w:t>May 28,</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8680" w:type="dxa"/>
            <w:vAlign w:val="bottom"/>
          </w:tcPr>
          <w:p>
            <w:pPr>
              <w:spacing w:after="0"/>
              <w:rPr>
                <w:sz w:val="19"/>
                <w:szCs w:val="19"/>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  (42,986,163)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5,343,820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(1,134,391)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(346,011)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Transaction costs allocable to warrant liabilities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857,689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40,220,713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(6,139,150)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186,766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(268,616)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income taxes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(328,538)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2,338,154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147,742</w:t>
            </w: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(47,567)</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47,567</w:t>
            </w: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(1,751,026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(356,959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withdrawn from Trust Account for taxes</w:t>
      </w:r>
    </w:p>
    <w:p>
      <w:pPr>
        <w:spacing w:after="0" w:line="18" w:lineRule="exact"/>
        <w:rPr>
          <w:sz w:val="20"/>
          <w:szCs w:val="20"/>
          <w:color w:val="auto"/>
        </w:rPr>
      </w:pPr>
    </w:p>
    <w:p>
      <w:pPr>
        <w:jc w:val="right"/>
        <w:ind w:right="4220"/>
        <w:spacing w:after="0"/>
        <w:rPr>
          <w:sz w:val="20"/>
          <w:szCs w:val="20"/>
          <w:color w:val="auto"/>
        </w:rPr>
      </w:pPr>
      <w:r>
        <w:rPr>
          <w:rFonts w:ascii="Arial" w:cs="Arial" w:eastAsia="Arial" w:hAnsi="Arial"/>
          <w:sz w:val="17"/>
          <w:szCs w:val="17"/>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(172,500,000)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872,653—</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872,653</w:t>
      </w:r>
      <w:r>
        <w:rPr>
          <w:rFonts w:ascii="Arial" w:cs="Arial" w:eastAsia="Arial" w:hAnsi="Arial"/>
          <w:sz w:val="16"/>
          <w:szCs w:val="16"/>
          <w:b w:val="1"/>
          <w:bCs w:val="1"/>
          <w:color w:val="auto"/>
        </w:rPr>
        <w:t>(172,500,000)</w:t>
      </w:r>
    </w:p>
    <w:p>
      <w:pPr>
        <w:spacing w:after="0" w:line="36" w:lineRule="exact"/>
        <w:rPr>
          <w:sz w:val="20"/>
          <w:szCs w:val="20"/>
          <w:color w:val="auto"/>
        </w:rPr>
      </w:pPr>
    </w:p>
    <w:p>
      <w:pPr>
        <w:sectPr>
          <w:pgSz w:w="11900" w:h="16838" w:orient="portrait"/>
          <w:cols w:equalWidth="0" w:num="2">
            <w:col w:w="8500" w:space="720"/>
            <w:col w:w="202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169,050,000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Placement Units</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(222,725)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8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(327,132)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173,950,143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(878,373)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1,093,184</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1,093,184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214,811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1,093,184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405,567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48,042,060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(42,986,160</w:t>
            </w:r>
          </w:p>
        </w:tc>
        <w:tc>
          <w:tcPr>
            <w:tcW w:w="2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6,213,260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classification of warrant liabilities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13,996,325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Management adjustment to eliminate negative additional paid-in capital</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2,431,216</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344,480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Deferred underwriting fee payable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paid directly by Sponsor from proceeds from issuance of Class B common stock</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color w:val="auto"/>
        </w:rPr>
        <w:t>NOTE 1. DESCRIPTION OF ORGANIZATION AND BUSINESS OPERATIONS</w:t>
      </w:r>
    </w:p>
    <w:p>
      <w:pPr>
        <w:spacing w:after="0" w:line="225"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Stable Road Acquisition Corp. (the “Company” or “SRAC”)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The Company has two subsidiaries, Project Marvel First Merger Sub, Inc., a wholly-owned subsidiary of the Company incorporated in Delaware on September 29, 2020 (“First Merger Sub”) and Project Marvel Second Merger Sub, LLC, a wholly-owned subsidiary of the Company incorporated in Delaware on September 29, 2020 (“Second Merger Sub”). First Merger Sub and Second Merger Sub were formed in connection with the proposed business combination with Momentus Inc., a Delaware corporation (“Momentus”), as more fully discussed below.</w:t>
      </w:r>
    </w:p>
    <w:p>
      <w:pPr>
        <w:spacing w:after="0" w:line="171"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and the proposed business combination with Momentus, as more fully discussed below.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 &amp; Co. (“Cantor”), the underwriter of the Initial Public Offering, generating gross proceeds of $5,450,000, which is described in Note 4.</w:t>
      </w:r>
    </w:p>
    <w:p>
      <w:pPr>
        <w:spacing w:after="0" w:line="149"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w:t>
      </w:r>
    </w:p>
    <w:p>
      <w:pPr>
        <w:spacing w:after="0" w:line="170" w:lineRule="exact"/>
        <w:rPr>
          <w:sz w:val="20"/>
          <w:szCs w:val="20"/>
          <w:color w:val="auto"/>
        </w:rPr>
      </w:pPr>
    </w:p>
    <w:p>
      <w:pPr>
        <w:jc w:val="both"/>
        <w:ind w:firstLine="583"/>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ind w:firstLine="583"/>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jc w:val="both"/>
        <w:ind w:firstLine="583"/>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196" w:lineRule="exact"/>
        <w:rPr>
          <w:sz w:val="20"/>
          <w:szCs w:val="20"/>
          <w:color w:val="auto"/>
        </w:rPr>
      </w:pPr>
    </w:p>
    <w:p>
      <w:pPr>
        <w:jc w:val="both"/>
        <w:ind w:firstLine="583"/>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ind w:firstLine="583"/>
        <w:spacing w:after="0" w:line="291" w:lineRule="auto"/>
        <w:rPr>
          <w:sz w:val="20"/>
          <w:szCs w:val="20"/>
          <w:color w:val="auto"/>
        </w:rPr>
      </w:pPr>
      <w:r>
        <w:rPr>
          <w:rFonts w:ascii="Arial" w:cs="Arial" w:eastAsia="Arial" w:hAnsi="Arial"/>
          <w:sz w:val="16"/>
          <w:szCs w:val="16"/>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w:t>
      </w:r>
    </w:p>
    <w:p>
      <w:pPr>
        <w:jc w:val="both"/>
        <w:ind w:firstLine="8"/>
        <w:spacing w:after="0" w:line="277" w:lineRule="auto"/>
        <w:tabs>
          <w:tab w:leader="none" w:pos="2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3" w:lineRule="exact"/>
        <w:rPr>
          <w:sz w:val="20"/>
          <w:szCs w:val="20"/>
          <w:color w:val="auto"/>
        </w:rPr>
      </w:pPr>
    </w:p>
    <w:p>
      <w:pPr>
        <w:jc w:val="both"/>
        <w:ind w:firstLine="583"/>
        <w:spacing w:after="0" w:line="269" w:lineRule="auto"/>
        <w:rPr>
          <w:sz w:val="20"/>
          <w:szCs w:val="20"/>
          <w:color w:val="auto"/>
        </w:rPr>
      </w:pPr>
      <w:r>
        <w:rPr>
          <w:rFonts w:ascii="Arial" w:cs="Arial" w:eastAsia="Arial" w:hAnsi="Arial"/>
          <w:sz w:val="17"/>
          <w:szCs w:val="17"/>
          <w:color w:val="auto"/>
        </w:rPr>
        <w:t>The Company will have until August 13, 2021 (unless such date is extended in accordance with the Company’s amended and restated certificate of incorporation) to complete a Business Combination (the “Combination Period”), including the proposed business combination with Momentus.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jc w:val="both"/>
        <w:ind w:firstLine="583"/>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ind w:firstLine="583"/>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w:t>
      </w:r>
    </w:p>
    <w:p>
      <w:pPr>
        <w:spacing w:after="0" w:line="2" w:lineRule="exact"/>
        <w:rPr>
          <w:sz w:val="20"/>
          <w:szCs w:val="20"/>
          <w:color w:val="auto"/>
        </w:rPr>
      </w:pPr>
    </w:p>
    <w:p>
      <w:pPr>
        <w:jc w:val="both"/>
        <w:ind w:firstLine="8"/>
        <w:spacing w:after="0" w:line="268" w:lineRule="auto"/>
        <w:tabs>
          <w:tab w:leader="none" w:pos="2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 Inc.</w:t>
      </w:r>
    </w:p>
    <w:p>
      <w:pPr>
        <w:spacing w:after="0" w:line="229" w:lineRule="exact"/>
        <w:rPr>
          <w:sz w:val="20"/>
          <w:szCs w:val="20"/>
          <w:color w:val="auto"/>
        </w:rPr>
      </w:pPr>
    </w:p>
    <w:p>
      <w:pPr>
        <w:jc w:val="both"/>
        <w:ind w:firstLine="583"/>
        <w:spacing w:after="0" w:line="271" w:lineRule="auto"/>
        <w:rPr>
          <w:sz w:val="20"/>
          <w:szCs w:val="20"/>
          <w:color w:val="auto"/>
        </w:rPr>
      </w:pPr>
      <w:r>
        <w:rPr>
          <w:rFonts w:ascii="Arial" w:cs="Arial" w:eastAsia="Arial" w:hAnsi="Arial"/>
          <w:sz w:val="17"/>
          <w:szCs w:val="17"/>
          <w:color w:val="auto"/>
        </w:rPr>
        <w:t>On October 7, 2020, SRAC entered into an Agreement and Plan of Merger (the “Merger Agreement”), by and among SRAC, Project Marvel First Merger Sub, Inc., a Delaware corporation and wholly-owned subsidiary of SRAC (“First Merger Sub”), and Project Marvel Second Merger Sub, LLC, a Delaware limited liability company and wholly-owned subsidiary of SRAC (“Second Merger Sub”), and Momentus Inc., a Delaware corporation (“Momentus”), pursuant to which, among other things: (a) First Merger Sub will merge with and into Momentus (“First Merger”), with Momentus being the surviving corporation of the First Merger and (b) immediately following the First Merger and as part of the same overall transaction as the First Merger, Momentus will merge with and into Second Merger Sub (the “Second Merger” and, together with the First Merger, the “Mergers”), with Second Merger Sub being the surviving company of the Second Merger. The Merger Agreement, the Mergers and the other transactions contemplated by the Merger Agreement are referred to herein as the “Proposed Transaction.”</w:t>
      </w:r>
    </w:p>
    <w:p>
      <w:pPr>
        <w:spacing w:after="0" w:line="178"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both"/>
        <w:ind w:firstLine="583"/>
        <w:spacing w:after="0" w:line="279" w:lineRule="auto"/>
        <w:rPr>
          <w:sz w:val="20"/>
          <w:szCs w:val="20"/>
          <w:color w:val="auto"/>
        </w:rPr>
      </w:pPr>
      <w:r>
        <w:rPr>
          <w:rFonts w:ascii="Arial" w:cs="Arial" w:eastAsia="Arial" w:hAnsi="Arial"/>
          <w:sz w:val="17"/>
          <w:szCs w:val="17"/>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71"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187"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187" w:lineRule="exact"/>
        <w:rPr>
          <w:sz w:val="20"/>
          <w:szCs w:val="20"/>
          <w:color w:val="auto"/>
        </w:rPr>
      </w:pPr>
    </w:p>
    <w:p>
      <w:pPr>
        <w:jc w:val="both"/>
        <w:ind w:firstLine="583"/>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On October 7, 2020, the Company entered into Subscription Agreements with certain investors pursuant to which the investors have agreed to purchase an aggregate of 17,500,000 shares of Class A common stock in a private placement for $10.00 per share (the “Private Placement”). The proceeds from the Private Placement will be partially used to fund the Repurchase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ind w:firstLine="583"/>
        <w:spacing w:after="0" w:line="287" w:lineRule="auto"/>
        <w:rPr>
          <w:sz w:val="20"/>
          <w:szCs w:val="20"/>
          <w:color w:val="auto"/>
        </w:rPr>
      </w:pPr>
      <w:r>
        <w:rPr>
          <w:rFonts w:ascii="Arial" w:cs="Arial" w:eastAsia="Arial" w:hAnsi="Arial"/>
          <w:sz w:val="16"/>
          <w:szCs w:val="16"/>
          <w:color w:val="auto"/>
        </w:rPr>
        <w:t>Concurrently with the execution of the Merger Agreement, an investor of Momentus, the Company and Momentus entered into a repurchase agreement (the “Repurchase Agreement”) pursuant to which, amongst other things, the Company has agreed to repurchase a certain number of shares of Class A common stock from an investor of Momentus, at a purchase price of $10.00 per share, immediately following the Closing (the “Repurchase”). The Repurchase is contingent on the amount of available cash the Company has at the Closing from (a) the Private Placement (and any alternative financing arranged by the Company and Momentus in the event the Private Placement becomes unavailable) and (b) the funds in the Company’s trust account (after taking into account payments required to satisfy SRAC’s stockholder redemptions), after further deducting the amount of the Company’s transaction expenses and Momentus’ transaction expenses (“</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being in excess of $265 million. If Net Proceeds exceed $265,000,000 but are less than $280,000,000, the number of shares of Class A common stock subject to the Repurchase will be equal to the amount by which Net Proceeds exceed $250 million,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 In the event Net Proceeds are in excess of $280,000,000, the number of shares of Class A common stock subject to the Repurchase will be equal to $30,000,000,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 At the closing of the Repurchase, the Company will be entitled to deduct from such cash payment an amount equal to 3.3% of such cash payment (representing PML’s obligation to pay Momentus a portion of its transaction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583"/>
        <w:spacing w:after="0" w:line="271"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August 13, 2021 or the extension date, as applicable, to consummate a Business Combination. It is uncertain that the Company will be able to consummate a Business Combination by this time. If a Business Combination is not consummated by this date or the extension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the prescribed date. Management plans to continue its efforts in consummating a business combination by the prescribed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2. RESTATEMENT OF PREVIOUSLY ISSUED CONSOLIDATED FINANCIAL STATEMENTS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jc w:val="both"/>
        <w:ind w:firstLine="324"/>
        <w:spacing w:after="0" w:line="287" w:lineRule="auto"/>
        <w:rPr>
          <w:sz w:val="20"/>
          <w:szCs w:val="20"/>
          <w:color w:val="auto"/>
        </w:rPr>
      </w:pPr>
      <w:r>
        <w:rPr>
          <w:rFonts w:ascii="Arial" w:cs="Arial" w:eastAsia="Arial" w:hAnsi="Arial"/>
          <w:sz w:val="16"/>
          <w:szCs w:val="16"/>
          <w:color w:val="auto"/>
        </w:rPr>
        <w:t>In connection with the audit of the Company’s consolidated financial statements for the year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stockholders’ equity” criteria as contemplated by ASC Section 815-40-25.</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consolidated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or cash.</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Previously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w:t>
            </w:r>
          </w:p>
        </w:tc>
      </w:tr>
      <w:tr>
        <w:trPr>
          <w:trHeight w:val="241"/>
        </w:trPr>
        <w:tc>
          <w:tcPr>
            <w:tcW w:w="4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Restated</w:t>
            </w: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sheet as of November 13, 2019 (audited)</w:t>
            </w:r>
          </w:p>
        </w:tc>
        <w:tc>
          <w:tcPr>
            <w:tcW w:w="2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13,996,325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13,996,325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Liabilities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6,902,150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13,996,325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20,898,475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162,038,390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(13,996,330)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148,042,060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5,011,163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5,868,717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(11,750)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(857,689)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(869,439)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Number of Class A common stock subject to redemption</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16,203,839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(1,399,633)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14,804,206</w:t>
            </w:r>
          </w:p>
        </w:tc>
      </w:tr>
      <w:tr>
        <w:trPr>
          <w:trHeight w:val="135"/>
        </w:trPr>
        <w:tc>
          <w:tcPr>
            <w:tcW w:w="47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2019 (audited)</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7,857,175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7,857,175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Liabilities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7,095,309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7,857,175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14,952,484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162,112,500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(7,857,180)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154,255,320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4,937,054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(4,937,054)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62,359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4,936,981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4,999,340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5,000,004</w:t>
            </w:r>
          </w:p>
        </w:tc>
      </w:tr>
      <w:tr>
        <w:trPr>
          <w:trHeight w:val="135"/>
        </w:trPr>
        <w:tc>
          <w:tcPr>
            <w:tcW w:w="47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March 31, 2020 (unaudited)</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Warrant Liabilities</w:t>
            </w:r>
          </w:p>
        </w:tc>
        <w:tc>
          <w:tcPr>
            <w:tcW w:w="2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6,907,475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6,907,475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7,240,139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6,907,475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14,147,614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162,371,970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(6,907,480)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155,464,490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4,677,586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(4,677,586)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321,830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4,677,522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4,999,352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5,000,008</w:t>
            </w:r>
          </w:p>
        </w:tc>
      </w:tr>
      <w:tr>
        <w:trPr>
          <w:trHeight w:val="135"/>
        </w:trPr>
        <w:tc>
          <w:tcPr>
            <w:tcW w:w="47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5,721,775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5,721,775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Liabilities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7,038,476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5,721,775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12,760,251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162,408,340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(5,721,780)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156,686,560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4,641,217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(4,641,217)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358,202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4,641,165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4,999,367</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5,000,010</w:t>
            </w:r>
          </w:p>
        </w:tc>
      </w:tr>
      <w:tr>
        <w:trPr>
          <w:trHeight w:val="135"/>
        </w:trPr>
        <w:tc>
          <w:tcPr>
            <w:tcW w:w="47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Warrant Liabilities</w:t>
            </w:r>
          </w:p>
        </w:tc>
        <w:tc>
          <w:tcPr>
            <w:tcW w:w="2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10,424,088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10,424,088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6,989,141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10,424,088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17,413,229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162,243,730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(10,424,090)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151,819,640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4,805,825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61,046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4,866,871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193,592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132,444</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5,000,005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5,000,007</w:t>
            </w:r>
          </w:p>
        </w:tc>
      </w:tr>
      <w:tr>
        <w:trPr>
          <w:trHeight w:val="641"/>
        </w:trPr>
        <w:tc>
          <w:tcPr>
            <w:tcW w:w="47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660"/>
              <w:spacing w:after="0"/>
              <w:rPr>
                <w:sz w:val="20"/>
                <w:szCs w:val="20"/>
                <w:color w:val="auto"/>
              </w:rPr>
            </w:pPr>
            <w:r>
              <w:rPr>
                <w:rFonts w:ascii="Arial" w:cs="Arial" w:eastAsia="Arial" w:hAnsi="Arial"/>
                <w:sz w:val="18"/>
                <w:szCs w:val="18"/>
                <w:color w:val="auto"/>
              </w:rPr>
              <w:t>F-11</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784"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48,077,888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48,077,888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9,385,896</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48,077,888</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57,463,784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159,347,050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(48,077,890)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111,269,160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Class A Common Stock</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7,702,476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37,714,470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45,416,946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(2,703,091)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(37,714,948)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(40,418,039)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7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Statement of operations for period from May 28, 2019 (inception) through December 31, 2019</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(audited)</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62,359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$5,281,461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5,343,820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(857,689)</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(857,689)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6,139,150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6,139,150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Class A and Class B non-redeemable common stock</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Diluted net loss per share, Class A and Class B non-redeemable common stock</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Statement of operations for the Three months ended March 31, 2020 (unaudited)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259,471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949,700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1,209,171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949,700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949,700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1"/>
              </w:rPr>
              <w:t>Basic and diluted net income (loss) per share, Class A and Class B non-redeemable common stock</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Three months ended June 30, 2020 (unaudited)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36,372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1,185,700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1,222,072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1,185,700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1,185,700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Statement of operations for the Six months ended June 30, 2020 (unaudited)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295,843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2,135,400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2,431,243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2,135,400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2,135,400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operations for the Three months ended September 30, 2020 (unaudited)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(164,610)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(4,702,313)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(4,866,923)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(4,702,313)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(4,702,313)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Statement of operations for the Nine months ended September 30, 2020 (unaudited)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131,233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(2,435,680)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(2,566,913)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(2,566,913)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Year ended December 31, 2020 (audited)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(2,765,450)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(40,220,713)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(42,986,163)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(40,220,713)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(40,220,713)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and diluted net loss per share, Class A and Class B non-redeemable common stock</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Statements of Cash Flows for the Period ended December 31, 2019 (audited)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62,359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$5,281,461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5,343,820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Transaction costs allocable to warrant liabilities</w:t>
            </w:r>
          </w:p>
        </w:tc>
        <w:tc>
          <w:tcPr>
            <w:tcW w:w="2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857,689</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857,689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(6,139,150)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(6,139,150)</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tatements of Cash Flows for the Three months ended March 31, 2020 (unaudited)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259,471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949,700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1,209,171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(949,700)</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tatements of Cash Flows for the Six months ended June 30, 2020 (unaudited)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295,843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2,135,400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2,431,243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(2,135,400)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(2,135,400)</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tatements of Cash Flows for the Nine months ended September 30, 2020 (unaudited)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131,233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(2,566,913)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(2,435,680)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2,566,913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2,566,913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Flows for the Year ended December 31, 2020 (audited)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(2,765,450)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(40,220,713)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(42,986,163)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40,220,713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40,220,713</w:t>
            </w:r>
          </w:p>
        </w:tc>
        <w:tc>
          <w:tcPr>
            <w:tcW w:w="0" w:type="dxa"/>
            <w:vAlign w:val="bottom"/>
          </w:tcPr>
          <w:p>
            <w:pPr>
              <w:spacing w:after="0"/>
              <w:rPr>
                <w:sz w:val="1"/>
                <w:szCs w:val="1"/>
                <w:color w:val="auto"/>
              </w:rPr>
            </w:pPr>
          </w:p>
        </w:tc>
      </w:tr>
      <w:tr>
        <w:trPr>
          <w:trHeight w:val="655"/>
        </w:trPr>
        <w:tc>
          <w:tcPr>
            <w:tcW w:w="60" w:type="dxa"/>
            <w:vAlign w:val="bottom"/>
          </w:tcPr>
          <w:p>
            <w:pPr>
              <w:spacing w:after="0"/>
              <w:rPr>
                <w:sz w:val="24"/>
                <w:szCs w:val="24"/>
                <w:color w:val="auto"/>
              </w:rPr>
            </w:pPr>
          </w:p>
        </w:tc>
        <w:tc>
          <w:tcPr>
            <w:tcW w:w="726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F-12</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60" w:top="661" w:right="339" w:bottom="447"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NOTE 2a.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583"/>
        <w:spacing w:after="0" w:line="342" w:lineRule="auto"/>
        <w:rPr>
          <w:sz w:val="20"/>
          <w:szCs w:val="20"/>
          <w:color w:val="auto"/>
        </w:rPr>
      </w:pPr>
      <w:r>
        <w:rPr>
          <w:rFonts w:ascii="Arial" w:cs="Arial" w:eastAsia="Arial" w:hAnsi="Arial"/>
          <w:sz w:val="16"/>
          <w:szCs w:val="16"/>
          <w:color w:val="auto"/>
        </w:rPr>
        <w:t>The accompanying consolidated financial statements are presented in U.S. dollars and have been prepared in accordance with accounting principles generally accepted in the United States of America (“U.S. GAAP”) and pursuant to the accounting and disclosure rules and regulations of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firstLine="583"/>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583"/>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583"/>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4"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events. Accordingly, the actual results could differ significantly from those estimates.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Shares of Class common stock subject to mandatory redemption are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December 31, 2020 and 2019, there were 11,126,916 and 15,425,532, respectively, shares of Class A common stock subject to possible redemption, respectively, presented as temporary equity, outside of the stockholders’ equity section of the Company’s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Offering costs consist of legal, accounting, underwriting fees and other costs incurred through the closing date of the Initial Public Offering that are directly related to the Initial Public Offering. Offering costs amounted to $10,924,857, of which $10,067,168 was charged to stockholders’ equity and $857,689 was allocated to the warrants and expensed through the statement of operations, upon the completion of the Initial Public Offering in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paid-in-capital at the time of issuance. For issued or modified warrants that do not meet all the criteria for equity classification, the warrants are required to be recorded at their initial fair value on the date of issuance, and each balance sheet date thereafter. The Company accounts for the warrants issued in connection with its Initial Public Offering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initially was estimated using a Post-Acquisition Simulation, with subsequent measurements utilizing the public trading price. The fair value of the private warrants was initially and subsequently measured using the Black-Scholes Model (see Note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consolidated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shares of common stock outstanding for the period. The Company has not considered the effect of warrants sold in the Initial Public Offering and as part of the Placement Units to purchase 8,897,500 shares of Class A common stock in the calculation of diluted income (loss) per share for non-redeemable Class A and B common stock, since the exercise of such warrants are contingent upon the occurrence of future events.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ind w:firstLine="648"/>
        <w:spacing w:after="0" w:line="254" w:lineRule="auto"/>
        <w:rPr>
          <w:sz w:val="20"/>
          <w:szCs w:val="20"/>
          <w:color w:val="auto"/>
        </w:rPr>
      </w:pPr>
      <w:r>
        <w:rPr>
          <w:rFonts w:ascii="Arial" w:cs="Arial" w:eastAsia="Arial" w:hAnsi="Arial"/>
          <w:sz w:val="18"/>
          <w:szCs w:val="18"/>
          <w:color w:val="auto"/>
        </w:rPr>
        <w:t>The Company’s consolidated statements of operations includes a presentation of income (loss) per share for common shares subject to possible redemption in a manner similar to the two-class method of income (loss) per share. Net income (loss) per share, basic and diluted, for Class A redeemable common stock is calculated by dividing the interest income earned on the Trust Account net of applicable franchise and income taxes, by the weighted average number of Class A redeemable common stock outstanding since original issuance. Net income (loss) per share, basic and diluted, for Class A and B non-redeemable common stock is calculated by dividing the net income (loss) adjusted for the net income (loss) attributable to Class A redeemable common stock, by the weighted average number of Class A and B non-redeemable common stock outstanding for the period. Class A and B non-redeemable common stock includes the Founder Shares as these shares do not have any redemption features and do not participate in the income earned on the Trust Account.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For the Period</w:t>
            </w:r>
          </w:p>
        </w:tc>
      </w:tr>
      <w:tr>
        <w:trPr>
          <w:trHeight w:val="216"/>
        </w:trPr>
        <w:tc>
          <w:tcPr>
            <w:tcW w:w="7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from May 28,</w:t>
            </w:r>
          </w:p>
        </w:tc>
      </w:tr>
      <w:tr>
        <w:trPr>
          <w:trHeight w:val="216"/>
        </w:trPr>
        <w:tc>
          <w:tcPr>
            <w:tcW w:w="7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7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7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9"/>
                <w:szCs w:val="19"/>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20"/>
                <w:szCs w:val="20"/>
                <w:color w:val="auto"/>
              </w:rPr>
            </w:pPr>
          </w:p>
        </w:tc>
      </w:tr>
      <w:tr>
        <w:trPr>
          <w:trHeight w:val="202"/>
        </w:trPr>
        <w:tc>
          <w:tcPr>
            <w:tcW w:w="7400" w:type="dxa"/>
            <w:vAlign w:val="bottom"/>
          </w:tcPr>
          <w:p>
            <w:pPr>
              <w:spacing w:after="0" w:line="201" w:lineRule="exact"/>
              <w:rPr>
                <w:sz w:val="20"/>
                <w:szCs w:val="20"/>
                <w:color w:val="auto"/>
              </w:rPr>
            </w:pPr>
            <w:r>
              <w:rPr>
                <w:rFonts w:ascii="Arial" w:cs="Arial" w:eastAsia="Arial" w:hAnsi="Arial"/>
                <w:sz w:val="18"/>
                <w:szCs w:val="18"/>
                <w:color w:val="auto"/>
              </w:rPr>
              <w:t>Redeemable Class A Common Stock</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Numerator: Net Income (loss) allocable to Redeemable Class A Common Stock</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1,134,391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346,011</w:t>
            </w:r>
          </w:p>
        </w:tc>
      </w:tr>
      <w:tr>
        <w:trPr>
          <w:trHeight w:val="237"/>
        </w:trPr>
        <w:tc>
          <w:tcPr>
            <w:tcW w:w="7400" w:type="dxa"/>
            <w:vAlign w:val="bottom"/>
          </w:tcPr>
          <w:p>
            <w:pPr>
              <w:ind w:left="300"/>
              <w:spacing w:after="0"/>
              <w:rPr>
                <w:sz w:val="20"/>
                <w:szCs w:val="20"/>
                <w:color w:val="auto"/>
              </w:rPr>
            </w:pPr>
            <w:r>
              <w:rPr>
                <w:rFonts w:ascii="Arial" w:cs="Arial" w:eastAsia="Arial" w:hAnsi="Arial"/>
                <w:sz w:val="18"/>
                <w:szCs w:val="18"/>
                <w:color w:val="auto"/>
              </w:rPr>
              <w:t>Income and Franchise Tax</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(378,916)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(167,069)</w:t>
            </w:r>
          </w:p>
        </w:tc>
      </w:tr>
      <w:tr>
        <w:trPr>
          <w:trHeight w:val="216"/>
        </w:trPr>
        <w:tc>
          <w:tcPr>
            <w:tcW w:w="74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Redeemable Net Income</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Denominator: Weighted Average Redeemable Class A Common Stock</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Class A Common Stock, Basic and Diluted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17,250,000</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Net Income (loss)/Basic and Diluted Redeemable Class A 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7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Numerator: Net Income (loss) minus Redeemable Net Income (loss)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(42,986,163)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5,343,820</w:t>
            </w:r>
          </w:p>
        </w:tc>
      </w:tr>
      <w:tr>
        <w:trPr>
          <w:trHeight w:val="249"/>
        </w:trPr>
        <w:tc>
          <w:tcPr>
            <w:tcW w:w="7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Redeemable Net Income (Loss)</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(755,475)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(178,942)</w:t>
            </w:r>
          </w:p>
        </w:tc>
      </w:tr>
      <w:tr>
        <w:trPr>
          <w:trHeight w:val="203"/>
        </w:trPr>
        <w:tc>
          <w:tcPr>
            <w:tcW w:w="7400" w:type="dxa"/>
            <w:vAlign w:val="bottom"/>
            <w:tcBorders>
              <w:top w:val="single" w:sz="8" w:color="CCEEFF"/>
            </w:tcBorders>
          </w:tcPr>
          <w:p>
            <w:pPr>
              <w:ind w:left="440"/>
              <w:spacing w:after="0" w:line="203" w:lineRule="exact"/>
              <w:rPr>
                <w:sz w:val="20"/>
                <w:szCs w:val="20"/>
                <w:color w:val="auto"/>
              </w:rPr>
            </w:pPr>
            <w:r>
              <w:rPr>
                <w:rFonts w:ascii="Arial" w:cs="Arial" w:eastAsia="Arial" w:hAnsi="Arial"/>
                <w:sz w:val="18"/>
                <w:szCs w:val="18"/>
                <w:color w:val="auto"/>
              </w:rPr>
              <w:t>Non-Redeemable Net Income (loss)</w:t>
            </w: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(43,741,638)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5,164,878</w:t>
            </w:r>
          </w:p>
        </w:tc>
        <w:tc>
          <w:tcPr>
            <w:tcW w:w="60" w:type="dxa"/>
            <w:vAlign w:val="bottom"/>
            <w:tcBorders>
              <w:top w:val="single" w:sz="8" w:color="CCEEFF"/>
            </w:tcBorders>
          </w:tcPr>
          <w:p>
            <w:pPr>
              <w:spacing w:after="0"/>
              <w:rPr>
                <w:sz w:val="17"/>
                <w:szCs w:val="17"/>
                <w:color w:val="auto"/>
              </w:rPr>
            </w:pP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00" w:type="dxa"/>
            <w:vAlign w:val="bottom"/>
          </w:tcPr>
          <w:p>
            <w:pPr>
              <w:ind w:left="300"/>
              <w:spacing w:after="0"/>
              <w:rPr>
                <w:sz w:val="20"/>
                <w:szCs w:val="20"/>
                <w:color w:val="auto"/>
              </w:rPr>
            </w:pPr>
            <w:r>
              <w:rPr>
                <w:rFonts w:ascii="Arial" w:cs="Arial" w:eastAsia="Arial" w:hAnsi="Arial"/>
                <w:sz w:val="18"/>
                <w:szCs w:val="18"/>
                <w:color w:val="auto"/>
              </w:rPr>
              <w:t>Non-Redeemable Class A and B Common Stock, Basic</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4,857,500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4,041,761</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(loss)/Basic Non-Redeemable Class A and B Common Stock</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16"/>
        </w:trPr>
        <w:tc>
          <w:tcPr>
            <w:tcW w:w="7400" w:type="dxa"/>
            <w:vAlign w:val="bottom"/>
          </w:tcPr>
          <w:p>
            <w:pPr>
              <w:ind w:left="160"/>
              <w:spacing w:after="0"/>
              <w:rPr>
                <w:sz w:val="20"/>
                <w:szCs w:val="20"/>
                <w:color w:val="auto"/>
              </w:rPr>
            </w:pPr>
            <w:r>
              <w:rPr>
                <w:rFonts w:ascii="Arial" w:cs="Arial" w:eastAsia="Arial" w:hAnsi="Arial"/>
                <w:sz w:val="18"/>
                <w:szCs w:val="18"/>
                <w:color w:val="auto"/>
              </w:rPr>
              <w:t>Non-Redeemable Class A and B Common Stock, Diluted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4,857,500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4,168,777</w:t>
            </w:r>
          </w:p>
        </w:tc>
      </w:tr>
      <w:tr>
        <w:trPr>
          <w:trHeight w:val="216"/>
        </w:trPr>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Diluted Non-Redeemable Class A and B Common Stock</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sheets, primarily due to their short-term nature (see Note 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Accounting Standards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NOTE 3. INITIAL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4. PRIVATE PLACEMENT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NOTE 5. RELATED PARTY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For the year ended December 31, 2020 and the period from May 28, 2019 (inception) to December 31, 2019, the Company incurred $120,000 and $20,000 in fees for these services, respectively, of which $30,000 and $20,000, are included in accrued expenses in the accompanying consolidated balance sheets at December 31, 2020 and 2019,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December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6.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completion of a business combination, the specific impact is not readily determinable as of the date of these consolidated financial statements.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3, 2020, a purported stockholder of the Company filed a complaint against the Company and its board of directors in the United States District Court for the Southern District of New York, in a case captioned Wallace v. Stable Road Acquisition Corp., et al., No. 1:20-cv-10193, alleging that the Company’s Registration Statement on Form S-4, originally filed with the SEC on November 2, 2020, omitted certain material information regarding the Proposed Transaction with Momentus, in violation of the securities laws. As relief, the complaint seeks an injunction barring the Company from proceeding with a stockholder vote with respect to, or consummating, the Proposed Transaction absent additional disclosures, as well as unspecified costs and damages. On December 9, 2020, another purported stockholder of the Company filed a complaint against the Company and its board of directors in the Supreme Court of the State of New York for the County of New York, in a case captioned Ciccotelli v. Stable Road Acquisition Corp., et al., No. 656895/2020, raising similar allegations and seeking similar relief as the complaint from the Wallace action.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2021, the SEC’s Division of Enforcement informed the Company that it was investigating certain disclosures made in filings with the SEC, including in connection with the Proposed Transaction. The Company is fully cooperating with the SEC’s investigation.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the outcome of these matters cannot be determined at this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STOCKHOLDERS’ EQUITY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and 2019, there were no shares of preferred stock issued or outstanding.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A common stock are entitled to one vote for each share. At December 31, 2020 and 2019, there were 6,668,084 and 2,369,468 shares of Class A common stock issued or outstanding, excluding 11,126,916 and 15,425,532 shares of common stock subject to possible redemption, respectively.</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B common stock are entitled to one vote for each share. At December 31, 2020 and 2019, there were 4,312,500 shares of Class B common stock issued and outstanding.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8.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13" w:gutter="0" w:footer="0" w:header="0"/>
        </w:sectPr>
      </w:pPr>
    </w:p>
    <w:bookmarkStart w:id="91" w:name="page92"/>
    <w:bookmarkEnd w:id="91"/>
    <w:p>
      <w:pPr>
        <w:jc w:val="both"/>
        <w:ind w:firstLine="648"/>
        <w:spacing w:after="0" w:line="294"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w:t>
      </w:r>
      <w:r>
        <w:rPr>
          <w:rFonts w:ascii="Arial" w:cs="Arial" w:eastAsia="Arial" w:hAnsi="Arial"/>
          <w:sz w:val="9"/>
          <w:szCs w:val="9"/>
          <w:color w:val="auto"/>
        </w:rPr>
        <w:t>th</w:t>
      </w:r>
      <w:r>
        <w:rPr>
          <w:rFonts w:ascii="Arial" w:cs="Arial" w:eastAsia="Arial" w:hAnsi="Arial"/>
          <w:sz w:val="16"/>
          <w:szCs w:val="16"/>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1000" w:hanging="344"/>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225" w:lineRule="exact"/>
        <w:rPr>
          <w:rFonts w:ascii="Arial" w:cs="Arial" w:eastAsia="Arial" w:hAnsi="Arial"/>
          <w:sz w:val="18"/>
          <w:szCs w:val="18"/>
          <w:color w:val="auto"/>
        </w:rPr>
      </w:pPr>
    </w:p>
    <w:p>
      <w:pPr>
        <w:ind w:left="1000" w:right="20" w:hanging="344"/>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jc w:val="both"/>
        <w:ind w:firstLine="648"/>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9. 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significant deferred tax assets or liabilities as of December 31,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763,877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763,877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24,483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(763,877)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Deferred tax asset, net of allowance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(739,394)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739,394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178,866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2020 and 2019, the Company did not have any U.S. federal and state net operating loss carryovers available to offset future taxable income.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2020 and the period from May 28, 2019 (inception) through December 31, 2019, the change in the valuation allowance was $739,394 and $24,483,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6"/>
          <w:szCs w:val="16"/>
          <w:color w:val="auto"/>
        </w:rPr>
        <w:t>A reconciliation of the federal income tax rate to the Company’s effective tax rate for the year ended December 31, 2020 and for the period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28, 2019 (inception) through December 31, 2019 is as follows:</w:t>
      </w:r>
    </w:p>
    <w:p>
      <w:pPr>
        <w:spacing w:after="0" w:line="220"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r>
      <w:tr>
        <w:trPr>
          <w:trHeight w:val="229"/>
        </w:trPr>
        <w:tc>
          <w:tcPr>
            <w:tcW w:w="8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10. FAIR VALUE MEASUREMENTS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520" w:right="20" w:hanging="850"/>
        <w:spacing w:after="0" w:line="342"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520" w:right="20" w:hanging="850"/>
        <w:spacing w:after="0" w:line="277" w:lineRule="auto"/>
        <w:tabs>
          <w:tab w:leader="none" w:pos="150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consolidated balance sheets and adjusted for the amortization or accretion of premiums or discounts.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December 31, 2020, assets held in the Trust Account were comprised of $636 in cash and $173,107,113 in U.S. Treasury securities. During the year ended December 31, 2020, the Company withdrew $872,653 of interest income from the Trust Account to pay for franchise and income taxes.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December 31, 2019, assets held in the Trust Account were comprised of $873 in cash and $172,845,138 in U.S. Treasury securities. During the period from May 28, 2019 (inception) through December 31, 2019, the Company did not withdraw any interest income from the Trust Account.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ind w:firstLine="648"/>
        <w:spacing w:after="0" w:line="263"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at December 31, 2020 and 2019 and indicates the fair value hierarchy of the valuation inputs the Company utilized to determine such fair value. The gross holding gains and fair value of held-to-maturity securities at December 31, 2020 and 2019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gridSpan w:val="2"/>
          </w:tcPr>
          <w:p>
            <w:pPr>
              <w:ind w:left="760"/>
              <w:spacing w:after="0"/>
              <w:rPr>
                <w:sz w:val="20"/>
                <w:szCs w:val="20"/>
                <w:color w:val="auto"/>
              </w:rPr>
            </w:pPr>
            <w:r>
              <w:rPr>
                <w:rFonts w:ascii="Arial" w:cs="Arial" w:eastAsia="Arial" w:hAnsi="Arial"/>
                <w:sz w:val="18"/>
                <w:szCs w:val="18"/>
                <w:b w:val="1"/>
                <w:bCs w:val="1"/>
                <w:color w:val="auto"/>
              </w:rPr>
              <w:t>Held-To-Maturity</w:t>
            </w:r>
          </w:p>
        </w:tc>
        <w:tc>
          <w:tcPr>
            <w:tcW w:w="1380" w:type="dxa"/>
            <w:vAlign w:val="bottom"/>
            <w:gridSpan w:val="4"/>
          </w:tcPr>
          <w:p>
            <w:pPr>
              <w:ind w:left="36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02"/>
        </w:trPr>
        <w:tc>
          <w:tcPr>
            <w:tcW w:w="2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(Mature on</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8"/>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1/5/2021)</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173,107,113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173,109,000</w:t>
            </w:r>
          </w:p>
        </w:tc>
      </w:tr>
      <w:tr>
        <w:trPr>
          <w:trHeight w:val="21"/>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(Matured on</w:t>
            </w: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8"/>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5/14/2020)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172,845,138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172,858,548</w:t>
            </w:r>
          </w:p>
        </w:tc>
      </w:tr>
      <w:tr>
        <w:trPr>
          <w:trHeight w:val="21"/>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Level</w:t>
            </w: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2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2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45,625,388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00" w:type="dxa"/>
            <w:vAlign w:val="bottom"/>
            <w:gridSpan w:val="4"/>
          </w:tcPr>
          <w:p>
            <w:pPr>
              <w:spacing w:after="0"/>
              <w:rPr>
                <w:sz w:val="20"/>
                <w:szCs w:val="20"/>
                <w:color w:val="auto"/>
              </w:rPr>
            </w:pPr>
            <w:r>
              <w:rPr>
                <w:rFonts w:ascii="Arial" w:cs="Arial" w:eastAsia="Arial" w:hAnsi="Arial"/>
                <w:sz w:val="18"/>
                <w:szCs w:val="18"/>
                <w:color w:val="auto"/>
              </w:rPr>
              <w:t>Warrant Liability – Private Placement Warrants</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2,452,500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525,925</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Company’s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Measurement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established the initial fair value for the Warrants on November 13, 2019, the date of the Company’s Initial Public Offering, using a Black-Scholes Model for private warrants and a Post-Acquisition Simulation for public warrants. The Company allocated the proceeds received from (i) the sale of Units (which is inclusive of one share of common stock and one-third of one Public Warrant), (ii) the sale of Private Placement Warrants, and</w:t>
      </w:r>
    </w:p>
    <w:p>
      <w:pPr>
        <w:spacing w:after="0" w:line="2" w:lineRule="exact"/>
        <w:rPr>
          <w:sz w:val="20"/>
          <w:szCs w:val="20"/>
          <w:color w:val="auto"/>
        </w:rPr>
      </w:pPr>
    </w:p>
    <w:p>
      <w:pPr>
        <w:ind w:firstLine="8"/>
        <w:spacing w:after="0" w:line="323"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issuance of common shares, first to the Warrants based on their fair values as determined at initial measurement, with the remaining proceeds allocated to common shares subject to possible redemption, and common shares based on their relative fair values at the initial measurement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ind w:left="660"/>
              <w:spacing w:after="0"/>
              <w:rPr>
                <w:sz w:val="20"/>
                <w:szCs w:val="20"/>
                <w:color w:val="auto"/>
              </w:rPr>
            </w:pPr>
            <w:r>
              <w:rPr>
                <w:rFonts w:ascii="Arial" w:cs="Arial" w:eastAsia="Arial" w:hAnsi="Arial"/>
                <w:sz w:val="18"/>
                <w:szCs w:val="18"/>
                <w:color w:val="auto"/>
                <w:w w:val="97"/>
              </w:rPr>
              <w:t>The key inputs into the Black-Scholes model for the Private Placement Warrants were as follows at initial measurement: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November 13,</w:t>
            </w: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(Initial</w:t>
            </w:r>
          </w:p>
        </w:tc>
        <w:tc>
          <w:tcPr>
            <w:tcW w:w="0" w:type="dxa"/>
            <w:vAlign w:val="bottom"/>
          </w:tcPr>
          <w:p>
            <w:pPr>
              <w:spacing w:after="0"/>
              <w:rPr>
                <w:sz w:val="1"/>
                <w:szCs w:val="1"/>
                <w:color w:val="auto"/>
              </w:rPr>
            </w:pPr>
          </w:p>
        </w:tc>
      </w:tr>
      <w:tr>
        <w:trPr>
          <w:trHeight w:val="234"/>
        </w:trPr>
        <w:tc>
          <w:tcPr>
            <w:tcW w:w="9860" w:type="dxa"/>
            <w:vAlign w:val="bottom"/>
          </w:tcPr>
          <w:p>
            <w:pPr>
              <w:spacing w:after="0"/>
              <w:rPr>
                <w:sz w:val="20"/>
                <w:szCs w:val="20"/>
                <w:color w:val="auto"/>
              </w:rPr>
            </w:pPr>
            <w:r>
              <w:rPr>
                <w:rFonts w:ascii="Arial" w:cs="Arial" w:eastAsia="Arial" w:hAnsi="Arial"/>
                <w:sz w:val="18"/>
                <w:szCs w:val="18"/>
                <w:color w:val="auto"/>
              </w:rPr>
              <w:t>Input</w:t>
            </w:r>
          </w:p>
        </w:tc>
        <w:tc>
          <w:tcPr>
            <w:tcW w:w="1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Measurement)</w:t>
            </w:r>
          </w:p>
        </w:tc>
        <w:tc>
          <w:tcPr>
            <w:tcW w:w="0" w:type="dxa"/>
            <w:vAlign w:val="bottom"/>
          </w:tcPr>
          <w:p>
            <w:pPr>
              <w:spacing w:after="0"/>
              <w:rPr>
                <w:sz w:val="1"/>
                <w:szCs w:val="1"/>
                <w:color w:val="auto"/>
              </w:rPr>
            </w:pPr>
          </w:p>
        </w:tc>
      </w:tr>
      <w:tr>
        <w:trPr>
          <w:trHeight w:val="27"/>
        </w:trPr>
        <w:tc>
          <w:tcPr>
            <w:tcW w:w="9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Holding period (years)</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Underlying value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432"/>
        </w:trPr>
        <w:tc>
          <w:tcPr>
            <w:tcW w:w="9980" w:type="dxa"/>
            <w:vAlign w:val="bottom"/>
            <w:gridSpan w:val="2"/>
          </w:tcPr>
          <w:p>
            <w:pPr>
              <w:ind w:left="660"/>
              <w:spacing w:after="0"/>
              <w:rPr>
                <w:sz w:val="20"/>
                <w:szCs w:val="20"/>
                <w:color w:val="auto"/>
              </w:rPr>
            </w:pPr>
            <w:r>
              <w:rPr>
                <w:rFonts w:ascii="Arial" w:cs="Arial" w:eastAsia="Arial" w:hAnsi="Arial"/>
                <w:sz w:val="18"/>
                <w:szCs w:val="18"/>
                <w:color w:val="auto"/>
              </w:rPr>
              <w:t>The key inputs into the Post-Acquisition Simulation for the Public Warrants were as follows at initial measurement: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November 13,</w:t>
            </w: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(Initial</w:t>
            </w:r>
          </w:p>
        </w:tc>
        <w:tc>
          <w:tcPr>
            <w:tcW w:w="0" w:type="dxa"/>
            <w:vAlign w:val="bottom"/>
          </w:tcPr>
          <w:p>
            <w:pPr>
              <w:spacing w:after="0"/>
              <w:rPr>
                <w:sz w:val="1"/>
                <w:szCs w:val="1"/>
                <w:color w:val="auto"/>
              </w:rPr>
            </w:pPr>
          </w:p>
        </w:tc>
      </w:tr>
      <w:tr>
        <w:trPr>
          <w:trHeight w:val="234"/>
        </w:trPr>
        <w:tc>
          <w:tcPr>
            <w:tcW w:w="9860" w:type="dxa"/>
            <w:vAlign w:val="bottom"/>
          </w:tcPr>
          <w:p>
            <w:pPr>
              <w:spacing w:after="0"/>
              <w:rPr>
                <w:sz w:val="20"/>
                <w:szCs w:val="20"/>
                <w:color w:val="auto"/>
              </w:rPr>
            </w:pPr>
            <w:r>
              <w:rPr>
                <w:rFonts w:ascii="Arial" w:cs="Arial" w:eastAsia="Arial" w:hAnsi="Arial"/>
                <w:sz w:val="18"/>
                <w:szCs w:val="18"/>
                <w:color w:val="auto"/>
              </w:rPr>
              <w:t>Input</w:t>
            </w:r>
          </w:p>
        </w:tc>
        <w:tc>
          <w:tcPr>
            <w:tcW w:w="1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Measurement)</w:t>
            </w:r>
          </w:p>
        </w:tc>
        <w:tc>
          <w:tcPr>
            <w:tcW w:w="0" w:type="dxa"/>
            <w:vAlign w:val="bottom"/>
          </w:tcPr>
          <w:p>
            <w:pPr>
              <w:spacing w:after="0"/>
              <w:rPr>
                <w:sz w:val="1"/>
                <w:szCs w:val="1"/>
                <w:color w:val="auto"/>
              </w:rPr>
            </w:pPr>
          </w:p>
        </w:tc>
      </w:tr>
      <w:tr>
        <w:trPr>
          <w:trHeight w:val="27"/>
        </w:trPr>
        <w:tc>
          <w:tcPr>
            <w:tcW w:w="9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Holding period (days)</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Warrant redemption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641"/>
        </w:trPr>
        <w:tc>
          <w:tcPr>
            <w:tcW w:w="9980" w:type="dxa"/>
            <w:vAlign w:val="bottom"/>
            <w:tcBorders>
              <w:bottom w:val="single" w:sz="8" w:color="auto"/>
            </w:tcBorders>
            <w:gridSpan w:val="2"/>
          </w:tcPr>
          <w:p>
            <w:pPr>
              <w:ind w:left="5460"/>
              <w:spacing w:after="0"/>
              <w:rPr>
                <w:sz w:val="20"/>
                <w:szCs w:val="20"/>
                <w:color w:val="auto"/>
              </w:rPr>
            </w:pPr>
            <w:r>
              <w:rPr>
                <w:rFonts w:ascii="Arial" w:cs="Arial" w:eastAsia="Arial" w:hAnsi="Arial"/>
                <w:sz w:val="18"/>
                <w:szCs w:val="18"/>
                <w:color w:val="auto"/>
              </w:rPr>
              <w:t>F-22</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95" w:name="page96"/>
    <w:bookmarkEnd w:id="95"/>
    <w:p>
      <w:pPr>
        <w:jc w:val="both"/>
        <w:ind w:firstLine="648"/>
        <w:spacing w:after="0" w:line="277" w:lineRule="auto"/>
        <w:rPr>
          <w:sz w:val="20"/>
          <w:szCs w:val="20"/>
          <w:color w:val="auto"/>
        </w:rPr>
      </w:pPr>
      <w:r>
        <w:rPr>
          <w:rFonts w:ascii="Arial" w:cs="Arial" w:eastAsia="Arial" w:hAnsi="Arial"/>
          <w:sz w:val="18"/>
          <w:szCs w:val="18"/>
          <w:color w:val="auto"/>
        </w:rPr>
        <w:t>On November 13, 2019, the Private Placement Warrants and Public Warrants were determined to be $1.67 and $1.57 per warrant for aggregate values of $0.5 million and $13.5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Warrants as of December 31, 2020 and 2019 is classified as Level 1 due to the use of an observable market quote in an active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inputs into the Black-Scholes model for the Private Placement Warrants were as follows at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Input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Holding period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Underlying value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the aggregate values of the Private Placement Warrants and Public Warrants were $2.5 million and $45.6 million,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the aggregate values of the Private Placement Warrants and Public Warrants were approximately $526,000 and $7.3 million,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Public and Private Warrants at Level 3 from initial measurement to December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Private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Placement</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 May 28,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Initial measurement on November 13, 2019 (IPO)</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455,075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13,541,250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13,996,325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(6,139,150)</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Transfers out of Level 3</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(7,331,250)</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(7,331,250)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525,925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1,926,575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1,926,575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Fair value as of December 31, 2020</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2,452,500</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2,452,500</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Due to the use of quoted prices in an active market (Level 1) to measure the fair value of the Public Warrants, the Company had transfers out of Level 3 totaling $7,331,250, which represents the fair value of the warrants as of December 31, 2019. For each reporting period subsequent to December 31, 2019, the fair value of the Public Warrants are valued using an active market and are classified as Level 1 within the fair value hierarchy.</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categorization within the fair value hierarchy are recognized at the end of each reporting period based on changes in estimates or assumptions and recorded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11. SUBSEQUENT EVENTS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other than as described below and in Note 2, the Company did not identify subsequent events that would have required adjustment or disclosure in the d consolidated financial statements.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2021, Stable Road Capital LLC and DIBALYD Investments, an affiliate of Nala Investments, each loaned $300,000 to the Company pursuant to non-interest bearing promissory notes in order to finance transaction and working capital costs. The promissory notes mature upon the earlier of June 30, 2021 or the consummation of the Company’s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6"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June 10, 2021</w:t>
      </w:r>
      <w:r>
        <w:rPr>
          <w:sz w:val="20"/>
          <w:szCs w:val="20"/>
          <w:color w:val="auto"/>
        </w:rPr>
        <w:tab/>
      </w:r>
      <w:r>
        <w:rPr>
          <w:rFonts w:ascii="Arial" w:cs="Arial" w:eastAsia="Arial" w:hAnsi="Arial"/>
          <w:sz w:val="17"/>
          <w:szCs w:val="17"/>
          <w:b w:val="1"/>
          <w:bCs w:val="1"/>
          <w:color w:val="auto"/>
        </w:rPr>
        <w:t>STABLE ROAD ACQUISITION CORP.</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16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Kabot</w:t>
            </w:r>
          </w:p>
        </w:tc>
        <w:tc>
          <w:tcPr>
            <w:tcW w:w="12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Brian Kabot</w:t>
            </w:r>
          </w:p>
        </w:tc>
        <w:tc>
          <w:tcPr>
            <w:tcW w:w="120" w:type="dxa"/>
            <w:vAlign w:val="bottom"/>
          </w:tcPr>
          <w:p>
            <w:pPr>
              <w:spacing w:after="0"/>
              <w:rPr>
                <w:sz w:val="20"/>
                <w:szCs w:val="20"/>
                <w:color w:val="auto"/>
              </w:rPr>
            </w:pPr>
          </w:p>
        </w:tc>
        <w:tc>
          <w:tcPr>
            <w:tcW w:w="4260" w:type="dxa"/>
            <w:vAlign w:val="bottom"/>
            <w:gridSpan w:val="2"/>
          </w:tcPr>
          <w:p>
            <w:pPr>
              <w:ind w:left="20"/>
              <w:spacing w:after="0" w:line="203" w:lineRule="exact"/>
              <w:rPr>
                <w:sz w:val="20"/>
                <w:szCs w:val="20"/>
                <w:color w:val="auto"/>
              </w:rPr>
            </w:pPr>
            <w:r>
              <w:rPr>
                <w:rFonts w:ascii="Arial" w:cs="Arial" w:eastAsia="Arial" w:hAnsi="Arial"/>
                <w:sz w:val="18"/>
                <w:szCs w:val="18"/>
                <w:i w:val="1"/>
                <w:iCs w:val="1"/>
                <w:color w:val="auto"/>
              </w:rPr>
              <w:t>(Principal Executive Officer)</w:t>
            </w:r>
          </w:p>
        </w:tc>
        <w:tc>
          <w:tcPr>
            <w:tcW w:w="224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Norris</w:t>
            </w:r>
          </w:p>
        </w:tc>
        <w:tc>
          <w:tcPr>
            <w:tcW w:w="12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James Norris</w:t>
            </w:r>
          </w:p>
        </w:tc>
        <w:tc>
          <w:tcPr>
            <w:tcW w:w="120" w:type="dxa"/>
            <w:vAlign w:val="bottom"/>
          </w:tcPr>
          <w:p>
            <w:pPr>
              <w:spacing w:after="0"/>
              <w:rPr>
                <w:sz w:val="20"/>
                <w:szCs w:val="20"/>
                <w:color w:val="auto"/>
              </w:rPr>
            </w:pPr>
          </w:p>
        </w:tc>
        <w:tc>
          <w:tcPr>
            <w:tcW w:w="4260" w:type="dxa"/>
            <w:vAlign w:val="bottom"/>
            <w:gridSpan w:val="2"/>
          </w:tcPr>
          <w:p>
            <w:pPr>
              <w:ind w:left="20"/>
              <w:spacing w:after="0" w:line="203" w:lineRule="exact"/>
              <w:rPr>
                <w:sz w:val="20"/>
                <w:szCs w:val="20"/>
                <w:color w:val="auto"/>
              </w:rPr>
            </w:pPr>
            <w:r>
              <w:rPr>
                <w:rFonts w:ascii="Arial" w:cs="Arial" w:eastAsia="Arial" w:hAnsi="Arial"/>
                <w:sz w:val="18"/>
                <w:szCs w:val="18"/>
                <w:i w:val="1"/>
                <w:iCs w:val="1"/>
                <w:color w:val="auto"/>
              </w:rPr>
              <w:t>(Principal Financial and Accounting Officer)</w:t>
            </w:r>
          </w:p>
        </w:tc>
        <w:tc>
          <w:tcPr>
            <w:tcW w:w="224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Lehmann</w:t>
            </w:r>
          </w:p>
        </w:tc>
        <w:tc>
          <w:tcPr>
            <w:tcW w:w="12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Marc Lehmann</w:t>
            </w: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Hofmockel</w:t>
            </w:r>
          </w:p>
        </w:tc>
        <w:tc>
          <w:tcPr>
            <w:tcW w:w="12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James Hofmockel</w:t>
            </w: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 Kono</w:t>
            </w:r>
          </w:p>
        </w:tc>
        <w:tc>
          <w:tcPr>
            <w:tcW w:w="12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10, 2021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Ann Kono</w:t>
            </w: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41"/>
        </w:trPr>
        <w:tc>
          <w:tcPr>
            <w:tcW w:w="46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309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680" w:hanging="335"/>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Stable Road Acquisition Corp.;</w:t>
      </w:r>
    </w:p>
    <w:p>
      <w:pPr>
        <w:spacing w:after="0" w:line="225"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80" w:right="20" w:hanging="335"/>
        <w:spacing w:after="0" w:line="308"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preparing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right="20" w:hanging="331"/>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right="20" w:hanging="331"/>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80" w:right="20" w:hanging="335"/>
        <w:spacing w:after="0" w:line="308"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20" w:hanging="331"/>
        <w:spacing w:after="0" w:line="308" w:lineRule="auto"/>
        <w:tabs>
          <w:tab w:leader="none" w:pos="10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331"/>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680" w:hanging="335"/>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Stable Road Acquisition Corp.;</w:t>
      </w:r>
    </w:p>
    <w:p>
      <w:pPr>
        <w:spacing w:after="0" w:line="225"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80" w:right="20" w:hanging="335"/>
        <w:spacing w:after="0" w:line="308"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20" w:hanging="331"/>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or external purposes in accordance with generally accepted accounting principles;</w:t>
      </w:r>
    </w:p>
    <w:p>
      <w:pPr>
        <w:spacing w:after="0" w:line="183" w:lineRule="exact"/>
        <w:rPr>
          <w:rFonts w:ascii="Arial" w:cs="Arial" w:eastAsia="Arial" w:hAnsi="Arial"/>
          <w:sz w:val="18"/>
          <w:szCs w:val="18"/>
          <w:color w:val="auto"/>
        </w:rPr>
      </w:pPr>
    </w:p>
    <w:p>
      <w:pPr>
        <w:ind w:left="1000" w:right="20" w:hanging="331"/>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00" w:right="20" w:hanging="331"/>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80" w:right="20" w:hanging="335"/>
        <w:spacing w:after="0" w:line="308"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20" w:hanging="331"/>
        <w:spacing w:after="0" w:line="308" w:lineRule="auto"/>
        <w:tabs>
          <w:tab w:leader="none" w:pos="10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20" w:hanging="331"/>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on Form 10-K/A of Stable Road Acquisition Corp. (the “Company”) for the year ended December 31, 2020,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10-K/A of Stable Road Acquisition Corp. (the “Company”) for the year ended December 31, 2020,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680" w:hanging="335"/>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By: /s/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1)"/>
      <w:numFmt w:val="lowerRoman"/>
      <w:start w:val="3"/>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1"/>
    </w:lvl>
  </w:abstractNum>
  <w:abstractNum w:abstractNumId="15">
    <w:nsid w:val="6CEAF087"/>
    <w:multiLevelType w:val="hybridMultilevel"/>
    <w:lvl w:ilvl="0">
      <w:lvlJc w:val="left"/>
      <w:lvlText w:val="(%1)"/>
      <w:numFmt w:val="lowerRoman"/>
      <w:start w:val="2"/>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Roman"/>
      <w:start w:val="1"/>
    </w:lvl>
  </w:abstractNum>
  <w:abstractNum w:abstractNumId="22">
    <w:nsid w:val="440BADFC"/>
    <w:multiLevelType w:val="hybridMultilevel"/>
    <w:lvl w:ilvl="0">
      <w:lvlJc w:val="left"/>
      <w:lvlText w:val="(%1)"/>
      <w:numFmt w:val="lowerRoman"/>
      <w:start w:val="3"/>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Letter"/>
      <w:start w:val="1"/>
    </w:lvl>
    <w:lvl w:ilvl="1">
      <w:lvlJc w:val="left"/>
      <w:lvlText w:val="(%2)"/>
      <w:numFmt w:val="decimal"/>
      <w:start w:val="1"/>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emdash "/>
      <w:numFmt w:val="bullet"/>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lowerRoman"/>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lowerRoman"/>
      <w:start w:val="3"/>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84" Type="http://schemas.openxmlformats.org/officeDocument/2006/relationships/hyperlink" Target="https://www.sec.gov/Archives/edgar/data/1781162/000121390019023186/f8k1119ex1-1_stableroad.htm" TargetMode="External"/><Relationship Id="rId85" Type="http://schemas.openxmlformats.org/officeDocument/2006/relationships/hyperlink" Target="https://www.sec.gov/Archives/edgar/data/1781162/000121390020030403/ea127854ex2-1_stableroad.htm" TargetMode="External"/><Relationship Id="rId86" Type="http://schemas.openxmlformats.org/officeDocument/2006/relationships/hyperlink" Target="https://www.sec.gov/Archives/edgar/data/1781162/000121390019023186/f8k1119ex3-1_stableroad.htm" TargetMode="External"/><Relationship Id="rId87" Type="http://schemas.openxmlformats.org/officeDocument/2006/relationships/hyperlink" Target="http://www.sec.gov/Archives/edgar/data/1781162/000121390021026008/ea140812ex3-1_stableroadacq.htm" TargetMode="External"/><Relationship Id="rId88" Type="http://schemas.openxmlformats.org/officeDocument/2006/relationships/hyperlink" Target="https://www.sec.gov/Archives/edgar/data/1781162/000121390019019179/fs12019ex3-3_stableroad.htm" TargetMode="External"/><Relationship Id="rId89" Type="http://schemas.openxmlformats.org/officeDocument/2006/relationships/hyperlink" Target="https://www.sec.gov/Archives/edgar/data/1781162/000121390019023186/f8k1119ex4-1_stableroad.htm" TargetMode="External"/><Relationship Id="rId90" Type="http://schemas.openxmlformats.org/officeDocument/2006/relationships/hyperlink" Target="http://www.sec.gov/Archives/edgar/data/1781162/000121390020007515/f10k2019ex4-2_stable.htm" TargetMode="External"/><Relationship Id="rId91" Type="http://schemas.openxmlformats.org/officeDocument/2006/relationships/hyperlink" Target="https://www.sec.gov/Archives/edgar/data/1781162/000121390019023186/f8k1119ex10-2_stableroad.htm" TargetMode="External"/><Relationship Id="rId92" Type="http://schemas.openxmlformats.org/officeDocument/2006/relationships/hyperlink" Target="https://www.sec.gov/Archives/edgar/data/1781162/000121390019023186/f8k1119ex10-3_stableroad.htm" TargetMode="External"/><Relationship Id="rId93" Type="http://schemas.openxmlformats.org/officeDocument/2006/relationships/hyperlink" Target="https://www.sec.gov/Archives/edgar/data/1781162/000121390019023186/f8k1119ex10-1_stableroad.htm" TargetMode="External"/><Relationship Id="rId94" Type="http://schemas.openxmlformats.org/officeDocument/2006/relationships/hyperlink" Target="https://www.sec.gov/Archives/edgar/data/1781162/000121390019023186/f8k1119ex10-4_stableroad.htm" TargetMode="External"/><Relationship Id="rId95" Type="http://schemas.openxmlformats.org/officeDocument/2006/relationships/hyperlink" Target="https://www.sec.gov/Archives/edgar/data/1781162/000121390019023186/f8k1119ex10-5_stableroad.htm" TargetMode="External"/><Relationship Id="rId96" Type="http://schemas.openxmlformats.org/officeDocument/2006/relationships/hyperlink" Target="https://www.sec.gov/Archives/edgar/data/1781162/000121390019023186/f8k1119ex10-6_stableroad.htm" TargetMode="External"/><Relationship Id="rId97" Type="http://schemas.openxmlformats.org/officeDocument/2006/relationships/hyperlink" Target="https://www.sec.gov/Archives/edgar/data/1781162/000121390020030403/ea127854ex10-1_stableroad.htm" TargetMode="External"/><Relationship Id="rId98" Type="http://schemas.openxmlformats.org/officeDocument/2006/relationships/hyperlink" Target="https://www.sec.gov/Archives/edgar/data/1781162/000121390020030403/ea127854ex10-2_stableroad.htm" TargetMode="External"/><Relationship Id="rId99" Type="http://schemas.openxmlformats.org/officeDocument/2006/relationships/hyperlink" Target="https://www.sec.gov/Archives/edgar/data/1781162/000121390020030403/ea127854ex10-3_stableroad.htm" TargetMode="External"/><Relationship Id="rId100" Type="http://schemas.openxmlformats.org/officeDocument/2006/relationships/hyperlink" Target="https://www.sec.gov/Archives/edgar/data/1781162/000121390020030403/ea127854ex10-4_stableroad.htm" TargetMode="External"/><Relationship Id="rId101" Type="http://schemas.openxmlformats.org/officeDocument/2006/relationships/hyperlink" Target="http://www.sec.gov/Archives/edgar/data/1781162/000121390019020151/fs12019a1ex14_st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2021-06-10T16:09:54Z</dcterms:created>
  <dcterms:modified xsi:type="dcterms:W3CDTF">2021-06-10T16:09:54Z</dcterms:modified>
</cp:coreProperties>
</file>