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11,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3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16"/>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organization)</w:t>
            </w:r>
          </w:p>
        </w:tc>
        <w:tc>
          <w:tcPr>
            <w:tcW w:w="2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1762 Automation Parkway</w:t>
            </w:r>
          </w:p>
        </w:tc>
        <w:tc>
          <w:tcPr>
            <w:tcW w:w="2920" w:type="dxa"/>
            <w:vAlign w:val="bottom"/>
          </w:tcPr>
          <w:p>
            <w:pPr>
              <w:spacing w:after="0"/>
              <w:rPr>
                <w:sz w:val="24"/>
                <w:szCs w:val="24"/>
                <w:color w:val="auto"/>
              </w:rPr>
            </w:pPr>
          </w:p>
        </w:tc>
        <w:tc>
          <w:tcPr>
            <w:tcW w:w="33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0" w:type="dxa"/>
            <w:vAlign w:val="bottom"/>
          </w:tcPr>
          <w:p>
            <w:pPr>
              <w:spacing w:after="0"/>
              <w:rPr>
                <w:sz w:val="1"/>
                <w:szCs w:val="1"/>
                <w:color w:val="auto"/>
              </w:rPr>
            </w:pPr>
          </w:p>
        </w:tc>
      </w:tr>
      <w:tr>
        <w:trPr>
          <w:trHeight w:val="130"/>
        </w:trPr>
        <w:tc>
          <w:tcPr>
            <w:tcW w:w="4220" w:type="dxa"/>
            <w:vAlign w:val="bottom"/>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9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20" w:type="dxa"/>
            <w:vAlign w:val="bottom"/>
          </w:tcPr>
          <w:p>
            <w:pPr>
              <w:spacing w:after="0"/>
              <w:rPr>
                <w:sz w:val="20"/>
                <w:szCs w:val="20"/>
                <w:color w:val="auto"/>
              </w:rPr>
            </w:pPr>
          </w:p>
        </w:tc>
        <w:tc>
          <w:tcPr>
            <w:tcW w:w="3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15, 2026 (the “Closing Date”), Momentus Inc., a Delaware corporation (the “Company”) consummated a registered direct offering (the “Offering”) of an aggregate of 1,851,852 shares (the “Shares”) of Class A common stock, par value $0.00001 per share (the “Common Stock”). The price for each Share was $13.50.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aggregate gross proceeds from the Offering of approximately $25.0 million, before deducting placement agents’ fees and other offering expenses. The Company intends to use the proceeds of the Offering for general corporate purposes.</w:t>
      </w:r>
    </w:p>
    <w:p>
      <w:pPr>
        <w:spacing w:after="0" w:line="12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Shares were offered and sold pursuant to the Company’s shelf registration statement on Form S-3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296218), which was declared effective by the U.S. Securities and Exchange Commission (the “SEC”) on June 4, 2026. The Company filed a prospectus supplement on June 15, 2026 with the SEC in connection with the offer and sale of the Shares in the Offering. The legal opinion of Bradley Arant Boult Cummings LLP relating to the Shares issued in the Offering is filed as Exhibit 5.1 to this Current Report on Form 8-K.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Securities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on June 11, 2026, the Company entered into a securities purchase agreement (the “Purchase Agreement”) with multiple institutional investors (collectively, the “Investors”), pursuant to which the Company agreed not to effect or enter into an agreement to effect any issuance by the Company or any of its subsidiaries of shares of Common Stock or Common Stock equivalents for a period of ten (10) days after the Closing Date and will not effect or enter into an agreement to effect any issuance by the Company or any of its subsidiaries of shares of Common Stock or Common Stock Equivalents (or a combination of units thereof) involving a Variable Rate Transaction (as defined in the Purchase Agreement) for a period of thirty (30) days after the Closing Date, subject to certain exceptions.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each of the Company’s executive officers and directors entered into a lock-up agreement with the Placement Agent (as defined below) providing that each such person, for a period of thirty (30) days from the Closing Date, may not, subject to customary exceptions, offer, issue, sell, transfer or otherwise dispose of the Company’s securities without the prior written consent of the Placement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Agreement also contains customary representations, warranties and agreements by the Company, customary conditions to closing, indemnification obligations of the Company or the purchasers in the Offering, other obligations of the parties and termination provisions.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does not purport to be a complete description of the Purchase Agreement and is qualified in its entirety by reference to the full text of such document, which is filed as Exhibit 10.1 to this Form 8-K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Placement Agency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connection with the Offering, on June 11, 2026, the Company entered into a placement agency agreement (the “Placement Agency Agreement”) with A.G.P./Alliance Global Partners (“A.G.P.” or the “Placement Agent”), pursuant to which the Placement Agent agreed to act as Placement Agent on a reasonable “best efforts” basis in connection with the Offering. As part of its compensation for acting as Placement Agent for the private placement, the Company paid the Placement Agent a cash fee of 7.0% of the aggregate gross proceeds and issued to the Placement Agent warrants to purchase 92,592 shares of Common Stock (the “Placement Agent Warrants”) at an exercise price of $14.85 per share, which are exercisable 180 days from the date of commencement of sales of the Offering and expire five years from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above summary of the Placement Agency Agreement and the Placement Agent Warrants does not purport to be complete and is qualified in its entirety by reference to such applicable agreements, copies of which are attached as Exhibits 1.1 and 4.1 to this Current Report on Form 8-K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12, 2026, the Company issued a press release announcing the pricing of the Offering. A copy of the press release is attached as Exhibit 99.1 to this Form 8-K.</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is furnished and shall not be deemed “filed” for purposes of Section 18 of the Exchange Act, or otherwise subject to the liabilities of that section, and shall not be deemed to be incorporated by reference in any filing under the Securities Act of 1933, as amended, or the Exchange Act, except as may be expressly set forth by specific reference in any such filing, regardless of any general incorporation language in the filing.</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does not have, and expressly disclaims, any obligation to release publicly any updates or any changes in its expectations or any change in events, conditions, or circumstances on which any forward-looking statement is based.</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8"/>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560" w:type="dxa"/>
            <w:vAlign w:val="bottom"/>
          </w:tcPr>
          <w:p>
            <w:pPr>
              <w:spacing w:after="0"/>
              <w:rPr>
                <w:sz w:val="20"/>
                <w:szCs w:val="20"/>
                <w:color w:val="auto"/>
              </w:rPr>
            </w:pPr>
          </w:p>
        </w:tc>
      </w:tr>
      <w:tr>
        <w:trPr>
          <w:trHeight w:val="391"/>
        </w:trPr>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Placement Agency Agreement</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r>
      <w:tr>
        <w:trPr>
          <w:trHeight w:val="412"/>
        </w:trPr>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Placement Agent Warrant</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r>
      <w:tr>
        <w:trPr>
          <w:trHeight w:val="412"/>
        </w:trPr>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Opinion of Bradley Arant Boult Cummings LLP</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3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412"/>
        </w:trPr>
        <w:tc>
          <w:tcPr>
            <w:tcW w:w="360" w:type="dxa"/>
            <w:vAlign w:val="bottom"/>
          </w:tcPr>
          <w:p>
            <w:pPr>
              <w:spacing w:after="0"/>
              <w:rPr>
                <w:sz w:val="24"/>
                <w:szCs w:val="24"/>
                <w:color w:val="auto"/>
              </w:rPr>
            </w:pPr>
          </w:p>
        </w:tc>
        <w:tc>
          <w:tcPr>
            <w:tcW w:w="3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of Bradley Arant Boult Cummings LLP (included in Exhibit 5.1)</w:t>
            </w:r>
          </w:p>
        </w:tc>
      </w:tr>
      <w:tr>
        <w:trPr>
          <w:trHeight w:val="412"/>
        </w:trPr>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Press Release, dated June 12, 2026, issued by Momentus Inc. announcing the pricing of the registered direct offering</w:t>
            </w:r>
          </w:p>
        </w:tc>
      </w:tr>
      <w:tr>
        <w:trPr>
          <w:trHeight w:val="453"/>
        </w:trPr>
        <w:tc>
          <w:tcPr>
            <w:tcW w:w="380" w:type="dxa"/>
            <w:vAlign w:val="bottom"/>
            <w:gridSpan w:val="2"/>
          </w:tcPr>
          <w:p>
            <w:pPr>
              <w:spacing w:after="0"/>
              <w:rPr>
                <w:sz w:val="24"/>
                <w:szCs w:val="24"/>
                <w:color w:val="auto"/>
              </w:rPr>
            </w:pPr>
          </w:p>
        </w:tc>
        <w:tc>
          <w:tcPr>
            <w:tcW w:w="3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5720" w:type="dxa"/>
        <w:tblCellMar>
          <w:top w:w="0" w:type="dxa"/>
          <w:left w:w="0" w:type="dxa"/>
          <w:bottom w:w="0" w:type="dxa"/>
          <w:right w:w="0" w:type="dxa"/>
        </w:tblCellMar>
      </w:tblPr>
      <w:tr>
        <w:trPr>
          <w:trHeight w:val="255"/>
        </w:trPr>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Lon Ensler</w:t>
            </w:r>
          </w:p>
        </w:tc>
      </w:tr>
      <w:tr>
        <w:trPr>
          <w:trHeight w:val="198"/>
        </w:trPr>
        <w:tc>
          <w:tcPr>
            <w:tcW w:w="74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w w:val="95"/>
              </w:rPr>
              <w:t>Name:</w:t>
            </w:r>
          </w:p>
        </w:tc>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tabs>
          <w:tab w:leader="none" w:pos="12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590 Madison Avenue, 28th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Rood</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Placement Agency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Rood:</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terms and conditions of this letter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A.G.P./Alliance Global Partners, as the sole placement agent (“</w:t>
      </w:r>
      <w:r>
        <w:rPr>
          <w:rFonts w:ascii="Times New Roman" w:cs="Times New Roman" w:eastAsia="Times New Roman" w:hAnsi="Times New Roman"/>
          <w:sz w:val="18"/>
          <w:szCs w:val="18"/>
          <w:b w:val="1"/>
          <w:bCs w:val="1"/>
          <w:color w:val="auto"/>
        </w:rPr>
        <w:t>A.G.P.</w:t>
      </w:r>
      <w:r>
        <w:rPr>
          <w:rFonts w:ascii="Times New Roman" w:cs="Times New Roman" w:eastAsia="Times New Roman" w:hAnsi="Times New Roman"/>
          <w:sz w:val="18"/>
          <w:szCs w:val="18"/>
          <w:color w:val="auto"/>
        </w:rPr>
        <w:t>”) (A.G.P. is also referred to herein as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Momentus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parties hereby agree that the Placement Agent shall serve as the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registered securities of the Company, consisting of shares of Class A common stock, par value $0.00001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shares of Common Stock actually placed by the Placement Agent are referred to herein as the “</w:t>
      </w:r>
      <w:r>
        <w:rPr>
          <w:rFonts w:ascii="Times New Roman" w:cs="Times New Roman" w:eastAsia="Times New Roman" w:hAnsi="Times New Roman"/>
          <w:sz w:val="18"/>
          <w:szCs w:val="18"/>
          <w:b w:val="1"/>
          <w:bCs w:val="1"/>
          <w:color w:val="auto"/>
        </w:rPr>
        <w:t>Placement Agent Securities</w:t>
      </w:r>
      <w:r>
        <w:rPr>
          <w:rFonts w:ascii="Times New Roman" w:cs="Times New Roman" w:eastAsia="Times New Roman" w:hAnsi="Times New Roman"/>
          <w:sz w:val="18"/>
          <w:szCs w:val="18"/>
          <w:color w:val="auto"/>
        </w:rPr>
        <w:t>.” The Placement Agent Securities shall be offered and sold under the Company’s registration statement on Form S-3 (File No. 333-296218), which was declared effective by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June 4, 2026, and related prospectus supplements. The documents executed and delivered by the Company and the Purchasers (as defined below) in connection with the Placement, including, without limitation,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shall be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terms of the Placement shall be mutually agreed upon by the Company and the purchasers listed in the Purchase Agreement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constitutes that the Placement Agent would have the power or authority to bind the Company or any Purchaser, or an obligation for the Company to issue any Placement Agent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Placement Agent Securities and does not ensure the successful placement of the Placement Agent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subject to the prior written approval in each case of the Company. Certain affiliates of the Placement Agent may participate in the Placement by purchasing some of the Placement Agent Securities. The sale of Placement Agent Securities to any Purchaser will be evidenced by the Purchase Agreement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prospective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COMPANY; COVENANTS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140" w:hanging="646"/>
        <w:spacing w:after="0" w:line="25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Agent Securities,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Financial Industry Regulatory Authority (“FINRA”) member firm participating in the Placement among the Company’s officers, directors or, to the knowledge of the Company, any five percent (5.0%) or greater stockholder of the Company. Furthermore, from the date hereof until ten (10)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filing a registration statement on Form S-8 in connection with any employee benefit plan; provided, however, that such restrictions shall not apply with respect to an Exempt Issuance. Notwithstanding the foregoing restrictions, the Company may at any time</w:t>
      </w:r>
    </w:p>
    <w:p>
      <w:pPr>
        <w:spacing w:after="0" w:line="3" w:lineRule="exact"/>
        <w:rPr>
          <w:rFonts w:ascii="Times New Roman" w:cs="Times New Roman" w:eastAsia="Times New Roman" w:hAnsi="Times New Roman"/>
          <w:sz w:val="18"/>
          <w:szCs w:val="18"/>
          <w:color w:val="auto"/>
        </w:rPr>
      </w:pPr>
    </w:p>
    <w:p>
      <w:pPr>
        <w:jc w:val="both"/>
        <w:ind w:left="1140" w:firstLine="2"/>
        <w:spacing w:after="0" w:line="250" w:lineRule="auto"/>
        <w:tabs>
          <w:tab w:leader="none" w:pos="139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and/or issue shares of Common Stock or file a prospectus supplement in connection with an “at the market” offering with the Placement Agent as sales agent. In addition, other than the exceptions set forth in the Purchase Agreement, from the date hereof until thirty</w:t>
      </w:r>
    </w:p>
    <w:p>
      <w:pPr>
        <w:jc w:val="both"/>
        <w:ind w:left="1140" w:firstLine="2"/>
        <w:spacing w:after="0" w:line="253" w:lineRule="auto"/>
        <w:tabs>
          <w:tab w:leader="none" w:pos="14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Effectiveness Date, the Company shall be prohibited from effecting or entering into an agreement to effect any issuance by the Company or any of its Subsidiaries of Common Stock or Common Stock Equivalents (or a combination of units thereof) involving a Variable Rate Transaction; provided, however, that the entry into and/or issuance of shares of Common Stock or filing of a prospectus supplement in connection with an “at the market” offering with the Placement Agent as sales agent shall not be deemed a Variable Rate Transaction.</w:t>
      </w:r>
    </w:p>
    <w:p>
      <w:pPr>
        <w:spacing w:after="0" w:line="186" w:lineRule="exact"/>
        <w:rPr>
          <w:rFonts w:ascii="Times New Roman" w:cs="Times New Roman" w:eastAsia="Times New Roman" w:hAnsi="Times New Roman"/>
          <w:sz w:val="18"/>
          <w:szCs w:val="18"/>
          <w:color w:val="auto"/>
        </w:rPr>
      </w:pPr>
    </w:p>
    <w:p>
      <w:pPr>
        <w:jc w:val="both"/>
        <w:ind w:left="1140" w:hanging="646"/>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Public Company Accounting Oversight Board independent registered public accountants for a period of at least two (2) years after the Closing Date and (ii) a competent transfer agent for a period of two (2) years after the Closing Date, provided the Company is then subject to the reporting requirement of the Exchange Act (as defined below).</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the FINRA, (ii) is registered as a broker/dealer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jc w:val="both"/>
        <w:ind w:left="1140" w:firstLine="2"/>
        <w:spacing w:after="0" w:line="252" w:lineRule="auto"/>
        <w:tabs>
          <w:tab w:leader="none" w:pos="14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licensed as a broker/dealer under the laws of the United States of America, applicable to the offers and sales of the Placement Agent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140" w:hanging="646"/>
        <w:spacing w:after="0" w:line="25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services to be provided for hereunder, the Company shall pay to the Placement Agent and/or its respective designees a cash fee of 7.0% of the aggregate purchase price paid by any and all Purchasers at the Closing. The Placement Agent reserves the right to reduce any item of compensation or adjust the terms thereof as specified herein in the event that a determination is made by FINRA to the effect that the Placement Agent’s aggregate compensation is in excess of that permitted by FINRA Rules or that the terms thereof require adjustment.</w:t>
      </w:r>
    </w:p>
    <w:p>
      <w:pPr>
        <w:spacing w:after="0" w:line="183" w:lineRule="exact"/>
        <w:rPr>
          <w:rFonts w:ascii="Times New Roman" w:cs="Times New Roman" w:eastAsia="Times New Roman" w:hAnsi="Times New Roman"/>
          <w:sz w:val="18"/>
          <w:szCs w:val="18"/>
          <w:color w:val="auto"/>
        </w:rPr>
      </w:pPr>
    </w:p>
    <w:p>
      <w:pPr>
        <w:jc w:val="both"/>
        <w:ind w:left="1140" w:hanging="646"/>
        <w:spacing w:after="0" w:line="253"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agrees to issue to the Placement Agent and/or its designees on the Closing Date, warrants to purchase such number of Common Stock equal to five (5%) percent of the shares of Common Stock issued at the Closing (the “</w:t>
      </w:r>
      <w:r>
        <w:rPr>
          <w:rFonts w:ascii="Times New Roman" w:cs="Times New Roman" w:eastAsia="Times New Roman" w:hAnsi="Times New Roman"/>
          <w:sz w:val="18"/>
          <w:szCs w:val="18"/>
          <w:b w:val="1"/>
          <w:bCs w:val="1"/>
          <w:color w:val="auto"/>
        </w:rPr>
        <w:t>Placement Agent’s Warrants</w:t>
      </w:r>
      <w:r>
        <w:rPr>
          <w:rFonts w:ascii="Times New Roman" w:cs="Times New Roman" w:eastAsia="Times New Roman" w:hAnsi="Times New Roman"/>
          <w:sz w:val="18"/>
          <w:szCs w:val="18"/>
          <w:color w:val="auto"/>
        </w:rPr>
        <w:t>”). The Placement Agent’s Warrants shall be exercisable commencing on the date one hundred and eighty (180) from the date of commencement of sales of this offering and will terminate five (5) years from the date of original issuance. The exercise price of the Placement Agent’s Warrants shall be 110% of the offering price per share of Common Stock sold in the Placement. The Placement Agent’s Warrants and the shares of Common Stock issuable upon exercise of the Placement Agent’s Warrants (collectively “</w:t>
      </w:r>
      <w:r>
        <w:rPr>
          <w:rFonts w:ascii="Times New Roman" w:cs="Times New Roman" w:eastAsia="Times New Roman" w:hAnsi="Times New Roman"/>
          <w:sz w:val="18"/>
          <w:szCs w:val="18"/>
          <w:b w:val="1"/>
          <w:bCs w:val="1"/>
          <w:color w:val="auto"/>
        </w:rPr>
        <w:t>Compensation Securities</w:t>
      </w:r>
      <w:r>
        <w:rPr>
          <w:rFonts w:ascii="Times New Roman" w:cs="Times New Roman" w:eastAsia="Times New Roman" w:hAnsi="Times New Roman"/>
          <w:sz w:val="18"/>
          <w:szCs w:val="18"/>
          <w:color w:val="auto"/>
        </w:rPr>
        <w:t>”) will be deemed compensation by FINRA, and therefore will be subject to FINRA Rule 5110(e)(1). In accordance with FINRA Rule 5110(e)(1), neither the Placement Agent’s Warrants nor any of the shares of Common Stock issued upon exercise of the Placement Agent’s Warrants may be sold, transferred, assigned, pledged or hypothecated, or be the subject of any hedging, short sale, derivative, put or call transaction that would result in the effective economic disposition of such securities by any person, for a period of one hundred and eighty (180) days beginning on the date of commencement of sales of the Placement Agent Securities.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left="1140" w:hanging="1133"/>
        <w:spacing w:after="0" w:line="25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agrees to pay all costs, fees and expenses incurred by the Company in connection with the performance of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obligations hereunder and in connection with the transactions contemplated hereby, including, without limitation: (i) all expenses incident to the issuance, delivery and qualification of the Placement Agent Securities (including all printing and engraving costs); (ii) all fees and expenses of the transfer agent; (iii) all necessary issue, transfer and other stamp taxes in connection with the issuance and sale of the Placement Agent Securities;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Supplement, and all amendments and supplements thereto, and this Agreement; (vi) all filing fees, reasonable attorneys’ fees and expenses incurred by the Company in connection with qualifying or registering (or obtaining exemptions from the qualification or registration of) all or any part of the Placement Agent Securities for offer and sale under the state securities or blue sky laws or the securities laws of any other country; (vii) the fees and expenses associated with including the Placement Agent Securities on the Trading Market; and (viii) up to $75,000 for accountable expenses related to legal fees of counsel to the Placement Agent; provided, that this Section in no way limits or impairs the indemnification or contribution provisions contained herein. 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9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140" w:hanging="646"/>
        <w:spacing w:after="0" w:line="25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with respect to the Placement Agent Securities, the Company shall indemnify the Placement Agent and its affiliates, agents, stockholders, directors, officers, employees, members and controlling persons (within the meaning of Section 15 of the Securities Act or Section 20 of the Exchange Act) (each such entity or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all claims, actions, suits, proceedings (including those of stockholders), damages, costs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and shall reimburse each Indemnified Person for all reasonable fees and expenses (including the reasonable fees and expenses of counsel) (collectively,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as they are incurred by an Indemnified Person in investigating, preparing, pursuing or defending any Claim, whether or not an Indemnified Person is a party thereto, that is caused by, arises out of, or is based upon (i) any untrue statements made or any statements omitted to be made in the Registration Statement or the Prospectus Supplement,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Registration Statement or the Prospectus Supplement) or (ii) any other actions taken or omitted to be taken by the Company or any Indemnified Person in connection with this Agreement; provided, however, the Company will not be responsible for any Claims or Expenses of any Indemnified Person that are determined to have resulted directly from such Indemnified Person’s (x) willful misconduct, violation of law or gross negligence in connection with any of the action, inaction or the services described herein, or (y) use of any offering materials or information concerning the Company in connection with the offer or sale of the Placement Agent’s Securities in the Placement, which were not authorized for such use by the Company and which use constitutes gross negligence, violation of law or willful misconduct. In no event shall the Company or any Indemnified Person be responsible for any special, indirect or consequential damages incurred by the other.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left="646" w:hanging="646"/>
        <w:spacing w:after="0" w:line="253" w:lineRule="auto"/>
        <w:tabs>
          <w:tab w:leader="none" w:pos="6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Placement Agent of notice of any claim or the commencement of any action or proceeding with respect to which any Indemnified Person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reasonable fees and expenses of such counsel. Notwithstanding the preceding sentence, the Placement Agent will be entitled to employ its own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fees and disbursements of no more than one such separate counsel will be paid by the Company, in addition to fees of local counsel.</w:t>
      </w:r>
    </w:p>
    <w:p>
      <w:pPr>
        <w:spacing w:after="0" w:line="191" w:lineRule="exact"/>
        <w:rPr>
          <w:rFonts w:ascii="Times New Roman" w:cs="Times New Roman" w:eastAsia="Times New Roman" w:hAnsi="Times New Roman"/>
          <w:sz w:val="18"/>
          <w:szCs w:val="18"/>
          <w:color w:val="auto"/>
        </w:rPr>
      </w:pPr>
    </w:p>
    <w:p>
      <w:pPr>
        <w:jc w:val="both"/>
        <w:ind w:left="646" w:hanging="646"/>
        <w:spacing w:after="0" w:line="258" w:lineRule="auto"/>
        <w:tabs>
          <w:tab w:leader="none" w:pos="6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settle, compromise or consent to the entry of any judgment in any pending or threatened Claim, in which indemnification may be sought hereunder (whether or not any Indemnified Person is an actual or potential party thereto), without the prior written consent of the Placement Agent (which will not be unreasonably delayed or withheld) unless such settlement, compromise or consent provides for an unconditional and irrevocable release of each Indemnified Person from any and all liability arising out of such Claim.</w:t>
      </w:r>
    </w:p>
    <w:p>
      <w:pPr>
        <w:spacing w:after="0" w:line="183" w:lineRule="exact"/>
        <w:rPr>
          <w:rFonts w:ascii="Times New Roman" w:cs="Times New Roman" w:eastAsia="Times New Roman" w:hAnsi="Times New Roman"/>
          <w:sz w:val="18"/>
          <w:szCs w:val="18"/>
          <w:color w:val="auto"/>
        </w:rPr>
      </w:pPr>
    </w:p>
    <w:p>
      <w:pPr>
        <w:ind w:left="646" w:hanging="646"/>
        <w:spacing w:after="0" w:line="282" w:lineRule="auto"/>
        <w:tabs>
          <w:tab w:leader="none" w:pos="6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notify the Placement Agent promptly of the assertion against it or any other person of any Claim or the commencement of any action or proceeding relating to a transaction contemplated by this Agreement.</w:t>
      </w:r>
    </w:p>
    <w:p>
      <w:pPr>
        <w:spacing w:after="0" w:line="333"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21" w:right="339" w:bottom="1440" w:gutter="0" w:footer="0" w:header="0"/>
        </w:sectPr>
      </w:pPr>
    </w:p>
    <w:bookmarkStart w:id="9" w:name="page10"/>
    <w:bookmarkEnd w:id="9"/>
    <w:p>
      <w:pPr>
        <w:jc w:val="both"/>
        <w:ind w:left="1140" w:hanging="646"/>
        <w:spacing w:after="0" w:line="253"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foregoing indemnity is unavailable to the Placement Agent or insufficient to hold the Placement Agent harmless, then the Company shall contribute to the amount paid or payable by the Placement Agent as a result of such Claim or Expenses in such proportion as is appropriate to reflect (a) the relative benefits to the Company on the one hand, and the Placement Agent on the other hand, in connection with the Placement, (b) the relative fault of the parties, and (c) other equitable considerations; provided, however, that in no event shall the amount to be contributed by the Placement Agent exceed the fees actually received, or to be received, by the Placement Agent under this Agreement. Notwithstanding the immediately preceding sentence, to the extent the exception to indemnification contemplated by Paragraph A of this Section applies with respect to the Placement Agent, the Company shall contribute to the amount paid or payable by the Placement Agent as a result of such Claim or Expenses in such proportion as is appropriate to reflect the relative fault of the Company, on the one hand, and the Placement Agent, on the other hand, in connection with the matters contemplated by the Agreement. The Company agrees that for the purposes of this paragraph the relative benefits to the Company and the Placement Agent of the contemplated transaction (whether or not such transaction is consummated) shall be deemed to be in the same proportion that the aggregate cash consideration payable (or contemplated to be payable) in such transaction bears to the fees paid or payable to the Placement Agent under this Agreement.</w:t>
      </w:r>
    </w:p>
    <w:p>
      <w:pPr>
        <w:spacing w:after="0" w:line="187"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remain in full force and effect whether or not the transaction contemplated by this Agreement is completed, survive the termination of this Agreement, and be in addition to any liability that the Company might otherwise have to any Indemnified Person.</w:t>
      </w:r>
    </w:p>
    <w:p>
      <w:pPr>
        <w:spacing w:after="0" w:line="176" w:lineRule="exact"/>
        <w:rPr>
          <w:sz w:val="20"/>
          <w:szCs w:val="20"/>
          <w:color w:val="auto"/>
        </w:rPr>
      </w:pPr>
    </w:p>
    <w:p>
      <w:pPr>
        <w:jc w:val="both"/>
        <w:ind w:left="1140" w:hanging="1133"/>
        <w:spacing w:after="0" w:line="253"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be until the earlier of the Closing Date and June 31, 2026.</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pursuant to Section 3 hereof with respect to the Placement Agent Securities if sold in the Placement. Notwithstanding anything to the contrary contained herein, the provisions concerning the Company’s obligation to pay any fees actually earned pursuant to Section 3 hereof and the provisions concerning confidentiality, indemnification and contribution contained herein, as well as provisions in Sections 10–14 hereof will survive any expiration or termination of this Agreement. If this Agreement is terminated prior to the completion of the Placement, all fees and expenses due to the Placement Agent as set forth in Section 3 and Section 4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90" w:lineRule="exact"/>
        <w:rPr>
          <w:sz w:val="20"/>
          <w:szCs w:val="20"/>
          <w:color w:val="auto"/>
        </w:rPr>
      </w:pPr>
    </w:p>
    <w:p>
      <w:pPr>
        <w:jc w:val="both"/>
        <w:ind w:left="1140" w:hanging="1133"/>
        <w:spacing w:after="0" w:line="261"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left="1140" w:hanging="1133"/>
        <w:spacing w:after="0" w:line="258"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jc w:val="both"/>
        <w:ind w:left="1140" w:hanging="1133"/>
        <w:spacing w:after="0" w:line="261"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Placement Agent Securities hereunder are subject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accuracy, when made and on the Closing Date, of the representations and warranties on the part of the Company contained herein and in the Purchase Agreement, to the performance by the Company of its obligations hereunder and in the Purchase Agreement,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ind w:left="1140" w:hanging="646"/>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w:t>
      </w:r>
    </w:p>
    <w:p>
      <w:pPr>
        <w:spacing w:after="0" w:line="175"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shall have received from the Company’s counsel, Bradley Arant Boult Cummings LLP, such counsel’s written opinion and negative assurance statement with respect to the Placement Agent Securities, addressed to the Placement Agent and the Purchasers and dated as of the Closing Date, in form and substance reasonably satisfactory to the Placement Agent.</w:t>
      </w:r>
    </w:p>
    <w:p>
      <w:pPr>
        <w:spacing w:after="0" w:line="175" w:lineRule="exact"/>
        <w:rPr>
          <w:rFonts w:ascii="Times New Roman" w:cs="Times New Roman" w:eastAsia="Times New Roman" w:hAnsi="Times New Roman"/>
          <w:sz w:val="18"/>
          <w:szCs w:val="18"/>
          <w:color w:val="auto"/>
        </w:rPr>
      </w:pPr>
    </w:p>
    <w:p>
      <w:pPr>
        <w:jc w:val="both"/>
        <w:ind w:left="1140" w:hanging="646"/>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shall have received an executed FINRA questionnaire or bringdown letter from each of the Company and the Company’s executive officers and directors as well as executed Lock-Up Agreements from the Company’s executive officers and directors.</w:t>
      </w:r>
    </w:p>
    <w:p>
      <w:pPr>
        <w:spacing w:after="0" w:line="161" w:lineRule="exact"/>
        <w:rPr>
          <w:rFonts w:ascii="Times New Roman" w:cs="Times New Roman" w:eastAsia="Times New Roman" w:hAnsi="Times New Roman"/>
          <w:sz w:val="18"/>
          <w:szCs w:val="18"/>
          <w:color w:val="auto"/>
        </w:rPr>
      </w:pPr>
    </w:p>
    <w:p>
      <w:pPr>
        <w:jc w:val="both"/>
        <w:ind w:left="1140" w:hanging="646"/>
        <w:spacing w:after="0" w:line="258"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sold in the Placement must be registered under the Exchange Act.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 except as disclosed in the Registration Statement and the Prospectus Supplement.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left="1140" w:hanging="646"/>
        <w:spacing w:after="0" w:line="25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spacing w:after="0" w:line="187"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entered into a Purchase Agreement with each of the Purchasers of the Placement Agent Securities and such agreements shall be in full force and effect and shall contain representations, warranties and covenants of the Company as agreed upon between the Company and the Purchasers.</w:t>
      </w:r>
    </w:p>
    <w:p>
      <w:pPr>
        <w:spacing w:after="0" w:line="175" w:lineRule="exact"/>
        <w:rPr>
          <w:rFonts w:ascii="Times New Roman" w:cs="Times New Roman" w:eastAsia="Times New Roman" w:hAnsi="Times New Roman"/>
          <w:sz w:val="18"/>
          <w:szCs w:val="18"/>
          <w:color w:val="auto"/>
        </w:rPr>
      </w:pPr>
    </w:p>
    <w:p>
      <w:pPr>
        <w:jc w:val="both"/>
        <w:ind w:left="1140" w:hanging="646"/>
        <w:spacing w:after="0" w:line="26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spacing w:after="0" w:line="179" w:lineRule="exact"/>
        <w:rPr>
          <w:rFonts w:ascii="Times New Roman" w:cs="Times New Roman" w:eastAsia="Times New Roman" w:hAnsi="Times New Roman"/>
          <w:sz w:val="18"/>
          <w:szCs w:val="18"/>
          <w:color w:val="auto"/>
        </w:rPr>
      </w:pPr>
    </w:p>
    <w:p>
      <w:pPr>
        <w:jc w:val="both"/>
        <w:ind w:left="1140" w:hanging="646"/>
        <w:spacing w:after="0" w:line="25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shall have received customary certificates of the Company’s executive officers, as to the accuracy of the representations and warranties contained in the Purchase Agreement, a certificate of the Company’s Chief Financial Officer in a form reasonably acceptable to the Placement Agent, and a certificate of the Company’s secretary certifying (i) that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87" w:lineRule="exact"/>
        <w:rPr>
          <w:rFonts w:ascii="Times New Roman" w:cs="Times New Roman" w:eastAsia="Times New Roman" w:hAnsi="Times New Roman"/>
          <w:sz w:val="18"/>
          <w:szCs w:val="18"/>
          <w:color w:val="auto"/>
        </w:rPr>
      </w:pPr>
    </w:p>
    <w:p>
      <w:pPr>
        <w:jc w:val="both"/>
        <w:ind w:left="1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conditions specified in this Section 9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176" w:lineRule="exact"/>
        <w:rPr>
          <w:sz w:val="20"/>
          <w:szCs w:val="20"/>
          <w:color w:val="auto"/>
        </w:rPr>
      </w:pPr>
    </w:p>
    <w:p>
      <w:pPr>
        <w:jc w:val="both"/>
        <w:ind w:left="1140" w:hanging="1133"/>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principles of conflicts of law.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left="1140" w:hanging="1133"/>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 of the Placement and delivery of the Placement Agent Securities for the applicable statute of limitations.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0" w:lineRule="exact"/>
        <w:rPr>
          <w:sz w:val="20"/>
          <w:szCs w:val="20"/>
          <w:color w:val="auto"/>
        </w:rPr>
      </w:pPr>
    </w:p>
    <w:p>
      <w:pPr>
        <w:jc w:val="both"/>
        <w:ind w:left="1140" w:hanging="1133"/>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an internationally recognized air courier service, or (d) upon actual receipt by the party to whom such notice is required to be given. The address for such notices and communications shall be as set forth on the signature pages hereto.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1140" w:hanging="1133"/>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6" w:lineRule="exact"/>
        <w:rPr>
          <w:sz w:val="20"/>
          <w:szCs w:val="20"/>
          <w:color w:val="auto"/>
        </w:rPr>
      </w:pPr>
    </w:p>
    <w:p>
      <w:pPr>
        <w:jc w:val="both"/>
        <w:ind w:left="1140" w:hanging="1133"/>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made or deemed to be made by the Company to the Placement Agent, its affiliates, stockholders, directors, officers, employees, members and controlling persons (within the meaning of Section 15 of the Securities Act or Section 20 of the Exchange Act) (each, a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if any, will be made without withholding or deduction for or on account of any present or future taxes, duties, assessments or governmental charges of whatever nature (other than taxes on net income or similar taxes) imposed or levied by or on behalf of the United States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the Payee of the amounts that would otherwise have been receivable in respect thereof. For the avoidance of doubt, all sums payable, paid or deemed payable under this Agreement shall be considered exclusive of value added tax, sales tax or other similar taxes which shall be borne by, paid, collected and remitted by the Company in accordance with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 the enclosed copy of this Agreement.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tab/>
        <w:t>Thomas Higgins</w:t>
      </w:r>
    </w:p>
    <w:p>
      <w:pPr>
        <w:spacing w:after="0" w:line="36"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590 Madison Avenue 28th Floor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Attn: Thomas Higgins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Rood</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John Rood,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5" w:lineRule="exact"/>
        <w:rPr>
          <w:sz w:val="20"/>
          <w:szCs w:val="20"/>
          <w:color w:val="auto"/>
        </w:rPr>
      </w:pPr>
    </w:p>
    <w:p>
      <w:pPr>
        <w:spacing w:after="0"/>
        <w:tabs>
          <w:tab w:leader="none" w:pos="8640" w:val="left"/>
        </w:tabs>
        <w:rPr>
          <w:sz w:val="20"/>
          <w:szCs w:val="20"/>
          <w:color w:val="auto"/>
        </w:rPr>
      </w:pP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92,592</w:t>
      </w:r>
      <w:r>
        <w:rPr>
          <w:sz w:val="20"/>
          <w:szCs w:val="20"/>
          <w:color w:val="auto"/>
        </w:rPr>
        <w:tab/>
      </w:r>
      <w:r>
        <w:rPr>
          <w:rFonts w:ascii="Times New Roman" w:cs="Times New Roman" w:eastAsia="Times New Roman" w:hAnsi="Times New Roman"/>
          <w:sz w:val="17"/>
          <w:szCs w:val="17"/>
          <w:b w:val="1"/>
          <w:bCs w:val="1"/>
          <w:color w:val="auto"/>
        </w:rPr>
        <w:t>Original Issue Date</w:t>
      </w:r>
      <w:r>
        <w:rPr>
          <w:rFonts w:ascii="Times New Roman" w:cs="Times New Roman" w:eastAsia="Times New Roman" w:hAnsi="Times New Roman"/>
          <w:sz w:val="17"/>
          <w:szCs w:val="17"/>
          <w:color w:val="auto"/>
        </w:rPr>
        <w:t>: June 15, 2026</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WARRANT TO PURCHASE SHARES OF COMMON STOCK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A.G.P./Alliance Global Partners or its designees or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December 8, 2026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June 11, 2031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MOMENTUS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w:t>
      </w:r>
      <w:r>
        <w:rPr>
          <w:rFonts w:ascii="Times New Roman" w:cs="Times New Roman" w:eastAsia="Times New Roman" w:hAnsi="Times New Roman"/>
          <w:sz w:val="18"/>
          <w:szCs w:val="18"/>
          <w:b w:val="1"/>
          <w:bCs w:val="1"/>
          <w:color w:val="auto"/>
        </w:rPr>
        <w:t>92,592 shares</w:t>
      </w:r>
      <w:r>
        <w:rPr>
          <w:rFonts w:ascii="Times New Roman" w:cs="Times New Roman" w:eastAsia="Times New Roman" w:hAnsi="Times New Roman"/>
          <w:sz w:val="18"/>
          <w:szCs w:val="18"/>
          <w:color w:val="auto"/>
        </w:rPr>
        <w:t xml:space="preserve"> of Common Stock, par value $0.00001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Warrant Share under this Warrant shall be equal to the Exercise Price, as defined in Section 2(b).</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11, 2026, by and between the Company and the purchaser signatory thereto.</w:t>
      </w:r>
    </w:p>
    <w:p>
      <w:pPr>
        <w:spacing w:after="0" w:line="16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2" w:lineRule="auto"/>
        <w:tabs>
          <w:tab w:leader="none" w:pos="19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herein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ind w:left="-460" w:firstLine="644"/>
        <w:spacing w:after="0" w:line="286" w:lineRule="auto"/>
        <w:tabs>
          <w:tab w:leader="none" w:pos="6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$14.85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ind w:left="1480" w:hanging="569"/>
        <w:spacing w:after="0" w:line="253" w:lineRule="auto"/>
        <w:tabs>
          <w:tab w:leader="none" w:pos="12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1200" w:hanging="289"/>
        <w:spacing w:after="0"/>
        <w:tabs>
          <w:tab w:leader="none" w:pos="1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480" w:hanging="569"/>
        <w:spacing w:after="0" w:line="282" w:lineRule="auto"/>
        <w:tabs>
          <w:tab w:leader="none" w:pos="12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7" w:name="page18"/>
    <w:bookmarkEnd w:id="17"/>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w:t>
      </w:r>
    </w:p>
    <w:p>
      <w:pPr>
        <w:spacing w:after="0" w:line="27" w:lineRule="exact"/>
        <w:rPr>
          <w:sz w:val="20"/>
          <w:szCs w:val="20"/>
          <w:color w:val="auto"/>
        </w:rPr>
      </w:pPr>
    </w:p>
    <w:p>
      <w:pPr>
        <w:jc w:val="both"/>
        <w:ind w:left="4" w:hanging="4"/>
        <w:spacing w:after="0" w:line="255" w:lineRule="auto"/>
        <w:tabs>
          <w:tab w:leader="none" w:pos="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35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8" w:name="page19"/>
    <w:bookmarkEnd w:id="18"/>
    <w:p>
      <w:pPr>
        <w:ind w:left="820" w:hanging="63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5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(other than in the instance of a cashless exercise) and (ii) the number of Trading Days comprising the Standard Settlement Period, in each case (i) or (ii) after the delivery to the Company of the Notice of Exercise and subject to payment of the aggregate Exercise Price (other than in the instance of a cashless exercise) by such date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66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9" w:name="page20"/>
    <w:bookmarkEnd w:id="19"/>
    <w:p>
      <w:pPr>
        <w:jc w:val="both"/>
        <w:ind w:left="180" w:firstLine="652"/>
        <w:spacing w:after="0" w:line="252" w:lineRule="auto"/>
        <w:tabs>
          <w:tab w:leader="none" w:pos="1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 w:name="page21"/>
    <w:bookmarkEnd w:id="20"/>
    <w:p>
      <w:pPr>
        <w:ind w:left="644" w:firstLine="652"/>
        <w:spacing w:after="0" w:line="282" w:lineRule="auto"/>
        <w:tabs>
          <w:tab w:leader="none" w:pos="206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w:t>
      </w:r>
    </w:p>
    <w:p>
      <w:pPr>
        <w:spacing w:after="0" w:line="2"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1" w:name="page22"/>
    <w:bookmarkEnd w:id="21"/>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3" w:lineRule="auto"/>
        <w:tabs>
          <w:tab w:leader="none" w:pos="18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left="-460" w:firstLine="644"/>
        <w:spacing w:after="0" w:line="253"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the Warrant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3" w:name="page24"/>
    <w:bookmarkEnd w:id="23"/>
    <w:p>
      <w:pPr>
        <w:jc w:val="both"/>
        <w:ind w:left="-460" w:firstLine="644"/>
        <w:spacing w:after="0" w:line="265" w:lineRule="auto"/>
        <w:tabs>
          <w:tab w:leader="none" w:pos="77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ectPr>
          <w:pgSz w:w="11900" w:h="16838" w:orient="portrait"/>
          <w:cols w:equalWidth="0" w:num="1">
            <w:col w:w="10120"/>
          </w:cols>
          <w:pgMar w:left="14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24" w:name="page25"/>
    <w:bookmarkEnd w:id="24"/>
    <w:p>
      <w:pPr>
        <w:jc w:val="both"/>
        <w:ind w:left="-460" w:firstLine="644"/>
        <w:spacing w:after="0" w:line="266" w:lineRule="auto"/>
        <w:tabs>
          <w:tab w:leader="none" w:pos="8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4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5" w:name="page26"/>
    <w:bookmarkEnd w:id="25"/>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4" w:lineRule="auto"/>
        <w:tabs>
          <w:tab w:leader="none" w:pos="19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this Section 4(a)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8" w:lineRule="auto"/>
        <w:tabs>
          <w:tab w:leader="none" w:pos="19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4"/>
        <w:spacing w:after="0" w:line="258" w:lineRule="auto"/>
        <w:tabs>
          <w:tab w:leader="none" w:pos="13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644"/>
        <w:spacing w:after="0" w:line="282" w:lineRule="auto"/>
        <w:tabs>
          <w:tab w:leader="none" w:pos="1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644"/>
        <w:spacing w:after="0" w:line="253" w:lineRule="auto"/>
        <w:tabs>
          <w:tab w:leader="none" w:pos="1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7" w:name="page28"/>
    <w:bookmarkEnd w:id="27"/>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firstLine="644"/>
        <w:spacing w:after="0" w:line="282" w:lineRule="auto"/>
        <w:tabs>
          <w:tab w:leader="none" w:pos="14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2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3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 hereunder including, without limitation, any Notice of Exercise, shall be in writing and delivered personally, by e-mail, or sent by a nationally recognized overnight courier service, addressed to the Company, at 1762 Automation Parkway, San Jose, CA 95131, Attention: Chief Executive Officer, email address: </w:t>
      </w:r>
      <w:r>
        <w:rPr>
          <w:rFonts w:ascii="Times New Roman" w:cs="Times New Roman" w:eastAsia="Times New Roman" w:hAnsi="Times New Roman"/>
          <w:sz w:val="18"/>
          <w:szCs w:val="18"/>
          <w:i w:val="1"/>
          <w:iCs w:val="1"/>
          <w:color w:val="auto"/>
        </w:rPr>
        <w:t>john.rood@momentus.space</w:t>
      </w:r>
      <w:r>
        <w:rPr>
          <w:rFonts w:ascii="Times New Roman" w:cs="Times New Roman" w:eastAsia="Times New Roman" w:hAnsi="Times New Roman"/>
          <w:sz w:val="18"/>
          <w:szCs w:val="18"/>
          <w:color w:val="auto"/>
        </w:rPr>
        <w:t>, or such other email address or address as the Company may specify for such purposes by notice to the Holders.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w:t>
      </w:r>
    </w:p>
    <w:p>
      <w:pPr>
        <w:spacing w:after="0" w:line="37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8" w:name="page29"/>
    <w:bookmarkEnd w:id="28"/>
    <w:p>
      <w:pPr>
        <w:jc w:val="both"/>
        <w:ind w:left="-460" w:firstLine="644"/>
        <w:spacing w:after="0" w:line="261" w:lineRule="auto"/>
        <w:tabs>
          <w:tab w:leader="none" w:pos="8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0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89" w:lineRule="auto"/>
        <w:tabs>
          <w:tab w:leader="none" w:pos="8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7" w:lineRule="exact"/>
        <w:rPr>
          <w:rFonts w:ascii="Times New Roman" w:cs="Times New Roman" w:eastAsia="Times New Roman" w:hAnsi="Times New Roman"/>
          <w:sz w:val="17"/>
          <w:szCs w:val="17"/>
          <w:color w:val="auto"/>
        </w:rPr>
      </w:pPr>
    </w:p>
    <w:p>
      <w:pPr>
        <w:ind w:left="-460" w:firstLine="644"/>
        <w:spacing w:after="0" w:line="282" w:lineRule="auto"/>
        <w:tabs>
          <w:tab w:leader="none" w:pos="8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John Rood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firstLine="1466"/>
        <w:spacing w:after="0" w:line="282" w:lineRule="auto"/>
        <w:tabs>
          <w:tab w:leader="none" w:pos="17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760" w:hanging="294"/>
        <w:spacing w:after="0"/>
        <w:tabs>
          <w:tab w:leader="none" w:pos="1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1960" w:hanging="202"/>
        <w:spacing w:after="0"/>
        <w:tabs>
          <w:tab w:leader="none" w:pos="1960" w:val="left"/>
        </w:tabs>
        <w:numPr>
          <w:ilvl w:val="1"/>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760" w:hanging="2"/>
        <w:spacing w:after="0" w:line="266" w:lineRule="auto"/>
        <w:tabs>
          <w:tab w:leader="none" w:pos="1991" w:val="left"/>
        </w:tabs>
        <w:numPr>
          <w:ilvl w:val="1"/>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760" w:hanging="294"/>
        <w:spacing w:after="0"/>
        <w:tabs>
          <w:tab w:leader="none" w:pos="1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The undersigned is an “accredited investor” as defined in Regulation D promulgated under the Securities 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-422275</wp:posOffset>
            </wp:positionV>
            <wp:extent cx="21342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291465</wp:posOffset>
            </wp:positionV>
            <wp:extent cx="21342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582930</wp:posOffset>
            </wp:positionV>
            <wp:extent cx="21342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874395</wp:posOffset>
            </wp:positionV>
            <wp:extent cx="21342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5715</wp:posOffset>
            </wp:positionV>
            <wp:extent cx="56318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3181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5715</wp:posOffset>
            </wp:positionV>
            <wp:extent cx="45688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54946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465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5715</wp:posOffset>
            </wp:positionV>
            <wp:extent cx="55632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635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35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180" w:right="1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-1905</wp:posOffset>
            </wp:positionV>
            <wp:extent cx="20745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-1905</wp:posOffset>
            </wp:positionV>
            <wp:extent cx="20745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74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156845</wp:posOffset>
            </wp:positionV>
            <wp:extent cx="1543050" cy="523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Re:</w:t>
        <w:tab/>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441"/>
        <w:spacing w:after="0" w:line="219" w:lineRule="exact"/>
        <w:rPr>
          <w:sz w:val="20"/>
          <w:szCs w:val="20"/>
          <w:color w:val="auto"/>
        </w:rPr>
      </w:pPr>
      <w:r>
        <w:rPr>
          <w:rFonts w:ascii="Times New Roman" w:cs="Times New Roman" w:eastAsia="Times New Roman" w:hAnsi="Times New Roman"/>
          <w:sz w:val="18"/>
          <w:szCs w:val="18"/>
          <w:color w:val="auto"/>
        </w:rPr>
        <w:t>We have acted as counsel to Momentus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of 1,851,852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Class A common stock, $0.00001 par value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Shares are included in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26, 2026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296218)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 base prospectus dated June 4, 2026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 prospectus supplement dated June 11, 2026 filed with the Commission pursuant to Rule 424(b) under the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 are being sold pursuant to securities purchase agreement dated June 11, 2026 by and among investors and the Company (the “</w:t>
      </w:r>
      <w:r>
        <w:rPr>
          <w:rFonts w:ascii="Times New Roman" w:cs="Times New Roman" w:eastAsia="Times New Roman" w:hAnsi="Times New Roman"/>
          <w:sz w:val="18"/>
          <w:szCs w:val="18"/>
          <w:b w:val="1"/>
          <w:bCs w:val="1"/>
          <w:i w:val="1"/>
          <w:iCs w:val="1"/>
          <w:color w:val="auto"/>
        </w:rPr>
        <w:t>Securities Purchase Agreement</w:t>
      </w:r>
      <w:r>
        <w:rPr>
          <w:rFonts w:ascii="Times New Roman" w:cs="Times New Roman" w:eastAsia="Times New Roman" w:hAnsi="Times New Roman"/>
          <w:sz w:val="18"/>
          <w:szCs w:val="18"/>
          <w:color w:val="auto"/>
        </w:rPr>
        <w:t>”) and a placement agency agreement dated June 11, 2026 by and between A.G.P. / Alliance Global Partners and the Company (the “</w:t>
      </w:r>
      <w:r>
        <w:rPr>
          <w:rFonts w:ascii="Times New Roman" w:cs="Times New Roman" w:eastAsia="Times New Roman" w:hAnsi="Times New Roman"/>
          <w:sz w:val="18"/>
          <w:szCs w:val="18"/>
          <w:b w:val="1"/>
          <w:bCs w:val="1"/>
          <w:i w:val="1"/>
          <w:iCs w:val="1"/>
          <w:color w:val="auto"/>
        </w:rPr>
        <w:t>Placement Agreement</w:t>
      </w:r>
      <w:r>
        <w:rPr>
          <w:rFonts w:ascii="Times New Roman" w:cs="Times New Roman" w:eastAsia="Times New Roman" w:hAnsi="Times New Roman"/>
          <w:sz w:val="18"/>
          <w:szCs w:val="18"/>
          <w:color w:val="auto"/>
        </w:rPr>
        <w:t>”). This opinion is being furnished in connection with the requirements of Item 601(b)(5)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the Act, and no opinion is expressed herein as to any matter pertaining to the contents of the Registration Statement or related Prospectus, other than as expressly stated herein with respect to the issue of the Shares.</w:t>
      </w:r>
    </w:p>
    <w:p>
      <w:pPr>
        <w:spacing w:after="0" w:line="19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firstLine="449"/>
        <w:spacing w:after="0" w:line="282" w:lineRule="auto"/>
        <w:tabs>
          <w:tab w:leader="none" w:pos="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delivered and paid for in accordance with the terms of the Securities Purchase Agreement, will be validly issued, fully paid and nonassessable.</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opinions, we have assumed that the Company will comply with all applicable notice requirements regarding uncertificated shares provided in the DGCL.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Bradley Arant Boult Cummings LLP | 1221 Broadway, Suite 2400 | Nashville, TN 37203 | 615.244.2582 | bradley.com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jc w:val="both"/>
        <w:ind w:firstLine="441"/>
        <w:spacing w:after="0" w:line="218" w:lineRule="exact"/>
        <w:rPr>
          <w:sz w:val="20"/>
          <w:szCs w:val="20"/>
          <w:color w:val="auto"/>
        </w:rPr>
      </w:pPr>
      <w:r>
        <w:rPr>
          <w:rFonts w:ascii="Times New Roman" w:cs="Times New Roman" w:eastAsia="Times New Roman" w:hAnsi="Times New Roman"/>
          <w:sz w:val="18"/>
          <w:szCs w:val="18"/>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premiums or other economic remedies to the extent such provisions are deemed to constitute a penalty; (b) consents to, or restrictions upon, governing law, jurisdiction, venue, arbitration, remedies, or judicial relief; (c) any provision requiring the payment of attorneys’ fees, where such payment is contrary to law or public policy; (d) other applicable exceptions; and (e) the severability, if invalid, of provisions to the foregoing effect.</w:t>
      </w:r>
    </w:p>
    <w:p>
      <w:pPr>
        <w:spacing w:after="0" w:line="20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June 15,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Bradley Arant Boult Cummings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11, 2026, between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purchasers identified on the signature pages hereto (including its successors and assigns,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an effective registration statement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(as defined below), the Company desires to issue and sell to each Purchaser, and each Purchaser, severally and not jointly, desires to purchase from the Company, securities of the Company as more fully described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meanings set forth in this Section 1.1:</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130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prospectus included in the Registration Statement at the time it became effective, including documents incorporated therein by reference.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300" w:right="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 w:name="page36"/>
    <w:bookmarkEnd w:id="35"/>
    <w:p>
      <w:pPr>
        <w:jc w:val="both"/>
        <w:ind w:left="320" w:hanging="323"/>
        <w:spacing w:after="0" w:line="20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 (or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$0.00001 per share, and any other class of securities into which such securities may hereafter be reclassified or changed.</w:t>
      </w:r>
    </w:p>
    <w:p>
      <w:pPr>
        <w:spacing w:after="0" w:line="162" w:lineRule="exact"/>
        <w:rPr>
          <w:sz w:val="20"/>
          <w:szCs w:val="20"/>
          <w:color w:val="auto"/>
        </w:rPr>
      </w:pPr>
    </w:p>
    <w:p>
      <w:pPr>
        <w:jc w:val="both"/>
        <w:ind w:left="320" w:right="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Bradley Arant Boult Cummings LLP.</w:t>
      </w:r>
    </w:p>
    <w:p>
      <w:pPr>
        <w:spacing w:after="0" w:line="225" w:lineRule="exact"/>
        <w:rPr>
          <w:sz w:val="20"/>
          <w:szCs w:val="20"/>
          <w:color w:val="auto"/>
        </w:rPr>
      </w:pPr>
    </w:p>
    <w:p>
      <w:pPr>
        <w:jc w:val="both"/>
        <w:ind w:left="320" w:hanging="3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left="320" w:hanging="3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w:t>
      </w:r>
    </w:p>
    <w:p>
      <w:pPr>
        <w:spacing w:after="0" w:line="1" w:lineRule="exact"/>
        <w:rPr>
          <w:sz w:val="20"/>
          <w:szCs w:val="20"/>
          <w:color w:val="auto"/>
        </w:rPr>
      </w:pPr>
    </w:p>
    <w:p>
      <w:pPr>
        <w:jc w:val="both"/>
        <w:ind w:left="320" w:firstLine="4"/>
        <w:spacing w:after="0" w:line="251" w:lineRule="auto"/>
        <w:tabs>
          <w:tab w:leader="none" w:pos="5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upon the exercise or exchange of or conversion of securities exercisable or exchangeable for or convertible into shares of Common Stock issued and outstanding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the Securities pursuant to this Agreement and (d) securities issued pursuant to acquisitions or strategic transactions approved by a majority of the disinterested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are issued as “restricted securities” (as defined in Rule 144) and carry no registration rights that require or permit the filing of any registration statement in connection therewith during the prohibition period in Section 4.11 herein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36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collectively, the Lock-Up Agreements, dated as of the date hereof, by and among the Company and each of the Company’s directors, executive officers, and 10% stockholders,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$13.50,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Agency Agreement</w:t>
      </w:r>
      <w:r>
        <w:rPr>
          <w:rFonts w:ascii="Times New Roman" w:cs="Times New Roman" w:eastAsia="Times New Roman" w:hAnsi="Times New Roman"/>
          <w:sz w:val="18"/>
          <w:szCs w:val="18"/>
          <w:color w:val="auto"/>
        </w:rPr>
        <w:t>” means the agreement executed on the Closing Date between the Company and the Placement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A.G.P./Alliance Global Partners.</w:t>
      </w:r>
    </w:p>
    <w:p>
      <w:pPr>
        <w:spacing w:after="0" w:line="3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37" w:name="page38"/>
    <w:bookmarkEnd w:id="37"/>
    <w:p>
      <w:pPr>
        <w:jc w:val="both"/>
        <w:ind w:left="320" w:hanging="3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or affecting the Company, any Subsidiary or any of their respective properties before or by any court, arbitrator, governmental or administrative agency or regulatory authority (federal, state, county, local or foreign).</w:t>
      </w:r>
    </w:p>
    <w:p>
      <w:pPr>
        <w:spacing w:after="0" w:line="180"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Supplement together with the Base Prospectus, including all information, documents and exhibits filed with or incorporated by reference into such prospectus.</w:t>
      </w:r>
    </w:p>
    <w:p>
      <w:pPr>
        <w:spacing w:after="0" w:line="162"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 in connection with the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effective registration statement filed with the Commission on Form S-3, as amended (File No. 333-296218), which registers the sale of the Securities, including, without limitation, the documents incorporated by reference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issuable pursuant to this Agreement.</w:t>
      </w:r>
    </w:p>
    <w:p>
      <w:pPr>
        <w:spacing w:after="0" w:line="225" w:lineRule="exact"/>
        <w:rPr>
          <w:sz w:val="20"/>
          <w:szCs w:val="20"/>
          <w:color w:val="auto"/>
        </w:rPr>
      </w:pPr>
    </w:p>
    <w:p>
      <w:pPr>
        <w:jc w:val="both"/>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3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38" w:name="page39"/>
    <w:bookmarkEnd w:id="38"/>
    <w:p>
      <w:pPr>
        <w:jc w:val="both"/>
        <w:ind w:left="130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in respect of the Securities, the aggregate amount to be paid for Securities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left="130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130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130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and any successor transfer agent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severally and not jointly, agree to purchase, the number of Shares set forth under “Subscription Amount” on the Purchaser’s signature page hereto at the Per Share Purchase Price. Each Purchaser’s Subscription Amount as set forth on the signature page hereto executed by such Purchaser shall be made available for “Delivery Versus Payment”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Deliveries.</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reasonably acceptable to the Placement Agent and each Purchaser;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Company’s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Agreements, in form and substance reasonably acceptable to each Purchaser, executed by each officer, director and 10% stockholder of the Company;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and delivered Officer’s Certificate, in form and substance satisfactory to the Placement Agent and each Purchaser;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and delivered Secretary’s Certificate, in form and substance satisfactory to the Placement Agent and each Purchaser;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with respect to each Purchaser are subject to the following conditions being met: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left="1304" w:hanging="656"/>
        <w:spacing w:after="0" w:line="261" w:lineRule="auto"/>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in all material respects;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and including the Closing Date, trading in the Company’s securities shall not have been suspended by the Commission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9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additional listing application with the principal Trading Market with respect to the Shares; and</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1" w:name="page42"/>
    <w:bookmarkEnd w:id="41"/>
    <w:p>
      <w:pPr>
        <w:jc w:val="both"/>
        <w:ind w:left="1960" w:hanging="656"/>
        <w:spacing w:after="0" w:line="266"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issuance of the Securities pursuant this Agreement, on the Closing Date, no fewer than 16,983,963 shares of Common Stock of the Company will have been issued and outstanding, and all such issued and outstanding shares of Common Stock shall have been issued prior to or contemporaneously with the issuance of the Securities to the Purchasers.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warranties to each Purchaser:</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references to the Subsidiaries or any of them in the Transaction Documents shall be disregarded.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capital stock of any Subsidiary, or contracts, commitments, understandings or arrangements by which any Subsidiary is or may become bound to issue capital stock.</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The Company and each of the Subsidiaries has all necessary authorizations, approvals, orders, licenses, certificates and permits of and from all governmental regulatory officials and bodies that it needs as of the date hereof to conduct its business purpose in all material respects as described in the SEC Reports and to own or lease its properties. Neither the Company nor any Subsidiary is in violation nor default of any of the provisions of its respective certificate or articles of incorporation, bylaws, memorandum and articles of association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The term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means an effect, change, event or occurrence that, alone or in conjunction with any other or others: (i) has or would reasonably be expected to have a material adverse effect on: (A) the business, general affairs, management, condition (financial or otherwise), results of operations, shareholders’ equity, properties or prospects of the Company and the Subsidiaries, taken as a whole, or</w:t>
      </w:r>
    </w:p>
    <w:p>
      <w:pPr>
        <w:spacing w:after="0" w:line="11"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legality, validity or enforceability of any Transaction Document, or (ii) the Company’s ability to perform in any material respect on a timely basis its obligations under any Transaction Document. No Proceeding has been instituted in any jurisdiction revoking, limiting or curtailing or seeking to revoke, limit or curtail such power and authority or qualification.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left="644" w:hanging="644"/>
        <w:spacing w:after="0" w:line="253"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9" w:lineRule="exact"/>
        <w:rPr>
          <w:rFonts w:ascii="Times New Roman" w:cs="Times New Roman" w:eastAsia="Times New Roman" w:hAnsi="Times New Roman"/>
          <w:sz w:val="18"/>
          <w:szCs w:val="18"/>
          <w:color w:val="auto"/>
        </w:rPr>
      </w:pPr>
    </w:p>
    <w:p>
      <w:pPr>
        <w:jc w:val="both"/>
        <w:ind w:left="644" w:hanging="644"/>
        <w:spacing w:after="0" w:line="269" w:lineRule="auto"/>
        <w:tabs>
          <w:tab w:leader="none" w:pos="6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memorandum and articles of association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34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3" w:name="page44"/>
    <w:bookmarkEnd w:id="43"/>
    <w:p>
      <w:pPr>
        <w:jc w:val="both"/>
        <w:ind w:left="644" w:hanging="644"/>
        <w:spacing w:after="0" w:line="25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and will keep available from its duly authorized but unissued shares of Common Stock, and at all times will have sufficient authorized but unissued shares of Common Stock to accommodate, the maximum number of shares of Common Stock issuable pursuant to the Transaction Documents. The Company has filed the Registration Statement in conformity with the requirements of the Securities Act, which became effective on June 4,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Base Prospectus, the Prospectus Supplement and any amendments or supplements thereto, at the time the Base Prospectus,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meets the transaction requirements as set forth in General Instruction I.B.1 of Form S-3.</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4" w:name="page45"/>
    <w:bookmarkEnd w:id="44"/>
    <w:p>
      <w:pPr>
        <w:jc w:val="both"/>
        <w:ind w:left="644" w:hanging="644"/>
        <w:spacing w:after="0" w:line="251"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date hereof, there are 16,983,963 shares of Common Stock issued and outstanding. The capitalization of the Company is as set forth in the SEC Reports as of the date thereof, which SEC Reports also include the number of shares of Common Stock owned beneficially, and of record, by Affiliates of the Company as of the date thereof. Except as set forth on Schedule 3.1(g),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the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7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5" w:name="page46"/>
    <w:bookmarkEnd w:id="45"/>
    <w:p>
      <w:pPr>
        <w:jc w:val="both"/>
        <w:ind w:left="644" w:hanging="644"/>
        <w:spacing w:after="0" w:line="25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Except as set forth on Schedule 3.1(g),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consolidated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conformity with GAAP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could reasonably be expected to result in a Material Adverse Effect, (ii) neither the Company nor any Subsidiary has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36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6" w:name="page47"/>
    <w:bookmarkEnd w:id="46"/>
    <w:p>
      <w:pPr>
        <w:jc w:val="both"/>
        <w:ind w:left="644" w:hanging="644"/>
        <w:spacing w:after="0" w:line="253"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6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7" w:name="page48"/>
    <w:bookmarkEnd w:id="47"/>
    <w:p>
      <w:pPr>
        <w:jc w:val="both"/>
        <w:ind w:left="644" w:hanging="644"/>
        <w:spacing w:after="0" w:line="254"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36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8" w:name="page49"/>
    <w:bookmarkEnd w:id="48"/>
    <w:p>
      <w:pPr>
        <w:jc w:val="both"/>
        <w:ind w:left="644" w:hanging="644"/>
        <w:spacing w:after="0" w:line="25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19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Other than as disclosed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9" w:name="page50"/>
    <w:bookmarkEnd w:id="49"/>
    <w:p>
      <w:pPr>
        <w:jc w:val="both"/>
        <w:ind w:left="644" w:hanging="644"/>
        <w:spacing w:after="0" w:line="252" w:lineRule="auto"/>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and their respective officers and directors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0"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other than fees payable to the Placement Agent.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0" w:name="page51"/>
    <w:bookmarkEnd w:id="50"/>
    <w:p>
      <w:pPr>
        <w:jc w:val="both"/>
        <w:ind w:left="644" w:hanging="644"/>
        <w:spacing w:after="0" w:line="254"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a Purchaser as a result of such Purchaser and the Company fulfilling their obligations or exercising their rights under the Transaction Documents, including without limitation as a result of the Company’s issuance of the Securities and such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Purchaser or its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35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1" w:name="page52"/>
    <w:bookmarkEnd w:id="51"/>
    <w:p>
      <w:pPr>
        <w:jc w:val="both"/>
        <w:ind w:left="644" w:hanging="644"/>
        <w:spacing w:after="0" w:line="258"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each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or (ii) any applicable shareholder approval provisions of any Trading Market on which any of the securities of the Company are listed or designated.</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by the Company in excess of $50,000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2" w:name="page53"/>
    <w:bookmarkEnd w:id="52"/>
    <w:p>
      <w:pPr>
        <w:jc w:val="both"/>
        <w:ind w:left="644" w:hanging="644"/>
        <w:spacing w:after="0" w:line="254"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or filed an extension to file,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current independent registered public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Each Purchaser’s Purchase of Securities</w:t>
      </w:r>
      <w:r>
        <w:rPr>
          <w:rFonts w:ascii="Times New Roman" w:cs="Times New Roman" w:eastAsia="Times New Roman" w:hAnsi="Times New Roman"/>
          <w:sz w:val="18"/>
          <w:szCs w:val="18"/>
          <w:color w:val="auto"/>
        </w:rPr>
        <w:t>. The Company acknowledges and agrees that each Purchaser is acting solely in the capacity of an arm’s length purchaser with respect to the Transaction Documents and the transactions contemplated thereby. The Company further acknowledges that each Purchaser is not acting as a financial advisor or fiduciary of the Company (or in any similar capacity) with respect to the Transaction Documents and the transactions contemplated thereby and any advice given by any Purchaser or any of its representatives or agents in connection with the Transaction Documents and the transactions contemplated thereby is merely incidental to such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36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3" w:name="page54"/>
    <w:bookmarkEnd w:id="53"/>
    <w:p>
      <w:pPr>
        <w:jc w:val="both"/>
        <w:ind w:left="644" w:hanging="644"/>
        <w:spacing w:after="0" w:line="253"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4.12 hereof), it is understood and acknowledged by the Company that: (i) the Purchasers have not been asked by the Company to agree, nor have the Purchasers agreed, to desist from purchasing or selling, long and/or short, securities of the Company, or “derivative” securities based on securities issued by the Company or to hold the Securities for any specified term; (ii) past or future open market or other transactions by the Purchasers, specifically including, without limitation, Short Sales or “derivative” transactions, before or after the closing of this or future private placement transactions, may negatively impact the market price of the Company’s publicly-traded securities; (iii) the Purchasers, and counter-parties in “derivative” transactions to which any Purchaser is a party, directly or indirectly, presently may have a “short” position in the Common Stock, and (iv) the Purchasers shall not be deemed to have any affiliation with or control over any arm’s length counter-party in any “derivative” transaction. The Company further understands and acknowledges that (y) the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any Purchaser’s request.</w:t>
      </w:r>
    </w:p>
    <w:p>
      <w:pPr>
        <w:spacing w:after="0" w:line="34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4" w:name="page55"/>
    <w:bookmarkEnd w:id="54"/>
    <w:p>
      <w:pPr>
        <w:jc w:val="both"/>
        <w:ind w:left="644" w:hanging="644"/>
        <w:spacing w:after="0" w:line="255"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or Other Tax</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or on behalf of the Placements Agents or the Purchasers are payable in the United States or taxing authority thereof or therein in connection with the sale and delivery by the Company of the Securities to or for the sale and delivery by the Securities to the Purchasers.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1"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except for violations and liabilities which, individually or in the aggregate, would not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have a Material Adverse Effect. There is no pending or, to the best of the Company’s knowledge, threatened administrative, regulatory or judicial action, claim or notice of noncompliance or violation, investigation or proceedings relating to any Environmental Law against the Company or any Subsidiary, except as would not, individually or in the aggregate, have a Material Adverse Effect. No property of the Company or any Subsidiary is subject to any Lien under any Environmental Law. Except as disclosed in the SEC Reports, neither the Company nor any Subsidiary is subject to any order, decree, agreement or other individualized legal requirement related to any Environmental Law, which, in any case (individually or in the aggregate), would have a Material Adverse Effect. The Company and each Subsidiary has all permits, authorizations and approvals required under any applicable Environmental Laws and are each in compliance with their requirements. In the ordinary course of its business, the Company periodically reviews the effect of Environmental Laws on the business, operations and properties of the Company and the Subsidiaries, in the course of which it identifies and evaluates associated costs and liabilities (including, without limitation, any capital or operating expenditures required for clean-up, closure or remediation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individually or in the aggregate, have a Material Adverse Effect.</w:t>
      </w:r>
    </w:p>
    <w:p>
      <w:pPr>
        <w:spacing w:after="0" w:line="376"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5" w:name="page56"/>
    <w:bookmarkEnd w:id="55"/>
    <w:p>
      <w:pPr>
        <w:jc w:val="both"/>
        <w:ind w:left="644" w:hanging="644"/>
        <w:spacing w:after="0" w:line="253"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that has been or will be paid (directly or indirectly) remuneration for solicitation of purchasers in connection with the sale of any Securities.</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6" w:name="page57"/>
    <w:bookmarkEnd w:id="56"/>
    <w:p>
      <w:pPr>
        <w:jc w:val="both"/>
        <w:ind w:left="644" w:hanging="644"/>
        <w:spacing w:after="0" w:line="255"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or the Placement Agency Agreement.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1"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To the Company’s knowledge: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Except as would not, individual or in the aggregate, have a material adverse effect: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to the knowledge of the Company, (i) has received written notice of any actual or potential liability of the Company or the Subsidiaries under, or actual or potential violation by the Company or the Subsidiaries of, any of the Privacy Laws;</w:t>
      </w:r>
    </w:p>
    <w:p>
      <w:pPr>
        <w:spacing w:after="0" w:line="9"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9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35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7" w:name="page58"/>
    <w:bookmarkEnd w:id="5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1300" w:hanging="644"/>
        <w:spacing w:after="0" w:line="253"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either: (i) an “accredited investor” as defined in Rule 501(a)(1), (a)(2), (a)(3), (a)(7), (a)(8), (a)(9), (a)(12) or (a)(13) under the Securities Act or (ii) a “qualified institutional buyer” as defined in Rule 144A(a) under the Securities Act.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left="644" w:hanging="644"/>
        <w:spacing w:after="0" w:line="261"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the representations set forth above shall only apply to such walled-off trading personnel.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6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9" w:name="page60"/>
    <w:bookmarkEnd w:id="59"/>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each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Shares shall be issued free of all restrictive legends.</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Securities, the Company covenants to maintain the registration of the Common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Stock under Section 12(b) or 12(g) of the Exchange Act and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transactions contemplated hereby, and (b) file a Current Report on Form 8-K, including the Transaction Documents as exhibits thereto, with the Commission within the time required by the Exchange Act. From and after the issuance of such press release, the Company represents to each Purchaser that it shall have publicly disclosed all material, non-public information delivered to each Purchaser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each Purchaser or any of its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such Purchaser, or without the prior consent of such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each Purchaser with prior notice of such disclosure permitted under this clause (b) and reasonably cooperate with such Purchaser regarding such disclosure.</w:t>
      </w:r>
    </w:p>
    <w:p>
      <w:pPr>
        <w:spacing w:after="0" w:line="18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or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including, without limitation, the Placement Agent, or a duty to the Company, any of its Subsidiaries or any of their respective officers, directors, agents, employees or Affiliates, including, without limitation, the Placement Agent, not to trade on the basis of, such material, non-public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Purchasers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as described in the Prospectus Supplement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use such proceeds: (a) for the satisfaction of any portion of the Company’s debt (other than payment of trade payables in the ordinary course of the Company’s business and prior practices and as described in the Prospectus Supplement), (b) for the redemption of any Common Stock or Common Stock Equivalents, (c) for the settlement of any outstanding litigation or (d) in violation of FCPA or OFAC regulations.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to the fullest extent permitted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applicable law,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managers,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(including a Purchaser Party’s status as an investor), or any of them or their respective Affiliates, by the Company or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w:t>
      </w:r>
    </w:p>
    <w:p>
      <w:pPr>
        <w:spacing w:after="0" w:line="9" w:lineRule="exact"/>
        <w:rPr>
          <w:sz w:val="20"/>
          <w:szCs w:val="20"/>
          <w:color w:val="auto"/>
        </w:rPr>
      </w:pPr>
    </w:p>
    <w:p>
      <w:pPr>
        <w:jc w:val="both"/>
        <w:ind w:left="660" w:hanging="4"/>
        <w:spacing w:after="0" w:line="251" w:lineRule="auto"/>
        <w:tabs>
          <w:tab w:leader="none" w:pos="9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after a reasonable period of time to assume such defense and to employ counsel reasonably acceptable to the Purchaser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made by the Purchaser in this Agreement. Company shall not, without the prior written consent of the Purchaser Party, effect any settlement of any pending or threatened action or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Purchaser Party.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free of preemptive rights, a sufficient number of shares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Common Stock for the purpose of enabling the Company to issue Shares pursuant to this Agreement.</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The Company hereby agrees to use its best efforts to maintain the listing or quotation of the Common Stock on the Trading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Market on which it is currently listed, and concurrently with the Closing, the Company shall submit a listing of additional shares notification form to the such Trading Market with respect to the Shares.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tabs>
          <w:tab w:leader="none" w:pos="6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Subsequent Equity Sales.</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ten (10)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filing a registration statement on Form S-8 in connection with any employee benefit plan. Notwithstanding the foregoing restrictions, the Company may at any time enter into and/or issue shares of Common Stock or file a prospectus supplement in connection with an “at the market” offering with the Placement Agent as sales agent.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date hereof until thirty (30)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whereby the Company may issue securities at a future determined price regardless of whether shares pursuant to such agreement have actually been issued and regardless of whether such agreement is subsequently canceled, provided, however, that the entry into and/or issuance of shares of Common Stock or filing of a prospectus supplement in connection with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9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w:t>
      </w:r>
    </w:p>
    <w:p>
      <w:pPr>
        <w:spacing w:after="0" w:line="11" w:lineRule="exact"/>
        <w:rPr>
          <w:sz w:val="20"/>
          <w:szCs w:val="20"/>
          <w:color w:val="auto"/>
        </w:rPr>
      </w:pPr>
    </w:p>
    <w:p>
      <w:pPr>
        <w:jc w:val="both"/>
        <w:ind w:left="660" w:hanging="4"/>
        <w:spacing w:after="0" w:line="253" w:lineRule="auto"/>
        <w:tabs>
          <w:tab w:leader="none" w:pos="9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this Section 4.12 shall apply only with respect to activities of such walled-off trading personnel.</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u w:val="single" w:color="auto"/>
          <w:color w:val="auto"/>
        </w:rPr>
        <w:t xml:space="preserve">Equal Treatment of Purchasers. </w:t>
      </w:r>
      <w:r>
        <w:rPr>
          <w:rFonts w:ascii="Times New Roman" w:cs="Times New Roman" w:eastAsia="Times New Roman" w:hAnsi="Times New Roman"/>
          <w:sz w:val="18"/>
          <w:szCs w:val="18"/>
          <w:color w:val="auto"/>
        </w:rPr>
        <w:t>No consideration (including any modification of any Transaction Document) shall be offered or paid to any Person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amend or consent to a waiver or modification of any provision of the Transaction Documents unless the same consideration is also offered to all Purchasers.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extend the term of the lock-up period and shall enforce the provisions of each Lock-Up Agreement in accordance with its terms. If any party to a Lock-Up Agreement breaches any provision of such Lock-Up Agreement, the Company shall promptly use its best efforts to seek specific performance of the terms of such Lock-Up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left="660" w:hanging="647"/>
        <w:spacing w:after="0" w:line="221"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whatsoever on the obligations between the Company and the other Purchasers, by written notice to the Company, if the Closing Date has not occurred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Securities to the Purchasers.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left="660" w:hanging="647"/>
        <w:spacing w:after="0" w:line="220" w:lineRule="exact"/>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date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signed, in the case of an amendment, by the Company and Purchasers which purchased at least fifty and one tenth percent (50.1%) in interest of the Securities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provisions hereof.</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transferee agrees in writing to be bound, with respect to the transferred Securities, by the provisions of the Transaction Documents that apply to the “Purchaser” (other than in respect of a transfer pursuant to an effective registration statement).</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Section 4.8, the prevailing party in such action, suit or proceeding shall be reimbursed by the non-prevailing party for its reasonable attorneys’ fees and other costs and expenses incurred with the investigation, preparation and prosecution of such action or proceeding.</w:t>
      </w:r>
    </w:p>
    <w:p>
      <w:pPr>
        <w:spacing w:after="0" w:line="193"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for the applicable statute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limitations.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5.18.</w:t>
      </w:r>
      <w:r>
        <w:rPr>
          <w:sz w:val="20"/>
          <w:szCs w:val="20"/>
          <w:color w:val="auto"/>
        </w:rPr>
        <w:tab/>
      </w:r>
      <w:r>
        <w:rPr>
          <w:rFonts w:ascii="Times New Roman" w:cs="Times New Roman" w:eastAsia="Times New Roman" w:hAnsi="Times New Roman"/>
          <w:sz w:val="18"/>
          <w:szCs w:val="18"/>
          <w:u w:val="single" w:color="auto"/>
          <w:color w:val="auto"/>
        </w:rPr>
        <w:t xml:space="preserve">Saturdays, Sundays, Holidays, etc. </w:t>
      </w:r>
      <w:r>
        <w:rPr>
          <w:rFonts w:ascii="Times New Roman" w:cs="Times New Roman" w:eastAsia="Times New Roman" w:hAnsi="Times New Roman"/>
          <w:sz w:val="18"/>
          <w:szCs w:val="18"/>
          <w:color w:val="auto"/>
        </w:rPr>
        <w:t>If the last or appointed day for the taking of any action or the expiration of any right required or granted herein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be a Trading Day or Business Day, then such action may be taken or such right may be exercised on the next succeeding Trading Day or Business Day, as the case may be.</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5.20.</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 PARTY</w:t>
      </w:r>
    </w:p>
    <w:p>
      <w:pPr>
        <w:spacing w:after="0" w:line="3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MOMENTUS INC.</w:t>
            </w:r>
          </w:p>
        </w:tc>
        <w:tc>
          <w:tcPr>
            <w:tcW w:w="33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14"/>
        </w:trPr>
        <w:tc>
          <w:tcPr>
            <w:tcW w:w="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30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8"/>
              </w:rPr>
              <w:t>1762 Automation Parkway</w:t>
            </w:r>
          </w:p>
        </w:tc>
      </w:tr>
      <w:tr>
        <w:trPr>
          <w:trHeight w:val="216"/>
        </w:trPr>
        <w:tc>
          <w:tcPr>
            <w:tcW w:w="3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30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8"/>
              </w:rPr>
              <w:t>San Jose, California 95131</w:t>
            </w:r>
          </w:p>
        </w:tc>
      </w:tr>
      <w:tr>
        <w:trPr>
          <w:trHeight w:val="24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p>
        </w:tc>
        <w:tc>
          <w:tcPr>
            <w:tcW w:w="33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E-mail: [***]</w:t>
            </w:r>
          </w:p>
        </w:tc>
      </w:tr>
      <w:tr>
        <w:trPr>
          <w:trHeight w:val="198"/>
        </w:trPr>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John Rood</w:t>
            </w:r>
          </w:p>
        </w:tc>
        <w:tc>
          <w:tcPr>
            <w:tcW w:w="3300" w:type="dxa"/>
            <w:vAlign w:val="bottom"/>
          </w:tcPr>
          <w:p>
            <w:pPr>
              <w:spacing w:after="0"/>
              <w:rPr>
                <w:sz w:val="17"/>
                <w:szCs w:val="17"/>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3300" w:type="dxa"/>
            <w:vAlign w:val="bottom"/>
          </w:tcPr>
          <w:p>
            <w:pPr>
              <w:spacing w:after="0"/>
              <w:rPr>
                <w:sz w:val="20"/>
                <w:szCs w:val="20"/>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300" w:type="dxa"/>
            <w:vAlign w:val="bottom"/>
          </w:tcPr>
          <w:p>
            <w:pPr>
              <w:spacing w:after="0"/>
              <w:rPr>
                <w:sz w:val="24"/>
                <w:szCs w:val="24"/>
                <w:color w:val="auto"/>
              </w:rPr>
            </w:pP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Bradley Arant Boult Cummings LLP</w:t>
            </w:r>
          </w:p>
        </w:tc>
        <w:tc>
          <w:tcPr>
            <w:tcW w:w="3300" w:type="dxa"/>
            <w:vAlign w:val="bottom"/>
          </w:tcPr>
          <w:p>
            <w:pPr>
              <w:spacing w:after="0"/>
              <w:rPr>
                <w:sz w:val="24"/>
                <w:szCs w:val="24"/>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22 ONE</w:t>
            </w:r>
          </w:p>
        </w:tc>
        <w:tc>
          <w:tcPr>
            <w:tcW w:w="3300" w:type="dxa"/>
            <w:vAlign w:val="bottom"/>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Broadway</w:t>
            </w:r>
          </w:p>
        </w:tc>
        <w:tc>
          <w:tcPr>
            <w:tcW w:w="3300" w:type="dxa"/>
            <w:vAlign w:val="bottom"/>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 2400</w:t>
            </w:r>
          </w:p>
        </w:tc>
        <w:tc>
          <w:tcPr>
            <w:tcW w:w="3300" w:type="dxa"/>
            <w:vAlign w:val="bottom"/>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Nashville, TN 37203</w:t>
            </w:r>
          </w:p>
        </w:tc>
        <w:tc>
          <w:tcPr>
            <w:tcW w:w="3300" w:type="dxa"/>
            <w:vAlign w:val="bottom"/>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Stephen Hinton</w:t>
            </w:r>
          </w:p>
        </w:tc>
        <w:tc>
          <w:tcPr>
            <w:tcW w:w="3300" w:type="dxa"/>
            <w:vAlign w:val="bottom"/>
          </w:tcPr>
          <w:p>
            <w:pPr>
              <w:spacing w:after="0"/>
              <w:rPr>
                <w:sz w:val="18"/>
                <w:szCs w:val="18"/>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t>[PURCHASERS SIGNATURE PAGES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MOMENTUS INC. SECURITIES PURCHASE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1346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3461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5715</wp:posOffset>
            </wp:positionV>
            <wp:extent cx="392620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6374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3740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5715</wp:posOffset>
            </wp:positionV>
            <wp:extent cx="470598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5715</wp:posOffset>
            </wp:positionV>
            <wp:extent cx="43459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59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17830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17830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745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Lock-Up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3" w:name="page74"/>
    <w:bookmarkEnd w:id="7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Momentus Announces Pricing of a $25 Million Registered Direct Offering of Common Stock Priced At-The-Market Under Nasdaq Rules with New and Existing Fundamental Institutional Investors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SAN JOSE, Calif. (BUSINESS WIRE) — June 12, 2026 — Momentus Inc. (NASDAQ: MNTS) (“</w:t>
      </w:r>
      <w:r>
        <w:rPr>
          <w:rFonts w:ascii="Times New Roman" w:cs="Times New Roman" w:eastAsia="Times New Roman" w:hAnsi="Times New Roman"/>
          <w:sz w:val="18"/>
          <w:szCs w:val="18"/>
          <w:b w:val="1"/>
          <w:bCs w:val="1"/>
          <w:color w:val="auto"/>
        </w:rPr>
        <w:t>Momentus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leading U.S. commercial space firm specializing in satellite solutions, in-space transportation, and orbital infrastructure, today announced that it has entered into securities purchase agreements with new and existing long term institutional investors for the purchase and sale of 1,851,852 shares of its common stock in a registered direct offering priced at-the-market under Nasdaq rules (the “Offering”). The gross proceeds from the Offering are expected to be approximately $25 million, before deducting placement agent fees and other estimated Offering expenses.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closing of the Offering is expected to occur on or about June 15, 2026, subject to the satisfaction of customary closing conditions. The Company intends to use the net proceeds from the Offering for working capital and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 is acting as sole placement agent for the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securities described above are being offered pursuant to an effective shelf registration statement on Form S-3 (File No. 333-296218) which became effective on June 4, 2026. The Offering is being made only by means of a prospectus which is part of the effective registration statement. A prospectus supplement and the accompanying prospectus relating to the Offering will be filed with the Securities and Exchange Commission (the “SEC”) and will be available on the SEC’s website located at http://www.sec.gov. Additionally, when available, electronic copies of the prospectus supplement and the accompanying prospectus may be obtained, when available, from A.G.P./Alliance Global Partners, 590 Madison Avenue, 28th Floor, New York, NY 10022, or by telephone at (212) 624-2060, or by email at </w:t>
      </w:r>
      <w:r>
        <w:rPr>
          <w:rFonts w:ascii="Times New Roman" w:cs="Times New Roman" w:eastAsia="Times New Roman" w:hAnsi="Times New Roman"/>
          <w:sz w:val="18"/>
          <w:szCs w:val="18"/>
          <w:u w:val="single" w:color="auto"/>
          <w:color w:val="auto"/>
        </w:rPr>
        <w:t>prospectus@allianceg.com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 securities described above, nor shall there be any sale of these securities in any state or other jurisdiction in which such offer, solicitation or sale would be unlawful prior to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About Momentus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Momentus is a U.S. commercial space company Offering satellites, satellite components, and in-space transportation and infrastructure services. The Company offers satellites to support government and commercial customers for missions like communications, missile tracking, and cutting-edge science missions. Momentus offers services such as hosted payloads, support for in-space assembly, on-orbit servicing and refueling, and transportation of satellites to specific orbits.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certain statements that may constitute “forward-looking statements” for purposes of the federal securities laws. Forward-looking statements include, but are not limited to, statements regarding the expected closing of the Offering, the intended use of proceeds and fulfillment of customary closing conditions. These statements reflect Momentus’ or its management team’s expectations, hopes, beliefs, intentions or strategies regarding the future, projections, forecasts or other characterizations of future events or circumstances, including any underlying assumptions, and are not guarantees of future performance. Because forward-looking statements relate to the future, they are subject to inherent uncertainties, risks and changes in circumstances that are difficult to predict and many of which are outside of Momentus’ control. Many factors could cause actual future events to differ materially from the forward-looking statements in this press release, including but not limited to risks and uncertainties included under the heading “Risk Factors” in the Annual Report on Form 10-K filed by the Company on March 31, 2026, as such factors may be updated from time to time in our other filings with the SEC, accessible on the SEC’s website at www.sec.gov and the Investor Relations section of our website at https://momentus.space.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Investors: </w:t>
      </w:r>
      <w:r>
        <w:rPr>
          <w:rFonts w:ascii="Times New Roman" w:cs="Times New Roman" w:eastAsia="Times New Roman" w:hAnsi="Times New Roman"/>
          <w:sz w:val="18"/>
          <w:szCs w:val="18"/>
          <w:color w:val="auto"/>
        </w:rPr>
        <w:t>investors@momentus.space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press@momentus.space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upperLetter"/>
      <w:start w:val="1"/>
    </w:lvl>
    <w:lvl w:ilvl="1">
      <w:lvlJc w:val="left"/>
      <w:lvlText w:val="(%2)"/>
      <w:numFmt w:val="decimal"/>
      <w:start w:val="1"/>
    </w:lvl>
  </w:abstractNum>
  <w:abstractNum w:abstractNumId="2">
    <w:nsid w:val="7C3DBD3D"/>
    <w:multiLevelType w:val="hybridMultilevel"/>
    <w:lvl w:ilvl="0">
      <w:lvlJc w:val="left"/>
      <w:lvlText w:val="%1"/>
      <w:numFmt w:val="upperLetter"/>
      <w:start w:val="1"/>
    </w:lvl>
    <w:lvl w:ilvl="1">
      <w:lvlJc w:val="left"/>
      <w:lvlText w:val="(%2)"/>
      <w:numFmt w:val="decimal"/>
      <w:start w:val="30"/>
    </w:lvl>
  </w:abstractNum>
  <w:abstractNum w:abstractNumId="3">
    <w:nsid w:val="737B8DDC"/>
    <w:multiLevelType w:val="hybridMultilevel"/>
    <w:lvl w:ilvl="0">
      <w:lvlJc w:val="left"/>
      <w:lvlText w:val="%1."/>
      <w:numFmt w:val="upperLetter"/>
      <w:start w:val="2"/>
    </w:lvl>
    <w:lvl w:ilvl="1">
      <w:lvlJc w:val="left"/>
      <w:lvlText w:val="%2"/>
      <w:numFmt w:val="decimal"/>
      <w:start w:val="1"/>
    </w:lvl>
  </w:abstractNum>
  <w:abstractNum w:abstractNumId="4">
    <w:nsid w:val="6CEAF087"/>
    <w:multiLevelType w:val="hybridMultilevel"/>
    <w:lvl w:ilvl="0">
      <w:lvlJc w:val="left"/>
      <w:lvlText w:val="(%1)"/>
      <w:numFmt w:val="lowerRoman"/>
      <w:start w:val="3"/>
    </w:lvl>
  </w:abstractNum>
  <w:abstractNum w:abstractNumId="5">
    <w:nsid w:val="22221A70"/>
    <w:multiLevelType w:val="hybridMultilevel"/>
    <w:lvl w:ilvl="0">
      <w:lvlJc w:val="left"/>
      <w:lvlText w:val="%1."/>
      <w:numFmt w:val="upperLetter"/>
      <w:start w:val="1"/>
    </w:lvl>
  </w:abstractNum>
  <w:abstractNum w:abstractNumId="6">
    <w:nsid w:val="4516DDE9"/>
    <w:multiLevelType w:val="hybridMultilevel"/>
    <w:lvl w:ilvl="0">
      <w:lvlJc w:val="left"/>
      <w:lvlText w:val="%1."/>
      <w:numFmt w:val="upperLetter"/>
      <w:start w:val="1"/>
    </w:lvl>
  </w:abstractNum>
  <w:abstractNum w:abstractNumId="7">
    <w:nsid w:val="3006C83E"/>
    <w:multiLevelType w:val="hybridMultilevel"/>
    <w:lvl w:ilvl="0">
      <w:lvlJc w:val="left"/>
      <w:lvlText w:val="%1."/>
      <w:numFmt w:val="upperLetter"/>
      <w:start w:val="2"/>
    </w:lvl>
  </w:abstractNum>
  <w:abstractNum w:abstractNumId="8">
    <w:nsid w:val="614FD4A1"/>
    <w:multiLevelType w:val="hybridMultilevel"/>
    <w:lvl w:ilvl="0">
      <w:lvlJc w:val="left"/>
      <w:lvlText w:val="%1."/>
      <w:numFmt w:val="upperLetter"/>
      <w:start w:val="5"/>
    </w:lvl>
  </w:abstractNum>
  <w:abstractNum w:abstractNumId="9">
    <w:nsid w:val="419AC241"/>
    <w:multiLevelType w:val="hybridMultilevel"/>
    <w:lvl w:ilvl="0">
      <w:lvlJc w:val="left"/>
      <w:lvlText w:val="%1."/>
      <w:numFmt w:val="upperLetter"/>
      <w:start w:val="1"/>
    </w:lvl>
  </w:abstractNum>
  <w:abstractNum w:abstractNumId="10">
    <w:nsid w:val="5577F8E1"/>
    <w:multiLevelType w:val="hybridMultilevel"/>
    <w:lvl w:ilvl="0">
      <w:lvlJc w:val="left"/>
      <w:lvlText w:val="%1."/>
      <w:numFmt w:val="upperLetter"/>
      <w:start w:val="5"/>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2"/>
    </w:lvl>
    <w:lvl w:ilvl="1">
      <w:lvlJc w:val="left"/>
      <w:lvlText w:val="(%2)"/>
      <w:numFmt w:val="upperLetter"/>
      <w:start w:val="1"/>
    </w:lvl>
  </w:abstractNum>
  <w:abstractNum w:abstractNumId="13">
    <w:nsid w:val="3804823E"/>
    <w:multiLevelType w:val="hybridMultilevel"/>
    <w:lvl w:ilvl="0">
      <w:lvlJc w:val="left"/>
      <w:lvlText w:val="(%1)"/>
      <w:numFmt w:val="upperLetter"/>
      <w:start w:val="24"/>
    </w:lvl>
  </w:abstractNum>
  <w:abstractNum w:abstractNumId="14">
    <w:nsid w:val="77465F01"/>
    <w:multiLevelType w:val="hybridMultilevel"/>
    <w:lvl w:ilvl="0">
      <w:lvlJc w:val="left"/>
      <w:lvlText w:val="(%1)"/>
      <w:numFmt w:val="decimal"/>
      <w:start w:val="9"/>
    </w:lvl>
  </w:abstractNum>
  <w:abstractNum w:abstractNumId="15">
    <w:nsid w:val="7724C67E"/>
    <w:multiLevelType w:val="hybridMultilevel"/>
    <w:lvl w:ilvl="0">
      <w:lvlJc w:val="left"/>
      <w:lvlText w:val="%1)"/>
      <w:numFmt w:val="lowerLetter"/>
      <w:start w:val="4"/>
    </w:lvl>
    <w:lvl w:ilvl="1">
      <w:lvlJc w:val="left"/>
      <w:lvlText w:val="%2."/>
      <w:numFmt w:val="lowerRoman"/>
      <w:start w:val="1"/>
    </w:lvl>
  </w:abstractNum>
  <w:abstractNum w:abstractNumId="16">
    <w:nsid w:val="5C482A97"/>
    <w:multiLevelType w:val="hybridMultilevel"/>
    <w:lvl w:ilvl="0">
      <w:lvlJc w:val="left"/>
      <w:lvlText w:val="%1."/>
      <w:numFmt w:val="lowerRoman"/>
      <w:start w:val="4"/>
    </w:lvl>
  </w:abstractNum>
  <w:abstractNum w:abstractNumId="17">
    <w:nsid w:val="2463B9E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8">
    <w:nsid w:val="5E884ADC"/>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9">
    <w:nsid w:val="51EAD36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2"/>
    </w:lvl>
  </w:abstractNum>
  <w:abstractNum w:abstractNumId="22">
    <w:nsid w:val="153EA438"/>
    <w:multiLevelType w:val="hybridMultilevel"/>
    <w:lvl w:ilvl="0">
      <w:lvlJc w:val="left"/>
      <w:lvlText w:val="%1)"/>
      <w:numFmt w:val="lowerLetter"/>
      <w:start w:val="4"/>
    </w:lvl>
  </w:abstractNum>
  <w:abstractNum w:abstractNumId="23">
    <w:nsid w:val="3855585C"/>
    <w:multiLevelType w:val="hybridMultilevel"/>
    <w:lvl w:ilvl="0">
      <w:lvlJc w:val="left"/>
      <w:lvlText w:val="%1)"/>
      <w:numFmt w:val="lowerLetter"/>
      <w:start w:val="5"/>
    </w:lvl>
    <w:lvl w:ilvl="1">
      <w:lvlJc w:val="left"/>
      <w:lvlText w:val="%2."/>
      <w:numFmt w:val="lowerRoman"/>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2"/>
    </w:lvl>
  </w:abstractNum>
  <w:abstractNum w:abstractNumId="27">
    <w:nsid w:val="1D4ED43B"/>
    <w:multiLevelType w:val="hybridMultilevel"/>
    <w:lvl w:ilvl="0">
      <w:lvlJc w:val="left"/>
      <w:lvlText w:val="%1"/>
      <w:numFmt w:val="lowerRoman"/>
      <w:start w:val="1"/>
    </w:lvl>
    <w:lvl w:ilvl="1">
      <w:lvlJc w:val="left"/>
      <w:lvlText w:val="%2)"/>
      <w:numFmt w:val="lowerLetter"/>
      <w:start w:val="5"/>
    </w:lvl>
  </w:abstractNum>
  <w:abstractNum w:abstractNumId="28">
    <w:nsid w:val="725A06FB"/>
    <w:multiLevelType w:val="hybridMultilevel"/>
    <w:lvl w:ilvl="0">
      <w:lvlJc w:val="left"/>
      <w:lvlText w:val="(%1)"/>
      <w:numFmt w:val="lowerRoman"/>
      <w:start w:val="4"/>
    </w:lvl>
    <w:lvl w:ilvl="1">
      <w:lvlJc w:val="left"/>
      <w:lvlText w:val="%2"/>
      <w:numFmt w:val="lowerLetter"/>
      <w:start w:val="1"/>
    </w:lvl>
  </w:abstractNum>
  <w:abstractNum w:abstractNumId="29">
    <w:nsid w:val="2CD89A32"/>
    <w:multiLevelType w:val="hybridMultilevel"/>
    <w:lvl w:ilvl="0">
      <w:lvlJc w:val="left"/>
      <w:lvlText w:val="%1)"/>
      <w:numFmt w:val="lowerLetter"/>
      <w:start w:val="9"/>
    </w:lvl>
  </w:abstractNum>
  <w:abstractNum w:abstractNumId="30">
    <w:nsid w:val="57E4CCAF"/>
    <w:multiLevelType w:val="hybridMultilevel"/>
    <w:lvl w:ilvl="0">
      <w:lvlJc w:val="left"/>
      <w:lvlText w:val="(%1)"/>
      <w:numFmt w:val="decimal"/>
      <w:start w:val="1"/>
    </w:lvl>
    <w:lvl w:ilvl="1">
      <w:lvlJc w:val="left"/>
      <w:lvlText w:val="☐"/>
      <w:numFmt w:val="bullet"/>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lowerLetter"/>
      <w:start w:val="2"/>
    </w:lvl>
  </w:abstractNum>
  <w:abstractNum w:abstractNumId="33">
    <w:nsid w:val="542289EC"/>
    <w:multiLevelType w:val="hybridMultilevel"/>
    <w:lvl w:ilvl="0">
      <w:lvlJc w:val="left"/>
      <w:lvlText w:val="(%1)"/>
      <w:numFmt w:val="lowerLetter"/>
      <w:start w:val="1"/>
    </w:lvl>
    <w:lvl w:ilvl="1">
      <w:lvlJc w:val="left"/>
      <w:lvlText w:val="(%2)"/>
      <w:numFmt w:val="lowerRoman"/>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
    </w:lvl>
    <w:lvl w:ilvl="1">
      <w:lvlJc w:val="left"/>
      <w:lvlText w:val="(%2)"/>
      <w:numFmt w:val="lowerRoman"/>
      <w:start w:val="1"/>
    </w:lvl>
  </w:abstractNum>
  <w:abstractNum w:abstractNumId="36">
    <w:nsid w:val="7644A45C"/>
    <w:multiLevelType w:val="hybridMultilevel"/>
    <w:lvl w:ilvl="0">
      <w:lvlJc w:val="left"/>
      <w:lvlText w:val="(%1)"/>
      <w:numFmt w:val="lowerLetter"/>
      <w:start w:val="2"/>
    </w:lvl>
    <w:lvl w:ilvl="1">
      <w:lvlJc w:val="left"/>
      <w:lvlText w:val="(%2)"/>
      <w:numFmt w:val="lowerRoman"/>
      <w:start w:val="1"/>
    </w:lvl>
  </w:abstractNum>
  <w:abstractNum w:abstractNumId="37">
    <w:nsid w:val="32FFF902"/>
    <w:multiLevelType w:val="hybridMultilevel"/>
    <w:lvl w:ilvl="0">
      <w:lvlJc w:val="left"/>
      <w:lvlText w:val="(%1)"/>
      <w:numFmt w:val="lowerRoman"/>
      <w:start w:val="7"/>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3"/>
    </w:lvl>
  </w:abstractNum>
  <w:abstractNum w:abstractNumId="40">
    <w:nsid w:val="749ABB43"/>
    <w:multiLevelType w:val="hybridMultilevel"/>
    <w:lvl w:ilvl="0">
      <w:lvlJc w:val="left"/>
      <w:lvlText w:val="(%1)"/>
      <w:numFmt w:val="lowerLetter"/>
      <w:start w:val="5"/>
    </w:lvl>
  </w:abstractNum>
  <w:abstractNum w:abstractNumId="41">
    <w:nsid w:val="3DC240FB"/>
    <w:multiLevelType w:val="hybridMultilevel"/>
    <w:lvl w:ilvl="0">
      <w:lvlJc w:val="left"/>
      <w:lvlText w:val="(%1)"/>
      <w:numFmt w:val="lowerLetter"/>
      <w:start w:val="7"/>
    </w:lvl>
  </w:abstractNum>
  <w:abstractNum w:abstractNumId="42">
    <w:nsid w:val="1BA026FA"/>
    <w:multiLevelType w:val="hybridMultilevel"/>
    <w:lvl w:ilvl="0">
      <w:lvlJc w:val="left"/>
      <w:lvlText w:val="(%1)"/>
      <w:numFmt w:val="lowerLetter"/>
      <w:start w:val="8"/>
    </w:lvl>
  </w:abstractNum>
  <w:abstractNum w:abstractNumId="43">
    <w:nsid w:val="79A1DEAA"/>
    <w:multiLevelType w:val="hybridMultilevel"/>
    <w:lvl w:ilvl="0">
      <w:lvlJc w:val="left"/>
      <w:lvlText w:val="(%1)"/>
      <w:numFmt w:val="lowerLetter"/>
      <w:start w:val="10"/>
    </w:lvl>
  </w:abstractNum>
  <w:abstractNum w:abstractNumId="44">
    <w:nsid w:val="75C6C33A"/>
    <w:multiLevelType w:val="hybridMultilevel"/>
    <w:lvl w:ilvl="0">
      <w:lvlJc w:val="left"/>
      <w:lvlText w:val="(%1)"/>
      <w:numFmt w:val="lowerLetter"/>
      <w:start w:val="12"/>
    </w:lvl>
  </w:abstractNum>
  <w:abstractNum w:abstractNumId="45">
    <w:nsid w:val="12E685FB"/>
    <w:multiLevelType w:val="hybridMultilevel"/>
    <w:lvl w:ilvl="0">
      <w:lvlJc w:val="left"/>
      <w:lvlText w:val="(%1)"/>
      <w:numFmt w:val="lowerLetter"/>
      <w:start w:val="15"/>
    </w:lvl>
  </w:abstractNum>
  <w:abstractNum w:abstractNumId="46">
    <w:nsid w:val="70C6A529"/>
    <w:multiLevelType w:val="hybridMultilevel"/>
    <w:lvl w:ilvl="0">
      <w:lvlJc w:val="left"/>
      <w:lvlText w:val="(%1)"/>
      <w:numFmt w:val="lowerLetter"/>
      <w:start w:val="18"/>
    </w:lvl>
  </w:abstractNum>
  <w:abstractNum w:abstractNumId="47">
    <w:nsid w:val="520EEDD1"/>
    <w:multiLevelType w:val="hybridMultilevel"/>
    <w:lvl w:ilvl="0">
      <w:lvlJc w:val="left"/>
      <w:lvlText w:val="(%1)"/>
      <w:numFmt w:val="lowerLetter"/>
      <w:start w:val="22"/>
    </w:lvl>
  </w:abstractNum>
  <w:abstractNum w:abstractNumId="48">
    <w:nsid w:val="374A3FE6"/>
    <w:multiLevelType w:val="hybridMultilevel"/>
    <w:lvl w:ilvl="0">
      <w:lvlJc w:val="left"/>
      <w:lvlText w:val="(%1)"/>
      <w:numFmt w:val="lowerLetter"/>
      <w:start w:val="25"/>
    </w:lvl>
  </w:abstractNum>
  <w:abstractNum w:abstractNumId="49">
    <w:nsid w:val="4F4EF005"/>
    <w:multiLevelType w:val="hybridMultilevel"/>
    <w:lvl w:ilvl="0">
      <w:lvlJc w:val="left"/>
      <w:lvlText w:val="(%1)"/>
      <w:numFmt w:val="lowerLetter"/>
      <w:start w:val="27"/>
    </w:lvl>
  </w:abstractNum>
  <w:abstractNum w:abstractNumId="50">
    <w:nsid w:val="23F9C13C"/>
    <w:multiLevelType w:val="hybridMultilevel"/>
    <w:lvl w:ilvl="0">
      <w:lvlJc w:val="left"/>
      <w:lvlText w:val="(%1)"/>
      <w:numFmt w:val="lowerLetter"/>
      <w:start w:val="31"/>
    </w:lvl>
  </w:abstractNum>
  <w:abstractNum w:abstractNumId="51">
    <w:nsid w:val="649BB77C"/>
    <w:multiLevelType w:val="hybridMultilevel"/>
    <w:lvl w:ilvl="0">
      <w:lvlJc w:val="left"/>
      <w:lvlText w:val="(%1)"/>
      <w:numFmt w:val="lowerLetter"/>
      <w:start w:val="35"/>
    </w:lvl>
  </w:abstractNum>
  <w:abstractNum w:abstractNumId="52">
    <w:nsid w:val="275AC794"/>
    <w:multiLevelType w:val="hybridMultilevel"/>
    <w:lvl w:ilvl="0">
      <w:lvlJc w:val="left"/>
      <w:lvlText w:val="(%1)"/>
      <w:numFmt w:val="lowerLetter"/>
      <w:start w:val="39"/>
    </w:lvl>
  </w:abstractNum>
  <w:abstractNum w:abstractNumId="53">
    <w:nsid w:val="39386575"/>
    <w:multiLevelType w:val="hybridMultilevel"/>
    <w:lvl w:ilvl="0">
      <w:lvlJc w:val="left"/>
      <w:lvlText w:val="(%1)"/>
      <w:numFmt w:val="lowerLetter"/>
      <w:start w:val="41"/>
    </w:lvl>
    <w:lvl w:ilvl="1">
      <w:lvlJc w:val="left"/>
      <w:lvlText w:val="(%2)"/>
      <w:numFmt w:val="lowerLetter"/>
      <w:start w:val="35"/>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4"/>
    </w:lvl>
  </w:abstractNum>
  <w:abstractNum w:abstractNumId="56">
    <w:nsid w:val="235BA861"/>
    <w:multiLevelType w:val="hybridMultilevel"/>
    <w:lvl w:ilvl="0">
      <w:lvlJc w:val="left"/>
      <w:lvlText w:val="(%1)"/>
      <w:numFmt w:val="lowerRoman"/>
      <w:start w:val="2"/>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2026-06-15T16:26:30Z</dcterms:created>
  <dcterms:modified xsi:type="dcterms:W3CDTF">2026-06-15T16:26:30Z</dcterms:modified>
</cp:coreProperties>
</file>