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26,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Momentus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220" w:type="dxa"/>
        <w:tblCellMar>
          <w:top w:w="0" w:type="dxa"/>
          <w:left w:w="0" w:type="dxa"/>
          <w:bottom w:w="0" w:type="dxa"/>
          <w:right w:w="0" w:type="dxa"/>
        </w:tblCellMar>
      </w:tblPr>
      <w:tr>
        <w:trPr>
          <w:trHeight w:val="220"/>
        </w:trPr>
        <w:tc>
          <w:tcPr>
            <w:tcW w:w="42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001-39128</w:t>
            </w:r>
          </w:p>
        </w:tc>
        <w:tc>
          <w:tcPr>
            <w:tcW w:w="33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84-1905538</w:t>
            </w:r>
          </w:p>
        </w:tc>
        <w:tc>
          <w:tcPr>
            <w:tcW w:w="0" w:type="dxa"/>
            <w:vAlign w:val="bottom"/>
          </w:tcPr>
          <w:p>
            <w:pPr>
              <w:spacing w:after="0"/>
              <w:rPr>
                <w:sz w:val="1"/>
                <w:szCs w:val="1"/>
                <w:color w:val="auto"/>
              </w:rPr>
            </w:pPr>
          </w:p>
        </w:tc>
      </w:tr>
      <w:tr>
        <w:trPr>
          <w:trHeight w:val="216"/>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29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42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organization)</w:t>
            </w:r>
          </w:p>
        </w:tc>
        <w:tc>
          <w:tcPr>
            <w:tcW w:w="29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2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1762 Automation Parkway</w:t>
            </w:r>
          </w:p>
        </w:tc>
        <w:tc>
          <w:tcPr>
            <w:tcW w:w="2920" w:type="dxa"/>
            <w:vAlign w:val="bottom"/>
          </w:tcPr>
          <w:p>
            <w:pPr>
              <w:spacing w:after="0"/>
              <w:rPr>
                <w:sz w:val="24"/>
                <w:szCs w:val="24"/>
                <w:color w:val="auto"/>
              </w:rPr>
            </w:pPr>
          </w:p>
        </w:tc>
        <w:tc>
          <w:tcPr>
            <w:tcW w:w="334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b w:val="1"/>
                <w:bCs w:val="1"/>
                <w:color w:val="auto"/>
              </w:rPr>
              <w:t>95131</w:t>
            </w:r>
          </w:p>
        </w:tc>
        <w:tc>
          <w:tcPr>
            <w:tcW w:w="0" w:type="dxa"/>
            <w:vAlign w:val="bottom"/>
          </w:tcPr>
          <w:p>
            <w:pPr>
              <w:spacing w:after="0"/>
              <w:rPr>
                <w:sz w:val="1"/>
                <w:szCs w:val="1"/>
                <w:color w:val="auto"/>
              </w:rPr>
            </w:pPr>
          </w:p>
        </w:tc>
      </w:tr>
      <w:tr>
        <w:trPr>
          <w:trHeight w:val="130"/>
        </w:trPr>
        <w:tc>
          <w:tcPr>
            <w:tcW w:w="4220" w:type="dxa"/>
            <w:vAlign w:val="bottom"/>
            <w:vMerge w:val="restart"/>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San Jose, California</w:t>
            </w:r>
          </w:p>
        </w:tc>
        <w:tc>
          <w:tcPr>
            <w:tcW w:w="292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220" w:type="dxa"/>
            <w:vAlign w:val="bottom"/>
            <w:vMerge w:val="continue"/>
          </w:tcPr>
          <w:p>
            <w:pPr>
              <w:spacing w:after="0"/>
              <w:rPr>
                <w:sz w:val="7"/>
                <w:szCs w:val="7"/>
                <w:color w:val="auto"/>
              </w:rPr>
            </w:pPr>
          </w:p>
        </w:tc>
        <w:tc>
          <w:tcPr>
            <w:tcW w:w="29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2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920" w:type="dxa"/>
            <w:vAlign w:val="bottom"/>
          </w:tcPr>
          <w:p>
            <w:pPr>
              <w:spacing w:after="0"/>
              <w:rPr>
                <w:sz w:val="20"/>
                <w:szCs w:val="20"/>
                <w:color w:val="auto"/>
              </w:rPr>
            </w:pPr>
          </w:p>
        </w:tc>
        <w:tc>
          <w:tcPr>
            <w:tcW w:w="3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564-7820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MNTS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3"/>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MNTSW</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26, 2026, Momentus Inc., a Delaware corporation (“Momentus” or the “Company”), entered into a Securities Purchase Agreement (the “Securities Purchase Agreement”) with institutional investors (the “Investors”) for a private placement of (i) 2,173,420 shares of the Company’s Class A common stock, par value $0.00001 per share (the “Common Stock”), for $8.50 per share and (ii) pre-funded warrants to purchase up to 768,580 shares of Common Stock (the “Pre-Funded Warrants” and, together with the Common Stock, the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placement closed on May 28, 2026. The Company received aggregate gross proceeds from the private placement of approximately $25 million, before deducting estimated placement agent commissions and expenses, which are payable by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Purchase Agreement contains customary representations, warranties and agreements by the Company, customary conditions to closing, indemnification obligations of the Company and the Investors, other obligations of the parties and termination provisions. The representations, warranties and covenants in the Securities Purchase Agreement were made only for purposes of such agreement and as of specific dates, were solely for the benefit of the parties to such agreement, and may be subject to limitations agreed upon by the contracting parties.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agreed to use the net proceeds from the private placement for general corporate purposes, which may include repayment of principal on the Company’s indebtedness, capital expenditures, and funding its working capital needs, but not in violation of the Foreign Corrupt Practices Act of 1977, as amended, or the regulations promulgated by the Office of Foreign Assets Control of the U.S. Treasury Department. The Securities Purchase Agreement is governed by the laws of the State of New York.</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also agreed that, from the date of the Securities Purchase Agreement until 5 days after the date that the resale registration statement required by the Registration Rights Agreement (as defined below) becomes effective (the “Effective Date”), subject to certain limited exceptions set forth in the Securities Purchase Agreement, the Company will not (i) issue, enter into any agreement to issue or announce the issuance or proposed issuance of any shares of Common Stock or Common Stock Equivalents (as defined in the Securities Purchase Agreement), or (ii) file any registration statement or any amendment or supplement thereto other than as contemplated pursuant to the Registration Rights Agreement. Further, until 30 days after the Effective Date, the Company is prohibited from effecting or entering into an agreement to effect any issuance by the Company or any of its subsidiaries of Common Stock or Common Stock Equivalents (or a combination of units thereof) involving a Variable Rate Transaction (as defined in the Securities Purchase Agreement), subject to certain limited exceptions set forth in the Securities Purchase Agreement; provided, however, that sales of shares of Common Stock at a price no less than $20.00 per share in an “at the market” offering with A.G.P./Alliance Global Partners (the “Placement Agent”) acting as the sales agent may be made, and after 5 days following the Effective Date, such sales may be made at a price below $20.00 per share.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price of each Pre-Funded Warrant equals $8.50 per share minus the $0.00001 exercise price per share of the Pre-Funded Warrant. The Pre-Funded Warrants are exercisable at any time after their original issuance, and will not expire until exercised in full.</w:t>
      </w:r>
    </w:p>
    <w:p>
      <w:pPr>
        <w:spacing w:after="0" w:line="162" w:lineRule="exact"/>
        <w:rPr>
          <w:sz w:val="20"/>
          <w:szCs w:val="20"/>
          <w:color w:val="auto"/>
        </w:rPr>
      </w:pPr>
    </w:p>
    <w:p>
      <w:pPr>
        <w:jc w:val="both"/>
        <w:ind w:right="20"/>
        <w:spacing w:after="0" w:line="227" w:lineRule="exact"/>
        <w:rPr>
          <w:sz w:val="20"/>
          <w:szCs w:val="20"/>
          <w:color w:val="auto"/>
        </w:rPr>
      </w:pPr>
      <w:r>
        <w:rPr>
          <w:rFonts w:ascii="Times New Roman" w:cs="Times New Roman" w:eastAsia="Times New Roman" w:hAnsi="Times New Roman"/>
          <w:sz w:val="18"/>
          <w:szCs w:val="18"/>
          <w:color w:val="auto"/>
        </w:rPr>
        <w:t>The Pre-Funded Warrants provide that the Investor will not have the right to exercise any portion thereof if such exercise would cause the aggregate number of shares of Common Stock beneficially owned by the Investor (together with its affiliates) to exceed 9.99% of the number of shares of Common Stock outstanding immediately after giving effect to the exercise, as such percentage ownership is determined in accordance with the terms of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with the Investor (the “Registration Rights Agreement”) requiring the Company to file a registration statement covering the resale of all of the Registrable Securities (as defined in the Registration Rights Agreement) with the Securities and Exchange Commission (the “SEC”) no later than the 10th trading day following the date of the Registration Rights Agreement, and have the registration statement declared effective by the SEC as promptly as practicable after the filing thereof, but in any event no later than 15th calendar day following the date of the Registration Rights Agreement, or in the event of a “limited review” by the SEC, the 30th day following the date of the Registration Rights Agreement, or in the event of a “full review” by the SEC, the 45th day following the date of the Registration Rights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occurrence of any Event (as defined in the Registration Rights Agreement), which, among others, prohibits the Investor from reselling the Securities for more than 10 consecutive calendar days or more than an aggregate of 15 calendar days during any 12-month period, the Company is obligated to pay to the Investor, on each monthly anniversary of each such Event, an amount in cash, as partial liquidated damages and not as a penalty, equal to the product of 1.5% multiplied by the aggregate subscription amount paid by such Investor pursuant to the Securities Purchase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not file any other registration statements until all Registrable Securities (as defined in the Registration Rights Agreement) are registered pursuant to a registration statement that is declared effective by the SEC, provided that the Company may file amendments to registration statements filed prior to the date of the Registration Rights Agreement so long as no new securities are registered on any such existing registration statements. All fees and expenses incident to the performance of or compliance with the Registration Rights Agreement by the Company will be borne by the Company, whether or not any Registrable Securities (as defined in the Registration Rights Agreement) are sold pursuant to a registration statement.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private placement, on May 26, 2026, the Company entered into a Placement Agency Agreement with the Placement Agent. As part of its compensation for acting as Placement Agent for the private placement, the Company paid the Placement Agent a cash fee of 7.0% of the aggregate gross proceeds and issued to the Placement Agent warrants to purchase 147,100 shares of Common Stock (the “Placement Agent Warrants”) at an exercise price of $9.35 per share, which are exercisable 180 days from the date of commencement of sales of the private placement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summary of the private placement, the Pre-Funded Warrants, the Placement Agent Warrants, the Securities Purchase Agreement and the Registration Rights Agreement does not purport to be complete and is qualified in its entirety by reference to such applicable agreements, copies of which are attached as Exhibits 4.1, 4.2, 10.1 and 10.2 to this Current Report on Form 8-K and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Common Stock discussed herein, nor shall there be any offer, solicitation, or sale of Common Stock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above in Item 1.01 of this Current Report on Form 8-K related to the Securities is hereby incorporated by reference into this Item 3.02. The Securities and the Placement Agent Warrants were sold without registration under the Securities Act of 1933, as amended (the “Securities Act”), in reliance on the exemptions provided by Section 4(a)(2) of the Securities Act as a transaction not involving a public offering and Rule 506(b) of Regulation D promulgated under the Securities Act as sales to accredited investors and in reliance on similar exemptions under applicable state laws.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27, 2026, Momentus issued a press release announcing the pricing of the private placement. A copy of the press release is attached as Exhibit 99.1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This information and the information contained in Exhibit 99.1 is furnished and shall not be deemed “filed” for purposes of Section 18 of the Exchange Act, or otherwise subject to the liabilities of that section, and shall not be deemed to be incorporated by reference in any filing under the Securities Act or the Securities Exchange Act of 1934, as amended, except as may be expressly set forth by specific reference in any such filing, regardless of any general incorporation language in the filing.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have, and expressly disclaims, any obligation to release publicly any updates or any changes in its expectations or any change in events, conditions, or circumstances on which any forward-looking statement is based.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240" w:type="dxa"/>
            <w:vAlign w:val="bottom"/>
          </w:tcPr>
          <w:p>
            <w:pPr>
              <w:spacing w:after="0"/>
              <w:rPr>
                <w:sz w:val="24"/>
                <w:szCs w:val="24"/>
                <w:color w:val="auto"/>
              </w:rPr>
            </w:pPr>
          </w:p>
        </w:tc>
      </w:tr>
      <w:tr>
        <w:trPr>
          <w:trHeight w:val="410"/>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40" w:type="dxa"/>
            <w:vAlign w:val="bottom"/>
          </w:tcPr>
          <w:p>
            <w:pPr>
              <w:spacing w:after="0"/>
              <w:rPr>
                <w:sz w:val="24"/>
                <w:szCs w:val="24"/>
                <w:color w:val="auto"/>
              </w:rPr>
            </w:pPr>
          </w:p>
        </w:tc>
      </w:tr>
      <w:tr>
        <w:trPr>
          <w:trHeight w:val="220"/>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94"/>
        </w:trPr>
        <w:tc>
          <w:tcPr>
            <w:tcW w:w="26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Form of Pre-Funded Warrant</w:t>
            </w: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Form of Placement Agent Warrant</w:t>
            </w:r>
          </w:p>
        </w:tc>
      </w:tr>
      <w:tr>
        <w:trPr>
          <w:trHeight w:val="196"/>
        </w:trPr>
        <w:tc>
          <w:tcPr>
            <w:tcW w:w="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680" w:type="dxa"/>
            <w:vAlign w:val="bottom"/>
          </w:tcPr>
          <w:p>
            <w:pPr>
              <w:spacing w:after="0"/>
              <w:rPr>
                <w:sz w:val="17"/>
                <w:szCs w:val="17"/>
                <w:color w:val="auto"/>
              </w:rPr>
            </w:pPr>
          </w:p>
        </w:tc>
        <w:tc>
          <w:tcPr>
            <w:tcW w:w="102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Form of Securities Purchase Agreement</w:t>
            </w:r>
          </w:p>
        </w:tc>
      </w:tr>
      <w:tr>
        <w:trPr>
          <w:trHeight w:val="196"/>
        </w:trPr>
        <w:tc>
          <w:tcPr>
            <w:tcW w:w="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680" w:type="dxa"/>
            <w:vAlign w:val="bottom"/>
          </w:tcPr>
          <w:p>
            <w:pPr>
              <w:spacing w:after="0"/>
              <w:rPr>
                <w:sz w:val="17"/>
                <w:szCs w:val="17"/>
                <w:color w:val="auto"/>
              </w:rPr>
            </w:pPr>
          </w:p>
        </w:tc>
        <w:tc>
          <w:tcPr>
            <w:tcW w:w="102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Form of Registration Rights Agreement</w:t>
            </w:r>
          </w:p>
        </w:tc>
      </w:tr>
      <w:tr>
        <w:trPr>
          <w:trHeight w:val="196"/>
        </w:trPr>
        <w:tc>
          <w:tcPr>
            <w:tcW w:w="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80" w:type="dxa"/>
            <w:vAlign w:val="bottom"/>
          </w:tcPr>
          <w:p>
            <w:pPr>
              <w:spacing w:after="0"/>
              <w:rPr>
                <w:sz w:val="17"/>
                <w:szCs w:val="17"/>
                <w:color w:val="auto"/>
              </w:rPr>
            </w:pPr>
          </w:p>
        </w:tc>
        <w:tc>
          <w:tcPr>
            <w:tcW w:w="102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Press Release, dated May 27, 2026, issued by Momentus Inc. announcing the pricing of the private placement.</w:t>
            </w:r>
          </w:p>
        </w:tc>
      </w:tr>
      <w:tr>
        <w:trPr>
          <w:trHeight w:val="237"/>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0"/>
                <w:szCs w:val="20"/>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Lon Ensler</w:t>
            </w:r>
          </w:p>
        </w:tc>
      </w:tr>
      <w:tr>
        <w:trPr>
          <w:trHeight w:val="198"/>
        </w:trPr>
        <w:tc>
          <w:tcPr>
            <w:tcW w:w="9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6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 Ensler</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May 29, 2026</w:t>
            </w:r>
          </w:p>
        </w:tc>
        <w:tc>
          <w:tcPr>
            <w:tcW w:w="26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33"/>
        </w:trPr>
        <w:tc>
          <w:tcPr>
            <w:tcW w:w="9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50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MOMENTUS INC.</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w:t>
            </w:r>
          </w:p>
        </w:tc>
        <w:tc>
          <w:tcPr>
            <w:tcW w:w="1140" w:type="dxa"/>
            <w:vAlign w:val="bottom"/>
          </w:tcPr>
          <w:p>
            <w:pPr>
              <w:spacing w:after="0"/>
              <w:rPr>
                <w:sz w:val="24"/>
                <w:szCs w:val="24"/>
                <w:color w:val="auto"/>
              </w:rPr>
            </w:pPr>
          </w:p>
        </w:tc>
        <w:tc>
          <w:tcPr>
            <w:tcW w:w="6500" w:type="dxa"/>
            <w:vAlign w:val="bottom"/>
          </w:tcPr>
          <w:p>
            <w:pPr>
              <w:ind w:left="5160"/>
              <w:spacing w:after="0"/>
              <w:rPr>
                <w:sz w:val="20"/>
                <w:szCs w:val="20"/>
                <w:color w:val="auto"/>
              </w:rPr>
            </w:pP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2026</w:t>
            </w:r>
          </w:p>
        </w:tc>
      </w:tr>
      <w:tr>
        <w:trPr>
          <w:trHeight w:val="27"/>
        </w:trPr>
        <w:tc>
          <w:tcPr>
            <w:tcW w:w="13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5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_________________ or its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but not thereafter, to subscribe for and purchase from </w:t>
      </w:r>
      <w:r>
        <w:rPr>
          <w:rFonts w:ascii="Times New Roman" w:cs="Times New Roman" w:eastAsia="Times New Roman" w:hAnsi="Times New Roman"/>
          <w:sz w:val="18"/>
          <w:szCs w:val="18"/>
          <w:b w:val="1"/>
          <w:bCs w:val="1"/>
          <w:color w:val="auto"/>
        </w:rPr>
        <w:t>MOMENTUS INC.,</w:t>
      </w:r>
      <w:r>
        <w:rPr>
          <w:rFonts w:ascii="Times New Roman" w:cs="Times New Roman" w:eastAsia="Times New Roman" w:hAnsi="Times New Roman"/>
          <w:sz w:val="18"/>
          <w:szCs w:val="18"/>
          <w:color w:val="auto"/>
        </w:rPr>
        <w:t xml:space="preserve">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up to </w:t>
      </w:r>
      <w:r>
        <w:rPr>
          <w:rFonts w:ascii="Times New Roman" w:cs="Times New Roman" w:eastAsia="Times New Roman" w:hAnsi="Times New Roman"/>
          <w:sz w:val="18"/>
          <w:szCs w:val="18"/>
          <w:b w:val="1"/>
          <w:bCs w:val="1"/>
          <w:color w:val="auto"/>
        </w:rPr>
        <w:t>__________ shares</w:t>
      </w:r>
      <w:r>
        <w:rPr>
          <w:rFonts w:ascii="Times New Roman" w:cs="Times New Roman" w:eastAsia="Times New Roman" w:hAnsi="Times New Roman"/>
          <w:sz w:val="18"/>
          <w:szCs w:val="18"/>
          <w:color w:val="auto"/>
        </w:rPr>
        <w:t xml:space="preserve"> (as subject to adjustment hereunder, the “</w:t>
      </w:r>
      <w:r>
        <w:rPr>
          <w:rFonts w:ascii="Times New Roman" w:cs="Times New Roman" w:eastAsia="Times New Roman" w:hAnsi="Times New Roman"/>
          <w:sz w:val="18"/>
          <w:szCs w:val="18"/>
          <w:u w:val="single" w:color="auto"/>
          <w:color w:val="auto"/>
        </w:rPr>
        <w:t>Warrant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The purchase price of one share of Common Stock under this Warrant shall be equal to the Exercise Price, as defined in Section 2(b).</w:t>
      </w:r>
    </w:p>
    <w:p>
      <w:pPr>
        <w:spacing w:after="0" w:line="181"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May ___, 2026, among the Company and the purchaser signatory thereto.</w:t>
      </w:r>
    </w:p>
    <w:p>
      <w:pPr>
        <w:spacing w:after="0" w:line="1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jc w:val="both"/>
        <w:ind w:left="324" w:hanging="324"/>
        <w:spacing w:after="0" w:line="252" w:lineRule="auto"/>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as Exhibit A (the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1" w:lineRule="exact"/>
        <w:rPr>
          <w:rFonts w:ascii="Times New Roman" w:cs="Times New Roman" w:eastAsia="Times New Roman" w:hAnsi="Times New Roman"/>
          <w:sz w:val="18"/>
          <w:szCs w:val="18"/>
          <w:color w:val="auto"/>
        </w:rPr>
      </w:pPr>
    </w:p>
    <w:p>
      <w:pPr>
        <w:jc w:val="both"/>
        <w:ind w:left="324" w:hanging="324"/>
        <w:spacing w:after="0" w:line="256" w:lineRule="auto"/>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issuance or resale of the Warrant Shares to or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79" w:lineRule="exact"/>
        <w:rPr>
          <w:rFonts w:ascii="Times New Roman" w:cs="Times New Roman" w:eastAsia="Times New Roman" w:hAnsi="Times New Roman"/>
          <w:sz w:val="18"/>
          <w:szCs w:val="18"/>
          <w:color w:val="auto"/>
        </w:rPr>
      </w:pPr>
    </w:p>
    <w:p>
      <w:pPr>
        <w:jc w:val="both"/>
        <w:ind w:left="644" w:hanging="320"/>
        <w:spacing w:after="0" w:line="253" w:lineRule="auto"/>
        <w:tabs>
          <w:tab w:leader="none" w:pos="62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36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(B) = the Exercise Price of this Warrant, as adjusted hereunder; and</w:t>
      </w:r>
    </w:p>
    <w:p>
      <w:pPr>
        <w:spacing w:after="0" w:line="225" w:lineRule="exact"/>
        <w:rPr>
          <w:sz w:val="20"/>
          <w:szCs w:val="20"/>
          <w:color w:val="auto"/>
        </w:rPr>
      </w:pPr>
    </w:p>
    <w:p>
      <w:pPr>
        <w:ind w:left="320" w:hanging="320"/>
        <w:spacing w:after="0" w:line="282" w:lineRule="auto"/>
        <w:tabs>
          <w:tab w:leader="none" w:pos="2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3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21" w:right="339" w:bottom="1440" w:gutter="0" w:footer="0" w:header="0"/>
        </w:sectPr>
      </w:pPr>
    </w:p>
    <w:bookmarkStart w:id="8" w:name="page9"/>
    <w:bookmarkEnd w:id="8"/>
    <w:p>
      <w:pPr>
        <w:jc w:val="both"/>
        <w:ind w:left="324"/>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6" w:lineRule="exact"/>
        <w:rPr>
          <w:sz w:val="20"/>
          <w:szCs w:val="20"/>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hanging="320"/>
        <w:spacing w:after="0" w:line="251" w:lineRule="auto"/>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(A) the earlier of (i) one (1) Trading Day and (ii) the number of days comprising the Standard Settlement Period, in each case after the delivery to the Company of the Notice of Exercise and (B) one (1) Trading Day after delivery of the aggregate Exercise Price to the Company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37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9" w:name="page10"/>
    <w:bookmarkEnd w:id="9"/>
    <w:p>
      <w:pPr>
        <w:jc w:val="both"/>
        <w:ind w:left="320" w:hanging="320"/>
        <w:spacing w:after="0" w:line="261"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w:t>
      </w:r>
    </w:p>
    <w:p>
      <w:pPr>
        <w:spacing w:after="0" w:line="27"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by the Warrant Share Delivery Date, then the Holder will have the right to rescind such exercise.</w:t>
      </w:r>
    </w:p>
    <w:p>
      <w:pPr>
        <w:spacing w:after="0" w:line="206" w:lineRule="exact"/>
        <w:rPr>
          <w:rFonts w:ascii="Times New Roman" w:cs="Times New Roman" w:eastAsia="Times New Roman" w:hAnsi="Times New Roman"/>
          <w:sz w:val="18"/>
          <w:szCs w:val="18"/>
          <w:color w:val="auto"/>
        </w:rPr>
      </w:pPr>
    </w:p>
    <w:p>
      <w:pPr>
        <w:jc w:val="both"/>
        <w:ind w:left="320" w:hanging="320"/>
        <w:spacing w:after="0" w:line="25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and return any amount received by the Company in respect of the Exercise Price for those Warrant Shares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36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21" w:right="339" w:bottom="1440" w:gutter="0" w:footer="0" w:header="0"/>
        </w:sectPr>
      </w:pPr>
    </w:p>
    <w:bookmarkStart w:id="10" w:name="page11"/>
    <w:bookmarkEnd w:id="10"/>
    <w:p>
      <w:pPr>
        <w:jc w:val="both"/>
        <w:ind w:left="644" w:hanging="320"/>
        <w:spacing w:after="0" w:line="261" w:lineRule="auto"/>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644" w:hanging="320"/>
        <w:spacing w:after="0" w:line="254" w:lineRule="auto"/>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644" w:hanging="320"/>
        <w:spacing w:after="0" w:line="282" w:lineRule="auto"/>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1" w:name="page12"/>
    <w:bookmarkEnd w:id="11"/>
    <w:p>
      <w:pPr>
        <w:jc w:val="both"/>
        <w:ind w:left="320" w:hanging="320"/>
        <w:spacing w:after="0" w:line="252"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and return any amount received by the Company in respect of the Exercise Price for those Warrant Shares,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return any amount received by the Company in respect of the Exercise Price for those Warrant Shares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(A) exercise of the remaining, nonexercised portion of this Warrant beneficially owned by the Holder or any of its Affiliates or Attribution Parties and</w:t>
      </w:r>
    </w:p>
    <w:p>
      <w:pPr>
        <w:spacing w:after="0" w:line="5" w:lineRule="exact"/>
        <w:rPr>
          <w:rFonts w:ascii="Times New Roman" w:cs="Times New Roman" w:eastAsia="Times New Roman" w:hAnsi="Times New Roman"/>
          <w:sz w:val="18"/>
          <w:szCs w:val="18"/>
          <w:color w:val="auto"/>
        </w:rPr>
      </w:pPr>
    </w:p>
    <w:p>
      <w:pPr>
        <w:jc w:val="both"/>
        <w:ind w:left="320" w:firstLine="4"/>
        <w:spacing w:after="0" w:line="250" w:lineRule="auto"/>
        <w:tabs>
          <w:tab w:leader="none" w:pos="63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2(e)(ii),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2(e)(ii) applies,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(the “</w:t>
      </w:r>
      <w:r>
        <w:rPr>
          <w:rFonts w:ascii="Times New Roman" w:cs="Times New Roman" w:eastAsia="Times New Roman" w:hAnsi="Times New Roman"/>
          <w:sz w:val="18"/>
          <w:szCs w:val="18"/>
          <w:u w:val="single" w:color="auto"/>
          <w:color w:val="auto"/>
        </w:rPr>
        <w:t>Reported Outstanding Share Number</w:t>
      </w:r>
      <w:r>
        <w:rPr>
          <w:rFonts w:ascii="Times New Roman" w:cs="Times New Roman" w:eastAsia="Times New Roman" w:hAnsi="Times New Roman"/>
          <w:sz w:val="18"/>
          <w:szCs w:val="18"/>
          <w:color w:val="auto"/>
        </w:rPr>
        <w:t>”). Upon the written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shall be 9.99%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2(e)(ii),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2(e)(ii) shall continue to apply. Any increase in the Beneficial Ownership Limitation will not be effective until the 61st day after such notice is delivered to the Company. If the Company receives an Exercise Notice from the Holder at a time when the actual number of outstanding Common Shares is less than the Reported Outstanding Share Number, the Company shall notify the Holder in writing of the number of Common Shares then outstanding and, to the extent that such Exercise Notice would otherwise cause the beneficial ownership of Holder together with the Attribution Parties, as determined pursuant to this Section 2(e), to exceed the Beneficial Ownership Limitation, the Holder shall then notify the Company of a reduced number of Warrant Shares to be purchased pursuant to such Exercise Notice (such notice, the “Reduction Notice”). Such issuance shall not be deemed to have occurred until the Holder provides the Reduction Notice (or a notice that no reduction is needed) to the Company. In the event that the issuance of Common Shares to the Holder upon exercise of this Warrant results in the Holder, together with the Attribution Parties, collectively being deemed to beneficially own, in the aggregate, more than the Beneficial Ownership Limitation, the number of shares so issued by which the aggregate Beneficial Ownership of the Holder and its Attribution Parties exceeds such limitation (the “Excess Shares”)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and the Holder shall return the Excess Shares to the Company. The provisions of this paragraph shall be construed and implemented in a manner otherwise than in strict conformity with the terms of this Section 2(e)(ii)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8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21" w:right="339" w:bottom="1440" w:gutter="0" w:footer="0" w:header="0"/>
        </w:sectPr>
      </w:pPr>
    </w:p>
    <w:bookmarkStart w:id="12" w:name="page13"/>
    <w:bookmarkEnd w:id="12"/>
    <w:p>
      <w:pPr>
        <w:spacing w:after="0"/>
        <w:tabs>
          <w:tab w:leader="none" w:pos="9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980" w:hanging="324"/>
        <w:spacing w:after="0" w:line="220" w:lineRule="exact"/>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classification.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left="324" w:hanging="324"/>
        <w:spacing w:after="0" w:line="253"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5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4" w:name="page15"/>
    <w:bookmarkEnd w:id="14"/>
    <w:p>
      <w:pPr>
        <w:jc w:val="both"/>
        <w:ind w:left="324" w:hanging="324"/>
        <w:spacing w:after="0" w:line="251"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w:t>
      </w:r>
      <w:r>
        <w:rPr>
          <w:rFonts w:ascii="Times New Roman" w:cs="Times New Roman" w:eastAsia="Times New Roman" w:hAnsi="Times New Roman"/>
          <w:sz w:val="18"/>
          <w:szCs w:val="18"/>
          <w:u w:val="single" w:color="auto"/>
          <w:color w:val="auto"/>
        </w:rPr>
        <w:t>Fundamental Transaction Rights</w:t>
      </w:r>
      <w:r>
        <w:rPr>
          <w:rFonts w:ascii="Times New Roman" w:cs="Times New Roman" w:eastAsia="Times New Roman" w:hAnsi="Times New Roman"/>
          <w:sz w:val="18"/>
          <w:szCs w:val="18"/>
          <w:color w:val="auto"/>
        </w:rPr>
        <w: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provided, however, that to the extent that the Holder’s right to participate in any such Fundamental Transaction Rights would result in the Holder and its Attribution Parties, collectively, beneficially owning in excess of the Beneficial Ownership Limitation of the Common Shares that would be issued and outstanding following receipt of such Fundamental Transaction Rights (such excess amount of Common Shares, the “Excess Fundamental Transaction Rights”), then the Holder shall not be entitled to participate in such Fundamental Transaction Rights to the extent of the Excess Fundamental Transaction Rights (and shall not have the right to acquire such Excess Fundamental Transaction Rights). The Excess Fundamental Transaction Rights shall be held in abeyance for the benefit of the Holder until such time or times as (1) its right to receive some or all of the Excess Fundamental Transaction Rights would not result in the Holder and its Attribution Parties beneficially owning Common Shares in excess of the Beneficial Ownership Limitation and (2) the Holder so certifies in writing to the Company and specifies the number of shares of Common Shares it is able to receive without exceeding the Beneficial Ownership Limitation, at which time or times the Holder shall be granted that portion of the Excess Fundamental Transaction Rights (and any Excess Fundamental Transaction Rights granted, issued or sold on such initial Fundamental Transaction Rights or on any subsequent Fundamental Transaction Rights to be held similarly in abeyance) to the same extent as if there had been no such limitation. For the avoidance of doubt, the Holder shall be entitled to the benefits of the provisions of this Section 3(d) regardless of whether the Company has sufficient authorized shares of Common Shares for the issuance of Warrant Shares. For the avoidance of doubt, the Holder shall be entitled to the benefits of the provisions of this Section 3(e) regardless of (i) whether the Company has sufficient authorized Common Shares for the issuance of Warrant Shares and/or whether a Fundamental Transaction occurs prior to the Initial Exercise Date.</w:t>
      </w:r>
    </w:p>
    <w:p>
      <w:pPr>
        <w:spacing w:after="0" w:line="360"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5" w:name="page16"/>
    <w:bookmarkEnd w:id="15"/>
    <w:p>
      <w:pPr>
        <w:jc w:val="both"/>
        <w:ind w:left="324" w:hanging="324"/>
        <w:spacing w:after="0" w:line="266"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347"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6" w:name="page17"/>
    <w:bookmarkEnd w:id="16"/>
    <w:p>
      <w:pPr>
        <w:ind w:left="324" w:hanging="324"/>
        <w:spacing w:after="0"/>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hanging="320"/>
        <w:spacing w:after="0" w:line="266" w:lineRule="auto"/>
        <w:tabs>
          <w:tab w:leader="none" w:pos="6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jc w:val="both"/>
        <w:ind w:left="644" w:hanging="320"/>
        <w:spacing w:after="0" w:line="252" w:lineRule="auto"/>
        <w:tabs>
          <w:tab w:leader="none" w:pos="6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59"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7" w:name="page18"/>
    <w:bookmarkEnd w:id="17"/>
    <w:p>
      <w:pPr>
        <w:spacing w:after="0"/>
        <w:tabs>
          <w:tab w:leader="none" w:pos="96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980" w:hanging="324"/>
        <w:spacing w:after="0" w:line="253"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980" w:hanging="324"/>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an exercise of this Warrant.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left="324" w:hanging="324"/>
        <w:spacing w:after="0" w:line="258"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4" w:lineRule="exact"/>
        <w:rPr>
          <w:rFonts w:ascii="Times New Roman" w:cs="Times New Roman" w:eastAsia="Times New Roman" w:hAnsi="Times New Roman"/>
          <w:sz w:val="18"/>
          <w:szCs w:val="18"/>
          <w:color w:val="auto"/>
        </w:rPr>
      </w:pPr>
    </w:p>
    <w:p>
      <w:pPr>
        <w:jc w:val="both"/>
        <w:ind w:left="3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rFonts w:ascii="Times New Roman" w:cs="Times New Roman" w:eastAsia="Times New Roman" w:hAnsi="Times New Roman"/>
          <w:sz w:val="18"/>
          <w:szCs w:val="18"/>
          <w:color w:val="auto"/>
        </w:rPr>
      </w:pPr>
    </w:p>
    <w:p>
      <w:pPr>
        <w:jc w:val="both"/>
        <w:ind w:left="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347"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9" w:name="page20"/>
    <w:bookmarkEnd w:id="19"/>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5"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8"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351"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0" w:name="page21"/>
    <w:bookmarkEnd w:id="20"/>
    <w:p>
      <w:pPr>
        <w:ind w:left="324" w:hanging="324"/>
        <w:spacing w:after="0" w:line="282"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9"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44"/>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1" w:name="page22"/>
    <w:bookmarkEnd w:id="2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John Rood</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MOMENTUS INC.</w:t>
      </w:r>
    </w:p>
    <w:p>
      <w:pPr>
        <w:spacing w:after="0" w:line="229" w:lineRule="exact"/>
        <w:rPr>
          <w:sz w:val="20"/>
          <w:szCs w:val="20"/>
          <w:color w:val="auto"/>
        </w:rPr>
      </w:pPr>
    </w:p>
    <w:p>
      <w:pPr>
        <w:ind w:firstLine="1466"/>
        <w:spacing w:after="0" w:line="282" w:lineRule="auto"/>
        <w:tabs>
          <w:tab w:leader="none" w:pos="17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720" w:hanging="254"/>
        <w:spacing w:after="0"/>
        <w:tabs>
          <w:tab w:leader="none" w:pos="1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760" w:hanging="2"/>
        <w:spacing w:after="0" w:line="266" w:lineRule="auto"/>
        <w:tabs>
          <w:tab w:leader="none" w:pos="194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720" w:hanging="254"/>
        <w:spacing w:after="0"/>
        <w:tabs>
          <w:tab w:leader="none" w:pos="1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291465</wp:posOffset>
            </wp:positionV>
            <wp:extent cx="21431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291465</wp:posOffset>
            </wp:positionV>
            <wp:extent cx="21431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445770</wp:posOffset>
            </wp:positionV>
            <wp:extent cx="21431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600075</wp:posOffset>
            </wp:positionV>
            <wp:extent cx="21431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53492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18415</wp:posOffset>
            </wp:positionV>
            <wp:extent cx="46291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2915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17145</wp:posOffset>
            </wp:positionV>
            <wp:extent cx="55549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57003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180" w:right="18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32" w:lineRule="exact"/>
        <w:rPr>
          <w:sz w:val="20"/>
          <w:szCs w:val="20"/>
          <w:color w:val="auto"/>
        </w:rPr>
      </w:pPr>
    </w:p>
    <w:p>
      <w:pPr>
        <w:ind w:left="60"/>
        <w:spacing w:after="0"/>
        <w:tabs>
          <w:tab w:leader="none" w:pos="3400" w:val="left"/>
          <w:tab w:leader="none" w:pos="37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34290</wp:posOffset>
            </wp:positionV>
            <wp:extent cx="156019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17145</wp:posOffset>
            </wp:positionV>
            <wp:extent cx="156019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17145</wp:posOffset>
            </wp:positionV>
            <wp:extent cx="156019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601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4.2</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225" w:lineRule="exact"/>
        <w:rPr>
          <w:sz w:val="20"/>
          <w:szCs w:val="20"/>
          <w:color w:val="auto"/>
        </w:rPr>
      </w:pPr>
    </w:p>
    <w:p>
      <w:pPr>
        <w:spacing w:after="0"/>
        <w:tabs>
          <w:tab w:leader="none" w:pos="8640" w:val="left"/>
        </w:tabs>
        <w:rPr>
          <w:sz w:val="20"/>
          <w:szCs w:val="20"/>
          <w:color w:val="auto"/>
        </w:rPr>
      </w:pP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147,100</w:t>
      </w:r>
      <w:r>
        <w:rPr>
          <w:sz w:val="20"/>
          <w:szCs w:val="20"/>
          <w:color w:val="auto"/>
        </w:rPr>
        <w:tab/>
      </w:r>
      <w:r>
        <w:rPr>
          <w:rFonts w:ascii="Times New Roman" w:cs="Times New Roman" w:eastAsia="Times New Roman" w:hAnsi="Times New Roman"/>
          <w:sz w:val="17"/>
          <w:szCs w:val="17"/>
          <w:b w:val="1"/>
          <w:bCs w:val="1"/>
          <w:color w:val="auto"/>
        </w:rPr>
        <w:t>Original Issue Date</w:t>
      </w:r>
      <w:r>
        <w:rPr>
          <w:rFonts w:ascii="Times New Roman" w:cs="Times New Roman" w:eastAsia="Times New Roman" w:hAnsi="Times New Roman"/>
          <w:sz w:val="17"/>
          <w:szCs w:val="17"/>
          <w:color w:val="auto"/>
        </w:rPr>
        <w:t>: May 28, 2026</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WARRANT TO PURCHASE SHARES OF COMMON STOCK (this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A.G.P./Alliance Global Partners or its designees or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November 23, 2026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May 26, 2031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but not thereafter, to subscribe for and purchase from </w:t>
      </w:r>
      <w:r>
        <w:rPr>
          <w:rFonts w:ascii="Times New Roman" w:cs="Times New Roman" w:eastAsia="Times New Roman" w:hAnsi="Times New Roman"/>
          <w:sz w:val="18"/>
          <w:szCs w:val="18"/>
          <w:b w:val="1"/>
          <w:bCs w:val="1"/>
          <w:color w:val="auto"/>
        </w:rPr>
        <w:t>MOMENTUS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up to </w:t>
      </w:r>
      <w:r>
        <w:rPr>
          <w:rFonts w:ascii="Times New Roman" w:cs="Times New Roman" w:eastAsia="Times New Roman" w:hAnsi="Times New Roman"/>
          <w:sz w:val="18"/>
          <w:szCs w:val="18"/>
          <w:b w:val="1"/>
          <w:bCs w:val="1"/>
          <w:color w:val="auto"/>
        </w:rPr>
        <w:t>147,100 shares</w:t>
      </w:r>
      <w:r>
        <w:rPr>
          <w:rFonts w:ascii="Times New Roman" w:cs="Times New Roman" w:eastAsia="Times New Roman" w:hAnsi="Times New Roman"/>
          <w:sz w:val="18"/>
          <w:szCs w:val="18"/>
          <w:color w:val="auto"/>
        </w:rPr>
        <w:t xml:space="preserve"> of Common Stock, par value $0.00001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Warrant Share under this Warrant shall be equal to the Exercise Price, as defined in Section 2(b).</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May 26, 2026, by and between the Company and the purchaser signatory thereto.</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5" w:name="page26"/>
    <w:bookmarkEnd w:id="25"/>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52" w:lineRule="auto"/>
        <w:tabs>
          <w:tab w:leader="none" w:pos="19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and delivered in accordance with the notice requirements set forth in Section 5(h) herein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7" w:lineRule="exact"/>
        <w:rPr>
          <w:rFonts w:ascii="Times New Roman" w:cs="Times New Roman" w:eastAsia="Times New Roman" w:hAnsi="Times New Roman"/>
          <w:sz w:val="18"/>
          <w:szCs w:val="18"/>
          <w:color w:val="auto"/>
        </w:rPr>
      </w:pPr>
    </w:p>
    <w:p>
      <w:pPr>
        <w:ind w:left="660" w:firstLine="644"/>
        <w:spacing w:after="0" w:line="286" w:lineRule="auto"/>
        <w:tabs>
          <w:tab w:leader="none" w:pos="18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Warrant shall be </w:t>
      </w:r>
      <w:r>
        <w:rPr>
          <w:rFonts w:ascii="Times New Roman" w:cs="Times New Roman" w:eastAsia="Times New Roman" w:hAnsi="Times New Roman"/>
          <w:sz w:val="18"/>
          <w:szCs w:val="18"/>
          <w:b w:val="1"/>
          <w:bCs w:val="1"/>
          <w:color w:val="auto"/>
        </w:rPr>
        <w:t>$9.35</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79" w:lineRule="exact"/>
        <w:rPr>
          <w:rFonts w:ascii="Times New Roman" w:cs="Times New Roman" w:eastAsia="Times New Roman" w:hAnsi="Times New Roman"/>
          <w:sz w:val="18"/>
          <w:szCs w:val="18"/>
          <w:color w:val="auto"/>
        </w:rPr>
      </w:pPr>
    </w:p>
    <w:p>
      <w:pPr>
        <w:jc w:val="right"/>
        <w:ind w:left="2600" w:right="640" w:hanging="569"/>
        <w:spacing w:after="0" w:line="268" w:lineRule="auto"/>
        <w:tabs>
          <w:tab w:leader="none" w:pos="2346"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7"/>
          <w:szCs w:val="17"/>
          <w:u w:val="single" w:color="auto"/>
          <w:color w:val="auto"/>
        </w:rPr>
        <w:t>Bloomberg</w:t>
      </w:r>
      <w:r>
        <w:rPr>
          <w:rFonts w:ascii="Times New Roman" w:cs="Times New Roman" w:eastAsia="Times New Roman" w:hAnsi="Times New Roman"/>
          <w:sz w:val="17"/>
          <w:szCs w:val="17"/>
          <w:color w:val="auto"/>
        </w:rPr>
        <w:t>”) as of the time of the Holder’s execution of the applicable Notice of Exercise if such Notice of Exercise is executed during</w:t>
      </w:r>
    </w:p>
    <w:p>
      <w:pPr>
        <w:ind w:left="2600"/>
        <w:spacing w:after="0"/>
        <w:rPr>
          <w:sz w:val="20"/>
          <w:szCs w:val="20"/>
          <w:color w:val="auto"/>
        </w:rPr>
      </w:pPr>
      <w:r>
        <w:rPr>
          <w:rFonts w:ascii="Times New Roman" w:cs="Times New Roman" w:eastAsia="Times New Roman" w:hAnsi="Times New Roman"/>
          <w:sz w:val="18"/>
          <w:szCs w:val="18"/>
          <w:color w:val="auto"/>
        </w:rPr>
        <w:t>“regular trading hours” on a Trading Day and is delivered within two (2) hours thereafter (including until two</w:t>
      </w:r>
    </w:p>
    <w:p>
      <w:pPr>
        <w:spacing w:after="0" w:line="9" w:lineRule="exact"/>
        <w:rPr>
          <w:sz w:val="20"/>
          <w:szCs w:val="20"/>
          <w:color w:val="auto"/>
        </w:rPr>
      </w:pPr>
    </w:p>
    <w:p>
      <w:pPr>
        <w:jc w:val="both"/>
        <w:ind w:left="2600" w:right="640"/>
        <w:spacing w:after="0" w:line="253" w:lineRule="auto"/>
        <w:tabs>
          <w:tab w:leader="none" w:pos="28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1380"/>
        <w:spacing w:after="0"/>
        <w:rPr>
          <w:sz w:val="20"/>
          <w:szCs w:val="20"/>
          <w:color w:val="auto"/>
        </w:rPr>
      </w:pPr>
      <w:r>
        <w:rPr>
          <w:rFonts w:ascii="Times New Roman" w:cs="Times New Roman" w:eastAsia="Times New Roman" w:hAnsi="Times New Roman"/>
          <w:sz w:val="18"/>
          <w:szCs w:val="18"/>
          <w:color w:val="auto"/>
        </w:rPr>
        <w:t>(B) = the Exercise Price of this Warrant, as adjusted hereunder; and</w:t>
      </w:r>
    </w:p>
    <w:p>
      <w:pPr>
        <w:spacing w:after="0" w:line="225" w:lineRule="exact"/>
        <w:rPr>
          <w:sz w:val="20"/>
          <w:szCs w:val="20"/>
          <w:color w:val="auto"/>
        </w:rPr>
      </w:pPr>
    </w:p>
    <w:p>
      <w:pPr>
        <w:ind w:left="1940" w:right="660" w:hanging="569"/>
        <w:spacing w:after="0" w:line="282" w:lineRule="auto"/>
        <w:tabs>
          <w:tab w:leader="none" w:pos="16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36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7" w:name="page28"/>
    <w:bookmarkEnd w:id="27"/>
    <w:p>
      <w:pPr>
        <w:ind w:left="1304"/>
        <w:spacing w:after="0"/>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w:t>
      </w:r>
    </w:p>
    <w:p>
      <w:pPr>
        <w:spacing w:after="0" w:line="27" w:lineRule="exact"/>
        <w:rPr>
          <w:sz w:val="20"/>
          <w:szCs w:val="20"/>
          <w:color w:val="auto"/>
        </w:rPr>
      </w:pPr>
    </w:p>
    <w:p>
      <w:pPr>
        <w:jc w:val="both"/>
        <w:ind w:left="4" w:hanging="4"/>
        <w:spacing w:after="0" w:line="255" w:lineRule="auto"/>
        <w:tabs>
          <w:tab w:leader="none" w:pos="2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 except to the extent required by applicable law, rule or regulation.</w:t>
      </w:r>
    </w:p>
    <w:p>
      <w:pPr>
        <w:spacing w:after="0" w:line="185" w:lineRule="exact"/>
        <w:rPr>
          <w:rFonts w:ascii="Times New Roman" w:cs="Times New Roman" w:eastAsia="Times New Roman" w:hAnsi="Times New Roman"/>
          <w:sz w:val="18"/>
          <w:szCs w:val="18"/>
          <w:color w:val="auto"/>
        </w:rPr>
      </w:pPr>
    </w:p>
    <w:p>
      <w:pPr>
        <w:ind w:left="1244" w:hanging="596"/>
        <w:spacing w:after="0"/>
        <w:tabs>
          <w:tab w:leader="none" w:pos="12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51" w:lineRule="auto"/>
        <w:tabs>
          <w:tab w:leader="none" w:pos="1972"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delivery of the aggregate Exercise Price to the Company (other than in the instance of a cashless exercise) and (ii) the number of Trading Days comprising the Standard Settlement Period, in each case (i) or (ii) after the delivery to the Company of the Notice of Exercise and subject to payment of the aggregate Exercise Price (other than in the instance of a cashless exercise) by such date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37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8" w:name="page29"/>
    <w:bookmarkEnd w:id="28"/>
    <w:p>
      <w:pPr>
        <w:jc w:val="both"/>
        <w:ind w:left="180" w:firstLine="652"/>
        <w:spacing w:after="0" w:line="261" w:lineRule="auto"/>
        <w:tabs>
          <w:tab w:leader="none" w:pos="14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61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15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3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9" w:name="page30"/>
    <w:bookmarkEnd w:id="29"/>
    <w:p>
      <w:pPr>
        <w:jc w:val="both"/>
        <w:ind w:left="180" w:firstLine="652"/>
        <w:spacing w:after="0" w:line="261" w:lineRule="auto"/>
        <w:tabs>
          <w:tab w:leader="none" w:pos="15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4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5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3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0" w:name="page31"/>
    <w:bookmarkEnd w:id="30"/>
    <w:p>
      <w:pPr>
        <w:jc w:val="both"/>
        <w:ind w:left="4" w:firstLine="644"/>
        <w:spacing w:after="0" w:line="253" w:lineRule="auto"/>
        <w:tabs>
          <w:tab w:leader="none" w:pos="12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w:t>
      </w:r>
    </w:p>
    <w:p>
      <w:pPr>
        <w:spacing w:after="0" w:line="2"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8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31" w:name="page32"/>
    <w:bookmarkEnd w:id="31"/>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3" w:lineRule="auto"/>
        <w:tabs>
          <w:tab w:leader="none" w:pos="19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0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the Warrant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9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left="-460" w:firstLine="644"/>
        <w:spacing w:after="0" w:line="265" w:lineRule="auto"/>
        <w:tabs>
          <w:tab w:leader="none" w:pos="77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consideration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day volatility obtained from the HVT function on Bloomberg (determined utilizing a 365-day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Business Days of the Holder’s election (or, if later, on the effective date of the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ectPr>
          <w:pgSz w:w="11900" w:h="16838" w:orient="portrait"/>
          <w:cols w:equalWidth="0" w:num="1">
            <w:col w:w="10120"/>
          </w:cols>
          <w:pgMar w:left="14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type w:val="continuous"/>
        </w:sectPr>
      </w:pPr>
    </w:p>
    <w:bookmarkStart w:id="33" w:name="page34"/>
    <w:bookmarkEnd w:id="33"/>
    <w:p>
      <w:pPr>
        <w:jc w:val="both"/>
        <w:ind w:left="-460" w:firstLine="644"/>
        <w:spacing w:after="0" w:line="266" w:lineRule="auto"/>
        <w:tabs>
          <w:tab w:leader="none" w:pos="8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5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34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4" w:name="page35"/>
    <w:bookmarkEnd w:id="34"/>
    <w:p>
      <w:pPr>
        <w:jc w:val="both"/>
        <w:ind w:left="1300" w:firstLine="652"/>
        <w:spacing w:after="0" w:line="252" w:lineRule="auto"/>
        <w:tabs>
          <w:tab w:leader="none" w:pos="25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54" w:lineRule="auto"/>
        <w:tabs>
          <w:tab w:leader="none" w:pos="19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this Section 4(a) and to the provisions of Section 4.1 of the Purchase Agreement,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8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both"/>
        <w:ind w:left="660" w:firstLine="644"/>
        <w:spacing w:after="0" w:line="261" w:lineRule="auto"/>
        <w:tabs>
          <w:tab w:leader="none" w:pos="18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58" w:lineRule="auto"/>
        <w:tabs>
          <w:tab w:leader="none" w:pos="19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9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92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firstLine="644"/>
        <w:spacing w:after="0" w:line="282" w:lineRule="auto"/>
        <w:tabs>
          <w:tab w:leader="none" w:pos="14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2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firstLine="644"/>
        <w:spacing w:after="0" w:line="256" w:lineRule="auto"/>
        <w:tabs>
          <w:tab w:leader="none" w:pos="12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35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37" w:name="page38"/>
    <w:bookmarkEnd w:id="37"/>
    <w:p>
      <w:pPr>
        <w:jc w:val="both"/>
        <w:ind w:left="4" w:firstLine="644"/>
        <w:spacing w:after="0" w:line="252" w:lineRule="auto"/>
        <w:tabs>
          <w:tab w:leader="none" w:pos="134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to be provided by the Holder hereunder including, without limitation, any Notice of Exercise, shall be in writing and delivered personally, by e-mail, or sent by a nationally recognized overnight courier service, addressed to the Company, at 1762 Automation Parkway, San Jose, CA 95131, Attention: Chief Executive Officer, email address: </w:t>
      </w:r>
      <w:r>
        <w:rPr>
          <w:rFonts w:ascii="Times New Roman" w:cs="Times New Roman" w:eastAsia="Times New Roman" w:hAnsi="Times New Roman"/>
          <w:sz w:val="18"/>
          <w:szCs w:val="18"/>
          <w:i w:val="1"/>
          <w:iCs w:val="1"/>
          <w:color w:val="auto"/>
        </w:rPr>
        <w:t>john.rood@momentus.space</w:t>
      </w:r>
      <w:r>
        <w:rPr>
          <w:rFonts w:ascii="Times New Roman" w:cs="Times New Roman" w:eastAsia="Times New Roman" w:hAnsi="Times New Roman"/>
          <w:sz w:val="18"/>
          <w:szCs w:val="18"/>
          <w:color w:val="auto"/>
        </w:rPr>
        <w:t>, or such other email address or address as the Company may specify for such purposes by notice to the Holders.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w:t>
      </w:r>
    </w:p>
    <w:p>
      <w:pPr>
        <w:spacing w:after="0" w:line="3"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by the party to whom such notice is required to be given.</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30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26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27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14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89" w:lineRule="auto"/>
        <w:tabs>
          <w:tab w:leader="none" w:pos="1248"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329"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38" w:name="page39"/>
    <w:bookmarkEnd w:id="38"/>
    <w:p>
      <w:pPr>
        <w:ind w:left="-460" w:firstLine="644"/>
        <w:spacing w:after="0" w:line="282" w:lineRule="auto"/>
        <w:tabs>
          <w:tab w:leader="none" w:pos="80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9" w:name="page40"/>
    <w:bookmarkEnd w:id="3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John Rood</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MOMENTUS INC.</w:t>
      </w:r>
    </w:p>
    <w:p>
      <w:pPr>
        <w:spacing w:after="0" w:line="229" w:lineRule="exact"/>
        <w:rPr>
          <w:sz w:val="20"/>
          <w:szCs w:val="20"/>
          <w:color w:val="auto"/>
        </w:rPr>
      </w:pPr>
    </w:p>
    <w:p>
      <w:pPr>
        <w:ind w:firstLine="1466"/>
        <w:spacing w:after="0" w:line="282" w:lineRule="auto"/>
        <w:tabs>
          <w:tab w:leader="none" w:pos="17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720" w:hanging="254"/>
        <w:spacing w:after="0"/>
        <w:tabs>
          <w:tab w:leader="none" w:pos="1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760" w:hanging="2"/>
        <w:spacing w:after="0" w:line="266" w:lineRule="auto"/>
        <w:tabs>
          <w:tab w:leader="none" w:pos="194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720" w:hanging="254"/>
        <w:spacing w:after="0"/>
        <w:tabs>
          <w:tab w:leader="none" w:pos="1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1720" w:hanging="254"/>
        <w:spacing w:after="0"/>
        <w:tabs>
          <w:tab w:leader="none" w:pos="1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The undersigned is an “accredited investor” as defined in Regulation D promulgated under the Securities Act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-422275</wp:posOffset>
            </wp:positionV>
            <wp:extent cx="28543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291465</wp:posOffset>
            </wp:positionV>
            <wp:extent cx="28543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582930</wp:posOffset>
            </wp:positionV>
            <wp:extent cx="28543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874395</wp:posOffset>
            </wp:positionV>
            <wp:extent cx="28543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570039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18415</wp:posOffset>
            </wp:positionV>
            <wp:extent cx="42773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17145</wp:posOffset>
            </wp:positionV>
            <wp:extent cx="55549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17145</wp:posOffset>
            </wp:positionV>
            <wp:extent cx="55549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180" w:right="18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17830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17830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May 26, 2026, between Momentus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purchasers identified on the signature pages hereto (including its successors and assigns,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Section 4(a)(2) of the Securities Act (as defined below) and/or Rule 506 of Regulation D promulgated thereunder,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In addition to the terms defined elsewhere in this Agreement, for all purposes of this Agreement, the following terms have the meanings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98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3.1(jj)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3.1(jj)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980" w:hanging="3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except any Saturday, any Sunday, any day which is a federal legal holiday in the United States or any day on which banking institutions in the State of New York are authorized or required by law or other governmental action to close;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means the closing of the purchase and sale of the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hanging="3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left="3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of the Company, par value $0.00001 per share, and any other class of securities into which such securities may hereafter be reclassified or changed.</w:t>
      </w:r>
    </w:p>
    <w:p>
      <w:pPr>
        <w:spacing w:after="0" w:line="162" w:lineRule="exact"/>
        <w:rPr>
          <w:sz w:val="20"/>
          <w:szCs w:val="20"/>
          <w:color w:val="auto"/>
        </w:rPr>
      </w:pPr>
    </w:p>
    <w:p>
      <w:pPr>
        <w:jc w:val="both"/>
        <w:ind w:left="320" w:hanging="3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Bradley Arant Boult Cummings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jc w:val="both"/>
        <w:ind w:left="320" w:hanging="3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3.1(kk)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left="3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that the Registration Statement required to be filed pursuant to the Registration Rights Agreement is declared effective by the Commission.</w:t>
      </w:r>
    </w:p>
    <w:p>
      <w:pPr>
        <w:spacing w:after="0" w:line="3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44" w:name="page45"/>
    <w:bookmarkEnd w:id="44"/>
    <w:p>
      <w:pPr>
        <w:jc w:val="both"/>
        <w:ind w:left="320" w:hanging="323"/>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(i) the issuance of securities to directors, officers, employees and consultants of the Company pursuant to employee benefit plans, equity incentive plans or other employee compensation plans existing on the date hereof and as described in the SEC Reports or pursuant to Nasdaq Rule 5635(c)(4), (ii) the issuance of securities upon the exercise or exchange of or conversion of any Securities issued hereunder and/or the issuance of securities pursuant to the exercise, exchange or conversion of any options, warrants, restricted stock units, rights or convertible securities outstanding on the date hereof, provided that such options, warrants, restricted stock units, rights or convertible securities have not been amended since the date of this Agreement to increase the number of such securities or to decrease the exercise price, exchange price or conversion price of such securities or to extend the term of such securities, (iii) securities issued in connection with any joint venture, commercial or collaborative relationship, or the acquisition or license by the Company of the securities, businesses, property or other assets of another person, provided that such issuance is approved by the majority of the disinterested directors of the Company and provided such securities are issued as restricted securities, (iv) securities issued pursuant to acquisitions or strategic transactions approved by a majority of the disinterested directors of the Company, provided that such securities are issued as “restricted securities” (as defined in Rule</w:t>
      </w:r>
    </w:p>
    <w:p>
      <w:pPr>
        <w:spacing w:after="0" w:line="4" w:lineRule="exact"/>
        <w:rPr>
          <w:sz w:val="20"/>
          <w:szCs w:val="20"/>
          <w:color w:val="auto"/>
        </w:rPr>
      </w:pPr>
    </w:p>
    <w:p>
      <w:pPr>
        <w:jc w:val="both"/>
        <w:ind w:left="320"/>
        <w:spacing w:after="0" w:line="252" w:lineRule="auto"/>
        <w:tabs>
          <w:tab w:leader="none" w:pos="73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carry no registration rights that require or permit the filing of any registration statement in connection therewith during the prohibition period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and (v) issuances of shares of Common Stock upon the exercise or exchange of rights issued pursuant to any shareholder rights agreement entered into between the Company and Transfer Agent.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3.1(kk)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means the lock-up agreements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0" w:right="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Pre-Funded Warrant Purchase Price</w:t>
      </w:r>
      <w:r>
        <w:rPr>
          <w:rFonts w:ascii="Times New Roman" w:cs="Times New Roman" w:eastAsia="Times New Roman" w:hAnsi="Times New Roman"/>
          <w:sz w:val="18"/>
          <w:szCs w:val="18"/>
          <w:color w:val="auto"/>
        </w:rPr>
        <w:t>” means $8.49999, subject to adjustment for reverse and forward share splits, share dividends, share combinations and other similar transactions of the shares of Common Stock that occur after the date of this Agreement.</w:t>
      </w:r>
    </w:p>
    <w:p>
      <w:pPr>
        <w:spacing w:after="0" w:line="162" w:lineRule="exact"/>
        <w:rPr>
          <w:sz w:val="20"/>
          <w:szCs w:val="20"/>
          <w:color w:val="auto"/>
        </w:rPr>
      </w:pPr>
    </w:p>
    <w:p>
      <w:pPr>
        <w:ind w:left="3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$8.50, subject to adjustment for reverse and forward stock splits, stock dividends, stock combinations and other similar transactions of the Common Stock that occur after the date of this Agreement and prior to the Closing Date.</w:t>
      </w:r>
    </w:p>
    <w:p>
      <w:pPr>
        <w:spacing w:after="0" w:line="162" w:lineRule="exact"/>
        <w:rPr>
          <w:sz w:val="20"/>
          <w:szCs w:val="20"/>
          <w:color w:val="auto"/>
        </w:rPr>
      </w:pPr>
    </w:p>
    <w:p>
      <w:pPr>
        <w:ind w:left="3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3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A.G.P./Alliance Global Partners.</w:t>
      </w:r>
    </w:p>
    <w:p>
      <w:pPr>
        <w:spacing w:after="0" w:line="225" w:lineRule="exact"/>
        <w:rPr>
          <w:sz w:val="20"/>
          <w:szCs w:val="20"/>
          <w:color w:val="auto"/>
        </w:rPr>
      </w:pPr>
    </w:p>
    <w:p>
      <w:pPr>
        <w:jc w:val="both"/>
        <w:ind w:left="3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hereof,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dated on or about the date hereof, among the Company and the Purchasers,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left="3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by the Purchasers of the Securities.</w:t>
      </w:r>
    </w:p>
    <w:p>
      <w:pPr>
        <w:spacing w:after="0" w:line="162" w:lineRule="exact"/>
        <w:rPr>
          <w:sz w:val="20"/>
          <w:szCs w:val="20"/>
          <w:color w:val="auto"/>
        </w:rPr>
      </w:pPr>
    </w:p>
    <w:p>
      <w:pPr>
        <w:jc w:val="both"/>
        <w:ind w:left="320" w:hanging="3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left="320" w:hanging="3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Pre-Funded Warrants and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left="320" w:right="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21" w:lineRule="exact"/>
        <w:rPr>
          <w:sz w:val="20"/>
          <w:szCs w:val="20"/>
          <w:color w:val="auto"/>
        </w:rPr>
      </w:pPr>
    </w:p>
    <w:p>
      <w:pPr>
        <w:jc w:val="both"/>
        <w:ind w:left="320" w:hanging="323"/>
        <w:spacing w:after="0" w:line="23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the Purchaser, the aggregate amount to be paid for the Shares and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purchased hereunder as specified below the Purchaser’s name on the signature page of this Agreement and next to the heading “Subscription Amount,” in United States dollars and in immediately available funds.</w:t>
      </w:r>
    </w:p>
    <w:p>
      <w:pPr>
        <w:spacing w:after="0" w:line="36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left="980" w:hanging="3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left="980" w:hanging="3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Pre-Funded Warrants, the Lock-Up Agreements, the Placement Agency Agreement, the Registration Rights Agreement, all exhibits and schedules thereto and hereto and any other documents or agreements executed in connection with the transactions contemplated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the Purchasers, severally and not jointly, agree to purchase approximately $25,000,000.00 of the Securities, which includes the number of Pre-Funded Warrant Shares set forth under the heading “Subscription Amount” on the Purchaser’s signature page hereto, at the Per Pre-Funded Warrant Purchase Price. Notwithstanding anything herein to the contrary, to the extent that any Purchaser determines, in its sole discretion, that the Purchaser’s Subscription Amount would cause such Purchaser’s beneficial ownership of the shares of Common Stock to exceed the Beneficial Ownership Limitation, or as such Purchaser may otherwise choose, such Purchaser may elect to purchase Pre-Funded Warrants in lieu of the Shares as determined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at the election of each Purchaser at Closing, 9.99%) of the number of shares of the Common Stock outstanding immediately after giving effect to the issuance of the Securities on the Closing Date. Each Purchaser’s Subscription Amount as set forth on the signature page hereto executed by such Purchaser shall be made available for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xml:space="preserve">”) settlement with the Company or its designees.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hereunder, provided that payment of the aggregate Exercise Price (as defined in the Pre-Funded Warrants) (other than in the case of a cashless exercise) is received by such Warrant Share Delivery Date. The Company and each Purchaser shall deliver the other items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deliverable at the Closing. Upon satisfaction of the covenants and conditions set forth in </w:t>
      </w:r>
      <w:r>
        <w:rPr>
          <w:rFonts w:ascii="Times New Roman" w:cs="Times New Roman" w:eastAsia="Times New Roman" w:hAnsi="Times New Roman"/>
          <w:sz w:val="18"/>
          <w:szCs w:val="18"/>
          <w:u w:val="single" w:color="auto"/>
          <w:color w:val="auto"/>
        </w:rPr>
        <w:t>Sections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the Closing shall occur remotely or such location as the parties shall mutually agree. Settlement of the Shares shall occur via DVP when such Purchaser makes payment of the Subscription Amount by wire transfer of immediately available funds to a bank account designated by the Company, upon which payment the Company shall issue the Shares registered in such Purchaser’s name and address and released by the Transfer Agent directly to the account(s) at the Placement Agent identified by such Purchaser; upon receipt of such Shares, the Placement Agent shall promptly electronically deliver such Shares to the Purchaser.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tabs>
          <w:tab w:leader="none" w:pos="7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Deliveries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hanging="656"/>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1620" w:hanging="652"/>
        <w:spacing w:after="0"/>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1620" w:hanging="652"/>
        <w:spacing w:after="0"/>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in a form reasonably acceptable to the Placement Agent;</w:t>
      </w:r>
    </w:p>
    <w:p>
      <w:pPr>
        <w:spacing w:after="0" w:line="225" w:lineRule="exact"/>
        <w:rPr>
          <w:rFonts w:ascii="Times New Roman" w:cs="Times New Roman" w:eastAsia="Times New Roman" w:hAnsi="Times New Roman"/>
          <w:sz w:val="18"/>
          <w:szCs w:val="18"/>
          <w:color w:val="auto"/>
        </w:rPr>
      </w:pPr>
    </w:p>
    <w:p>
      <w:pPr>
        <w:ind w:left="1620" w:hanging="652"/>
        <w:spacing w:after="0" w:line="282" w:lineRule="auto"/>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each Purchaser with the Company’s wire instructions, on Company letterhead and executed by the Chief Executive Officer or Chief Financial Officer;</w:t>
      </w:r>
    </w:p>
    <w:p>
      <w:pPr>
        <w:spacing w:after="0" w:line="161" w:lineRule="exact"/>
        <w:rPr>
          <w:rFonts w:ascii="Times New Roman" w:cs="Times New Roman" w:eastAsia="Times New Roman" w:hAnsi="Times New Roman"/>
          <w:sz w:val="18"/>
          <w:szCs w:val="18"/>
          <w:color w:val="auto"/>
        </w:rPr>
      </w:pPr>
    </w:p>
    <w:p>
      <w:pPr>
        <w:jc w:val="both"/>
        <w:ind w:left="1620" w:hanging="652"/>
        <w:spacing w:after="0" w:line="261" w:lineRule="auto"/>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last sentence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the Purchaser’s Subscription Amount divided by the Per Share Purchase Price, registered in the name of the Purchaser;</w:t>
      </w:r>
    </w:p>
    <w:p>
      <w:pPr>
        <w:spacing w:after="0" w:line="179" w:lineRule="exact"/>
        <w:rPr>
          <w:rFonts w:ascii="Times New Roman" w:cs="Times New Roman" w:eastAsia="Times New Roman" w:hAnsi="Times New Roman"/>
          <w:sz w:val="18"/>
          <w:szCs w:val="18"/>
          <w:color w:val="auto"/>
        </w:rPr>
      </w:pPr>
    </w:p>
    <w:p>
      <w:pPr>
        <w:jc w:val="both"/>
        <w:ind w:left="1620" w:hanging="652"/>
        <w:spacing w:after="0" w:line="220" w:lineRule="exact"/>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Pre-Funded Warrant registered in the name of each Purchaser to purchase up to a number of shares of Common Stock equal to the difference between (A) the Purchaser’s Subscription Amount applicable to the Pre-Funded Warrants divided by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Purchase Price and (B) the number of Shares otherwise issuable to each Purchaser that would cause the Purchaser’s beneficial ownership of Common Stock to be more than the Beneficial Ownership Limitation with an exercise price equal to $0.00001 per share of Common Stock, subject to adjustment therein;</w:t>
      </w:r>
    </w:p>
    <w:p>
      <w:pPr>
        <w:spacing w:after="0" w:line="200" w:lineRule="exact"/>
        <w:rPr>
          <w:rFonts w:ascii="Times New Roman" w:cs="Times New Roman" w:eastAsia="Times New Roman" w:hAnsi="Times New Roman"/>
          <w:sz w:val="18"/>
          <w:szCs w:val="18"/>
          <w:color w:val="auto"/>
        </w:rPr>
      </w:pPr>
    </w:p>
    <w:p>
      <w:pPr>
        <w:ind w:left="1620" w:hanging="652"/>
        <w:spacing w:after="0"/>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Company;</w:t>
      </w:r>
    </w:p>
    <w:p>
      <w:pPr>
        <w:spacing w:after="0" w:line="225" w:lineRule="exact"/>
        <w:rPr>
          <w:rFonts w:ascii="Times New Roman" w:cs="Times New Roman" w:eastAsia="Times New Roman" w:hAnsi="Times New Roman"/>
          <w:sz w:val="18"/>
          <w:szCs w:val="18"/>
          <w:color w:val="auto"/>
        </w:rPr>
      </w:pPr>
    </w:p>
    <w:p>
      <w:pPr>
        <w:ind w:left="1620" w:hanging="652"/>
        <w:spacing w:after="0"/>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in form and substance reasonably satisfactory to the Placement Agent;</w:t>
      </w:r>
    </w:p>
    <w:p>
      <w:pPr>
        <w:spacing w:after="0" w:line="225" w:lineRule="exact"/>
        <w:rPr>
          <w:rFonts w:ascii="Times New Roman" w:cs="Times New Roman" w:eastAsia="Times New Roman" w:hAnsi="Times New Roman"/>
          <w:sz w:val="18"/>
          <w:szCs w:val="18"/>
          <w:color w:val="auto"/>
        </w:rPr>
      </w:pPr>
    </w:p>
    <w:p>
      <w:pPr>
        <w:ind w:left="1620" w:hanging="652"/>
        <w:spacing w:after="0"/>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Secretary’s Certificate, in form and substance reasonably satisfactory to the Placement Agent; and</w:t>
      </w:r>
    </w:p>
    <w:p>
      <w:pPr>
        <w:spacing w:after="0" w:line="225" w:lineRule="exact"/>
        <w:rPr>
          <w:rFonts w:ascii="Times New Roman" w:cs="Times New Roman" w:eastAsia="Times New Roman" w:hAnsi="Times New Roman"/>
          <w:sz w:val="18"/>
          <w:szCs w:val="18"/>
          <w:color w:val="auto"/>
        </w:rPr>
      </w:pPr>
    </w:p>
    <w:p>
      <w:pPr>
        <w:ind w:left="1620" w:hanging="652"/>
        <w:spacing w:after="0"/>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duly executed by each executive officer and director of the Company.</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48" w:name="page49"/>
    <w:bookmarkEnd w:id="48"/>
    <w:p>
      <w:pPr>
        <w:ind w:left="1300" w:hanging="656"/>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620" w:hanging="652"/>
        <w:spacing w:after="0"/>
        <w:tabs>
          <w:tab w:leader="none" w:pos="16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225" w:lineRule="exact"/>
        <w:rPr>
          <w:rFonts w:ascii="Times New Roman" w:cs="Times New Roman" w:eastAsia="Times New Roman" w:hAnsi="Times New Roman"/>
          <w:sz w:val="18"/>
          <w:szCs w:val="18"/>
          <w:color w:val="auto"/>
        </w:rPr>
      </w:pPr>
    </w:p>
    <w:p>
      <w:pPr>
        <w:ind w:left="1620" w:hanging="652"/>
        <w:spacing w:after="0" w:line="282" w:lineRule="auto"/>
        <w:tabs>
          <w:tab w:leader="none" w:pos="16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Subscription Amount, which shall be made available for DVP settlement with the Company or its designees; and</w:t>
      </w:r>
    </w:p>
    <w:p>
      <w:pPr>
        <w:spacing w:after="0" w:line="161" w:lineRule="exact"/>
        <w:rPr>
          <w:rFonts w:ascii="Times New Roman" w:cs="Times New Roman" w:eastAsia="Times New Roman" w:hAnsi="Times New Roman"/>
          <w:sz w:val="18"/>
          <w:szCs w:val="18"/>
          <w:color w:val="auto"/>
        </w:rPr>
      </w:pPr>
    </w:p>
    <w:p>
      <w:pPr>
        <w:ind w:left="1620" w:hanging="652"/>
        <w:spacing w:after="0"/>
        <w:tabs>
          <w:tab w:leader="none" w:pos="16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such Purchaser.</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080" w:hanging="436"/>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620" w:hanging="652"/>
        <w:spacing w:after="0" w:line="266" w:lineRule="auto"/>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1620" w:hanging="652"/>
        <w:spacing w:after="0" w:line="282" w:lineRule="auto"/>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620" w:hanging="652"/>
        <w:spacing w:after="0"/>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delivery by each Purchaser of the items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of this Agreement.</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each Purchaser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620" w:hanging="652"/>
        <w:spacing w:after="0" w:line="266" w:lineRule="auto"/>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1620" w:hanging="652"/>
        <w:spacing w:after="0" w:line="282" w:lineRule="auto"/>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1620" w:hanging="652"/>
        <w:spacing w:after="0"/>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delivery by the Company of the items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of this Agreement;</w:t>
      </w:r>
    </w:p>
    <w:p>
      <w:pPr>
        <w:spacing w:after="0" w:line="225" w:lineRule="exact"/>
        <w:rPr>
          <w:rFonts w:ascii="Times New Roman" w:cs="Times New Roman" w:eastAsia="Times New Roman" w:hAnsi="Times New Roman"/>
          <w:sz w:val="18"/>
          <w:szCs w:val="18"/>
          <w:color w:val="auto"/>
        </w:rPr>
      </w:pPr>
    </w:p>
    <w:p>
      <w:pPr>
        <w:ind w:left="1620" w:hanging="652"/>
        <w:spacing w:after="0"/>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49" w:name="page50"/>
    <w:bookmarkEnd w:id="49"/>
    <w:p>
      <w:pPr>
        <w:jc w:val="both"/>
        <w:ind w:left="2280" w:hanging="652"/>
        <w:spacing w:after="0" w:line="254" w:lineRule="auto"/>
        <w:tabs>
          <w:tab w:leader="none" w:pos="2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Securities at the Closing.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the Purchaser:</w:t>
      </w:r>
    </w:p>
    <w:p>
      <w:pPr>
        <w:spacing w:after="0" w:line="176" w:lineRule="exact"/>
        <w:rPr>
          <w:sz w:val="20"/>
          <w:szCs w:val="20"/>
          <w:color w:val="auto"/>
        </w:rPr>
      </w:pPr>
    </w:p>
    <w:p>
      <w:pPr>
        <w:jc w:val="both"/>
        <w:ind w:left="660" w:firstLine="644"/>
        <w:spacing w:after="0" w:line="253" w:lineRule="auto"/>
        <w:tabs>
          <w:tab w:leader="none" w:pos="218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xml:space="preserve">. Each of the subsidiaries of the Company are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Each of the Company and its subsidiaries has been duly incorporated or organized, as applicable, is validly existing and is in good standing (to the extent the concept of good standing is applicable in such jurisdiction) under the laws of its jurisdiction of incorporation or organization. Each of the Company and its subsidiaries has the requisite power and authority to own its properties and conduct its business as currently being carried on and as described in the SEC Reports, and is duly qualified to do business as a foreign corporation or other entity in good standing in each jurisdiction in which the conduct of its business or ownership of property makes such qualification necessary and in which the failure to so qualify would have</w:t>
      </w:r>
    </w:p>
    <w:p>
      <w:pPr>
        <w:spacing w:after="0" w:line="5"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effect upon the business, properties, operations, financial condition or results of operations of the Company and its subsidiaries, taken as a whole, or (b) a material adverse effect on the Company’s ability to perform in any material respect on a timely basis its obligations under the Transaction Documents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Neither the Company nor any Subsidiary is in violation nor default of any of the provisions of its respective memorandum of association, articles of association, certificate or articles of incorporation, bylaws, operating agreement, or other organization or charter documents.</w:t>
      </w:r>
    </w:p>
    <w:p>
      <w:pPr>
        <w:spacing w:after="0" w:line="186"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10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Violations or Defaults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3.1(b)</w:t>
      </w:r>
      <w:r>
        <w:rPr>
          <w:rFonts w:ascii="Times New Roman" w:cs="Times New Roman" w:eastAsia="Times New Roman" w:hAnsi="Times New Roman"/>
          <w:sz w:val="18"/>
          <w:szCs w:val="18"/>
          <w:color w:val="auto"/>
        </w:rPr>
        <w:t>, neither the Company nor any of its subsidiaries (A) is in violation of its respective charters, bylaws or other organizational documents, (B) is in breach of or otherwise in default and no event has occurred which, with notice or lapse of time or both, would constitute such a default, in the performance or observance of any term, covenant or condition contained in any contract, indenture, mortgage, deed of trust, loan agreement, lease or other agreement or instrument to which it is a party or by which it is bound or to which any of its material property or assets is subject, or (C) is in violation in any respect of any law, ordinance, governmental rule, regulation or court order, decree or judgment to which it or its property or assets may be subject, including the Sarbanes–Oxley Act and the Exchange Act; except, in the case of clauses (A), (B) and (C) of this paragraph (b), for any breaches, violations or defaults which, singularly or in the aggregate, would not reasonably be expected to have a Material Adverse Effect.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both"/>
        <w:ind w:left="-460" w:firstLine="644"/>
        <w:spacing w:after="0" w:line="217" w:lineRule="exact"/>
        <w:tabs>
          <w:tab w:leader="none" w:pos="8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No Conflicts; Authority</w:t>
      </w:r>
      <w:r>
        <w:rPr>
          <w:rFonts w:ascii="Times New Roman" w:cs="Times New Roman" w:eastAsia="Times New Roman" w:hAnsi="Times New Roman"/>
          <w:sz w:val="18"/>
          <w:szCs w:val="18"/>
          <w:color w:val="auto"/>
        </w:rPr>
        <w:t>. This Agreement has been duly authorized, executed and delivered by the Company, 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Registration Rights Agreement has been duly authorized, executed and delivered by the Company, 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have been duly authorized, and when executed and delivered by the Company, shall constitute a valid, legal and binding obligation of the Company, enforceable in accordance with their terms, except as such enforceability may be limited by bankruptcy, insolvency, reorganization or similar laws affecting the rights of creditors generally and subject to general principles of equity. The execution, delivery and performance of the Transaction Documents and the consummation of the transactions herein and therein contemplated will not (A)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and which is material to the Company and its subsidiaries taken as a whole, (B) result in any violation of the provisions of the Company’s charter or by-laws or (C) result in the violation of any law or statute or any judgment, order, rule, regulation or decree of any court or arbitrator or federal, state, local or foreign governmental agency or regulatory authority having jurisdiction over the Company or any of its subsidiaries or any of their properties or assets (each, a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except in the case of clause (A) or (C) as would not result in a Material Adverse Effect. No consent, approval, authorization or order of, or registration or filing with any Governmental Authority is required for the execution, delivery and performance of this Agreement or for the consummation of the transactions contemplated hereby, including the issuance or sale of the Shares by the Company, except such as may be required under the Securities Act, the rules of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or state securities or blue sky laws; and the Company has full power and authority to enter into the Transaction Documents and to consummate the transactions contemplated hereby and thereby, including the authorization, issuance and sale of the Securities as contemplated by this Agreement.</w:t>
      </w:r>
    </w:p>
    <w:p>
      <w:pPr>
        <w:spacing w:after="0" w:line="3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1" w:name="page52"/>
    <w:bookmarkEnd w:id="51"/>
    <w:p>
      <w:pPr>
        <w:jc w:val="both"/>
        <w:ind w:left="-460" w:firstLine="644"/>
        <w:spacing w:after="0" w:line="221" w:lineRule="exact"/>
        <w:tabs>
          <w:tab w:leader="none" w:pos="9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When paid for and issued in accordance with this Agreement,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will constitute valid and binding obligations of the Company, enforceable against the Company in accordance with their respective terms, except as such enforceability may be limited by bankruptcy, insolvency, reorganization or similar laws affecting the rights of creditors generally and subject to general principles of equity.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when issued in accordance with the terms of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will be validly issued, fully paid and nonassessable, free and clear of all Liens imposed by the Company. The Company has reserved from its duly authorized capital stock the maximum number of Shares issuable pursuant to this Agreement and shall reserve from its duly authorized capital stock the maximum number of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issuable pursuant to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w:t>
      </w:r>
    </w:p>
    <w:p>
      <w:pPr>
        <w:spacing w:after="0" w:line="172" w:lineRule="exact"/>
        <w:rPr>
          <w:rFonts w:ascii="Times New Roman" w:cs="Times New Roman" w:eastAsia="Times New Roman" w:hAnsi="Times New Roman"/>
          <w:sz w:val="18"/>
          <w:szCs w:val="18"/>
          <w:color w:val="auto"/>
        </w:rPr>
      </w:pPr>
    </w:p>
    <w:p>
      <w:pPr>
        <w:jc w:val="both"/>
        <w:ind w:left="-460" w:firstLine="644"/>
        <w:spacing w:after="0" w:line="217" w:lineRule="exact"/>
        <w:tabs>
          <w:tab w:leader="none" w:pos="85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time of execution hereof is as set forth on </w:t>
      </w:r>
      <w:r>
        <w:rPr>
          <w:rFonts w:ascii="Times New Roman" w:cs="Times New Roman" w:eastAsia="Times New Roman" w:hAnsi="Times New Roman"/>
          <w:sz w:val="18"/>
          <w:szCs w:val="18"/>
          <w:u w:val="single" w:color="auto"/>
          <w:color w:val="auto"/>
        </w:rPr>
        <w:t>Schedule 3.1(e</w:t>
      </w:r>
      <w:r>
        <w:rPr>
          <w:rFonts w:ascii="Times New Roman" w:cs="Times New Roman" w:eastAsia="Times New Roman" w:hAnsi="Times New Roman"/>
          <w:sz w:val="18"/>
          <w:szCs w:val="18"/>
          <w:color w:val="auto"/>
        </w:rPr>
        <w:t xml:space="preserve">). As of the date hereof, there are 12,288,990 shares of Common Stock issued and outstanding and warrants to purchase 1,552,967 shares of Common Stock have been exercised, but the issuance of such shares of Common Stock has not been completed. All of the issued and outstanding shares of capital stock of the Company, including the outstanding shares of Common Stock, are duly authorized and validly issued, fully paid and nonassessable, have been issued in compliance with all federal and state and foreign securities laws, were not issued in violation of or subject to any preemptive rights or other rights to subscribe for or purchase securities that have not been waived in writing, and the holders thereof are not subject to personal liability by reason of being such holders; the capital stock of the Company, including the Common Stock, conforms in all material respects to the description thereof in the SEC Reports. Except as set forth on </w:t>
      </w:r>
      <w:r>
        <w:rPr>
          <w:rFonts w:ascii="Times New Roman" w:cs="Times New Roman" w:eastAsia="Times New Roman" w:hAnsi="Times New Roman"/>
          <w:sz w:val="18"/>
          <w:szCs w:val="18"/>
          <w:u w:val="single" w:color="auto"/>
          <w:color w:val="auto"/>
        </w:rPr>
        <w:t>Schedule 3.1(e</w:t>
      </w:r>
      <w:r>
        <w:rPr>
          <w:rFonts w:ascii="Times New Roman" w:cs="Times New Roman" w:eastAsia="Times New Roman" w:hAnsi="Times New Roman"/>
          <w:sz w:val="18"/>
          <w:szCs w:val="18"/>
          <w:color w:val="auto"/>
        </w:rPr>
        <w:t>), (A) there are no preemptive rights or other rights to subscribe for or to purchase, or any restriction upon the voting or transfer of, any shares of Common Stock pursuant to the Company’s charter,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or any agreement or other instrument to which the Company or any of its subsidiaries is a party or by which the Company or any of its subsidiaries is bound; and (B) neither the filing of the Registration Statement nor the offering or sale of the Securities as contemplated by this Agreement gives rise to any rights for or relating to the registration of any shares of Common Stock or other securities of the Company (collectively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have been validly waived or complied with in connection with the sale of Securities as contemplated by this Agreement. No further approval or authorization of any stockholder, the Board of Directors or others is required for the issuance and sale of the Securities. Except as set forth in the SEC Reports (as defined below),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7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2" w:name="page53"/>
    <w:bookmarkEnd w:id="52"/>
    <w:p>
      <w:pPr>
        <w:jc w:val="both"/>
        <w:ind w:left="-460" w:firstLine="644"/>
        <w:spacing w:after="0" w:line="254" w:lineRule="auto"/>
        <w:tabs>
          <w:tab w:leader="none" w:pos="89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3.1(f)</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9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of the Company, together with the related notes, set forth or incorporated by reference in the SEC Reports comply in all material respects with the requirements of the Securities Act and the Exchange Act and fairly present the financial condition of the Company and its consolidated subsidiaries as of the dates indicated and the results of operations and changes in cash flows for the periods therein specified in conformity with generally accepted accounting principles in the United States consistently applied throughout the periods involved; the supporting schedules included in the Registration Statement present fairly the information required to be stated therein; all non-GAAP financial information included in the SEC Reports complies with the requirements of Regulation G and Item 10 of Regulation S-K under the Securities Act; and, except as disclosed in the SEC Reports, there are no material off-balance sheet arrangements (as defined in Regulation S-K under the Securities Act, Item 303(a)(4)(ii)) or any other relationships with unconsolidated entities or other persons, that may have a material current effect or, to the Company’s knowledge, material future effect on the Company’s financial condition, results of operations, liquidity, capital expenditures, capital resources or significant components of revenue or expenses. No other financial statements or schedules are required to be included in the SEC Reports. To the Company’s knowledge, the Company’s independent accounting firm, Frank, Rimerman + Co. LLP, which has expressed its opinion with respect to the financial statements and schedules filed as a part of the SEC Reports and included in the SEC Reports is (x) an independent public accounting firm within the meaning of the Securities Act and the Rules and Regulations, (y) a registered public accounting firm (as defined in Section 2(a)(12) of the Sarbanes-Oxley Act of 2002 (the “</w:t>
      </w: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(z) not in violation of the auditor independence requirements of the Sarbanes-Oxley Act.</w:t>
      </w:r>
    </w:p>
    <w:p>
      <w:pPr>
        <w:spacing w:after="0" w:line="36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3" w:name="page54"/>
    <w:bookmarkEnd w:id="53"/>
    <w:p>
      <w:pPr>
        <w:jc w:val="both"/>
        <w:ind w:left="4" w:firstLine="644"/>
        <w:spacing w:after="0" w:line="252" w:lineRule="auto"/>
        <w:tabs>
          <w:tab w:leader="none" w:pos="124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Events; Undisclosed Events, Liabilities or Developments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3.1(h)</w:t>
      </w:r>
      <w:r>
        <w:rPr>
          <w:rFonts w:ascii="Times New Roman" w:cs="Times New Roman" w:eastAsia="Times New Roman" w:hAnsi="Times New Roman"/>
          <w:sz w:val="18"/>
          <w:szCs w:val="18"/>
          <w:color w:val="auto"/>
        </w:rPr>
        <w:t xml:space="preserve">, subsequent to the respective dates as of which information is given in the SEC Reports, neither the Company nor any of its subsidiaries has (i) incurred any material liabilities, direct or contingent, other than trade payables and accrued expenses incurred in the ordinary course of business consistent with past practices and liabilities not required to be reflected in the Company’s financial statements pursuant to generally accepted accounting principles or disclosed in filings made with the SEC; (ii) declared or paid any dividends or made any distribution of any kind with respect to its capital stock; (iii) there has not been any change in the capital stock of the Company (other than a change in the number of outstanding shares of Common Stock due to the issuance of shares upon the exercise of outstanding options or warrants, settlement of restricted stock units or conversion of convertible securities); (iv) any issuance of options, warrants, restricted stock units, convertible securities or other rights to purchase the capital stock of the Company or any of its subsidiaries, or (v) any event or development that has had a Material Adverse Effect or any development which could reasonably be expected to result in any Material Adverse Effect. Except for (i) the issuance of the Securities contemplated by this Agreement, or (ii) as set forth on </w:t>
      </w:r>
      <w:r>
        <w:rPr>
          <w:rFonts w:ascii="Times New Roman" w:cs="Times New Roman" w:eastAsia="Times New Roman" w:hAnsi="Times New Roman"/>
          <w:sz w:val="18"/>
          <w:szCs w:val="18"/>
          <w:u w:val="single" w:color="auto"/>
          <w:color w:val="auto"/>
        </w:rPr>
        <w:t>Schedule 3.1(h)</w:t>
      </w:r>
      <w:r>
        <w:rPr>
          <w:rFonts w:ascii="Times New Roman" w:cs="Times New Roman" w:eastAsia="Times New Roman" w:hAnsi="Times New Roman"/>
          <w:sz w:val="18"/>
          <w:szCs w:val="18"/>
          <w:color w:val="auto"/>
        </w:rPr>
        <w:t>, no material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prior to the date that this representation is made.</w:t>
      </w:r>
    </w:p>
    <w:p>
      <w:pPr>
        <w:spacing w:after="0" w:line="197"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47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there is not pending or, to the knowledge of the Company, threatened, any action, suit or proceeding (a) to which the Company or any of its subsidiaries is a party or (b) which has as the subject thereof any officer or director of the Company or any subsidiary, any employee benefit plan sponsored by the Company or any subsidiary or any property or assets owned or leased by the Company or any subsidiary before or by any court or Governmental Authority, or any arbitrator, which, individually or in the aggregate, would reasonably be expected to result in any Material Adverse Effect, or would materially and adversely affect the ability of the Company to perform its obligations under the Transaction Documents. There are no current or, to the knowledge of the Company, pending, legal, governmental or regulatory actions, suits or proceedings (x) to which the Company or any of its subsidiaries is subject or (y) which has as the subject thereof any officer or director of the Company or any subsidiary, any employee plan sponsored by the Company or any subsidiary or any property or assets owned or leased by the Company or any subsidiary, that are required to be described in the SEC Reports by the Securities Act or by the Rules and Regulations and that have not been so described in all material respects.</w:t>
      </w:r>
    </w:p>
    <w:p>
      <w:pPr>
        <w:spacing w:after="0" w:line="194"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48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material labor dispute with the employees of the Company or any of its subsidiaries exists or, to the Company’s knowledge, is threatened or imminent, and the Company is not aware of any existing or imminent labor disturbance by the employees of any of its or its subsidiaries’ principal suppliers, contractors or customers, that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84" w:hanging="536"/>
        <w:spacing w:after="0"/>
        <w:tabs>
          <w:tab w:leader="none" w:pos="118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Except as disclosed in the SEC Reports, neither the Company nor any of its subsidiaries is</w:t>
      </w:r>
    </w:p>
    <w:p>
      <w:pPr>
        <w:spacing w:after="0" w:line="27"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owns or operates any real property contaminated with any substance that is subject to any environmental laws, (iii) is liable for any off-site disposal or contamination pursuant to any Environmental Laws, or (iv) is subject to any claim relating to any Environmental Laws, which violation, contamination, liability or claim would individually or in the aggregate, have a Material Adverse Effect.</w:t>
      </w:r>
    </w:p>
    <w:p>
      <w:pPr>
        <w:spacing w:after="0" w:line="361"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54" w:name="page55"/>
    <w:bookmarkEnd w:id="54"/>
    <w:p>
      <w:pPr>
        <w:jc w:val="both"/>
        <w:ind w:left="-460" w:firstLine="644"/>
        <w:spacing w:after="0" w:line="256" w:lineRule="auto"/>
        <w:tabs>
          <w:tab w:leader="none" w:pos="82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Assets</w:t>
      </w:r>
      <w:r>
        <w:rPr>
          <w:rFonts w:ascii="Times New Roman" w:cs="Times New Roman" w:eastAsia="Times New Roman" w:hAnsi="Times New Roman"/>
          <w:sz w:val="18"/>
          <w:szCs w:val="18"/>
          <w:color w:val="auto"/>
        </w:rPr>
        <w:t>. The Company and its subsidiaries have good and marketable title to all property (whether real or personal) described in the SEC Reports as being owned by them which is material to the Company and its subsidiaries taken as a whole, in each case free and clear of all liens, claims, security interests, other encumbrances or defects except such as are described in the SEC Reports or as would not, individually or in the aggregate, be reasonably expected to result in a Material Adverse Effect.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or its subsidiaries.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09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The Company and each of its subsidiaries owns, possesses, or can acquire on reasonable terms, all Intellectual Property (as defined below) necessary for the conduct of the Company’s and it subsidiaries’ business as now conducted or as described in the SEC Reports to be conducted, except as such failure to own, possess, or acquire such rights would not reasonably be expected to result in a Material Adverse Effect. Furthermore, except as described in the SEC Reports, (A) to the knowledge of the Company after reasonable investigation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there is no infringement, misappropriation or violation by third parties of any such Intellectual Property, except as such infringement, misappropriation or violation would not result in a Material Adverse Effect; (B) there is no pending or, to the Knowledge of the Company, threatened, action, suit, proceeding or claim by others challenging the Company’s or any of its subsidiaries’ rights in or to any such Intellectual Property, and the Company is unaware of any objective facts which would form a reasonable basis for any such claim; (C) the Intellectual Property 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 claim by others challenging the validity or scope of any such Intellectual Property; (D)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or any of its subsidiaries has received any written notice of such claim; and (E)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except as such violation would not result in a Material Adverse Effect.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all patents, patent applications, trademarks, trademark registrations, service marks, service mark registrations, trade names, copyrights, copyright registrations, licenses, inventions, trade secrets, Internet domain names, Internet domain name registrations, technology, registrations, trade secret rights, know-how and other intellectual property.</w:t>
      </w:r>
    </w:p>
    <w:p>
      <w:pPr>
        <w:spacing w:after="0" w:line="35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5" w:name="page56"/>
    <w:bookmarkEnd w:id="55"/>
    <w:p>
      <w:pPr>
        <w:jc w:val="both"/>
        <w:ind w:left="4" w:firstLine="644"/>
        <w:spacing w:after="0" w:line="255" w:lineRule="auto"/>
        <w:tabs>
          <w:tab w:leader="none" w:pos="13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carries, or is covered by, insurance from insurers of recognized financial responsibility in such amounts and covering such risks as is customary for companies engaged in similar businesses in similar industries; all policies of insurance and any fidelity or surety bonds insuring the Company or any of its subsidiaries or its business, assets, employees, officers and directors are in full force and effect, except as would not have a Material Adverse Effect; the Company and its subsidiaries are in compliance with the terms of such policies and instruments in all material respects; and neither the Company nor any of its subsidiaries has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8" w:lineRule="exact"/>
        <w:rPr>
          <w:rFonts w:ascii="Times New Roman" w:cs="Times New Roman" w:eastAsia="Times New Roman" w:hAnsi="Times New Roman"/>
          <w:sz w:val="18"/>
          <w:szCs w:val="18"/>
          <w:color w:val="auto"/>
        </w:rPr>
      </w:pPr>
    </w:p>
    <w:p>
      <w:pPr>
        <w:ind w:left="1364" w:hanging="716"/>
        <w:spacing w:after="0"/>
        <w:tabs>
          <w:tab w:leader="none" w:pos="13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The Company and its subsidiaries maintain a system of internal accounting controls sufficient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provide  reasonable  assurances  that  (i)  transactions  are  executed  in  accordance  with  management’s  general  or  specific  authorization;</w:t>
      </w:r>
    </w:p>
    <w:p>
      <w:pPr>
        <w:spacing w:after="0" w:line="9" w:lineRule="exact"/>
        <w:rPr>
          <w:sz w:val="20"/>
          <w:szCs w:val="20"/>
          <w:color w:val="auto"/>
        </w:rPr>
      </w:pPr>
    </w:p>
    <w:p>
      <w:pPr>
        <w:jc w:val="both"/>
        <w:ind w:left="4" w:hanging="4"/>
        <w:spacing w:after="0" w:line="251" w:lineRule="auto"/>
        <w:tabs>
          <w:tab w:leader="none" w:pos="31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generally accepted accounting principles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set forth in the SEC Reports,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applicable stock exchange rules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Exchange Rules</w:t>
      </w:r>
      <w:r>
        <w:rPr>
          <w:rFonts w:ascii="Times New Roman" w:cs="Times New Roman" w:eastAsia="Times New Roman" w:hAnsi="Times New Roman"/>
          <w:sz w:val="18"/>
          <w:szCs w:val="18"/>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193"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47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Each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144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after giving effect to the offering and sale of the Securities, will not be an “investment company,” as such term is defined in the Investment Company Act of 1940, as amended.</w:t>
      </w:r>
    </w:p>
    <w:p>
      <w:pPr>
        <w:spacing w:after="0" w:line="333"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56" w:name="page57"/>
    <w:bookmarkEnd w:id="56"/>
    <w:p>
      <w:pPr>
        <w:jc w:val="both"/>
        <w:ind w:left="-460" w:firstLine="644"/>
        <w:spacing w:after="0" w:line="254" w:lineRule="auto"/>
        <w:tabs>
          <w:tab w:leader="none" w:pos="89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xml:space="preserve">.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on </w:t>
      </w:r>
      <w:r>
        <w:rPr>
          <w:rFonts w:ascii="Times New Roman" w:cs="Times New Roman" w:eastAsia="Times New Roman" w:hAnsi="Times New Roman"/>
          <w:sz w:val="18"/>
          <w:szCs w:val="18"/>
          <w:u w:val="single" w:color="auto"/>
          <w:color w:val="auto"/>
        </w:rPr>
        <w:t>Schedule 3.1(s)</w:t>
      </w:r>
      <w:r>
        <w:rPr>
          <w:rFonts w:ascii="Times New Roman" w:cs="Times New Roman" w:eastAsia="Times New Roman" w:hAnsi="Times New Roman"/>
          <w:sz w:val="18"/>
          <w:szCs w:val="18"/>
          <w:color w:val="auto"/>
        </w:rPr>
        <w:t xml:space="preserve">,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except as set forth on </w:t>
      </w:r>
      <w:r>
        <w:rPr>
          <w:rFonts w:ascii="Times New Roman" w:cs="Times New Roman" w:eastAsia="Times New Roman" w:hAnsi="Times New Roman"/>
          <w:sz w:val="18"/>
          <w:szCs w:val="18"/>
          <w:u w:val="single" w:color="auto"/>
          <w:color w:val="auto"/>
        </w:rPr>
        <w:t>Schedule 3.1(s)</w:t>
      </w:r>
      <w:r>
        <w:rPr>
          <w:rFonts w:ascii="Times New Roman" w:cs="Times New Roman" w:eastAsia="Times New Roman" w:hAnsi="Times New Roman"/>
          <w:sz w:val="18"/>
          <w:szCs w:val="18"/>
          <w:color w:val="auto"/>
        </w:rPr>
        <w:t>.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20" w:lineRule="exact"/>
        <w:tabs>
          <w:tab w:leader="none" w:pos="7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or other similar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 under the Company’s certificate of incorporation (or similar charter documents) or the laws of its state of incorporation that is or could become applicable to each Purchaser as a result of each Purchaser and the Company fulfilling their obligations or exercising their rights under the Transaction Documents, including without limitation as a result of the Company’s issuance of the Securities and the Purchaser’s ownership of the Securities.</w:t>
      </w:r>
    </w:p>
    <w:p>
      <w:pPr>
        <w:spacing w:after="0" w:line="200"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97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Except with respect to the material terms and conditions of the transactions contemplated by the Transaction Documents, the Company confirms that neither it nor any other Person acting on its behalf has provided to each Purchaser or its agents or counsel with any information that it believes constitutes or might constitute material, non-public information which is not otherwise disclosed in the SEC Reports. The Company understands and confirms that each Purchaser will rely on the foregoing representation in effecting transactions in securities of the Company. All of the disclosure furnished by or on behalf of the Company to each Purchaser regarding the Company and its subsidiaries, their respective businesses and the transactions contemplated hereby, including the Disclosure Schedules to this Agreement, when taken together as a whole, is true and correct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hereof.</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1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xml:space="preserve">. Assuming the accuracy of the Purchaser’s representations and warranties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stockholder approval provisions of any Trading Market on which any of the securities of the Company are listed or designated.</w:t>
      </w:r>
    </w:p>
    <w:p>
      <w:pPr>
        <w:spacing w:after="0" w:line="3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7" w:name="page58"/>
    <w:bookmarkEnd w:id="57"/>
    <w:p>
      <w:pPr>
        <w:jc w:val="both"/>
        <w:ind w:left="-460" w:firstLine="644"/>
        <w:spacing w:after="0" w:line="266" w:lineRule="auto"/>
        <w:tabs>
          <w:tab w:leader="none" w:pos="108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xml:space="preserve">. Assuming the accuracy of the Purchaser’s representations and warranties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8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spacing w:after="0" w:line="175"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8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its subsidiaries (A) have timely filed all federal, state, local and foreign income and franchise tax returns required to be filed and (B) are not in default in the payment of any taxes which were payable pursuant to said returns or any assessments with respect thereto, other than any which the Company or any of its subsidiaries is contesting in good faith; except those, in each of the cases described in clauses (A) and (B) of this paragraph (x), that would not, singularly or in the aggregate, reasonably be expected to have a Material Adverse Effect. There is no pending material dispute with any taxing authority relating to any of such returns, and the Company has no knowledge of any proposed material liability for any tax to be imposed upon the properties or assets of the Company for which there is not an adequate reserve reflected in the Company’s financial statements included in the SEC Reports.</w:t>
      </w:r>
    </w:p>
    <w:p>
      <w:pPr>
        <w:spacing w:after="0" w:line="189" w:lineRule="exact"/>
        <w:rPr>
          <w:sz w:val="20"/>
          <w:szCs w:val="20"/>
          <w:color w:val="auto"/>
        </w:rPr>
      </w:pPr>
    </w:p>
    <w:p>
      <w:pPr>
        <w:jc w:val="both"/>
        <w:ind w:left="-460" w:firstLine="644"/>
        <w:spacing w:after="0" w:line="252" w:lineRule="auto"/>
        <w:tabs>
          <w:tab w:leader="none" w:pos="8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Anti-Bribery and Anti-Money Laundering Laws</w:t>
      </w:r>
      <w:r>
        <w:rPr>
          <w:rFonts w:ascii="Times New Roman" w:cs="Times New Roman" w:eastAsia="Times New Roman" w:hAnsi="Times New Roman"/>
          <w:sz w:val="18"/>
          <w:szCs w:val="18"/>
          <w:color w:val="auto"/>
        </w:rPr>
        <w:t>. Each of the Company, its subsidiaries, its affiliates and any of their respective officers, directors, supervisors, managers, agents, or employees, each in their respective roles with the Company, has not violated, its participation in the offering will not violate, and the Company and each of its subsidiaries has instituted and maintains policies and procedures designed to ensure continued compliance in all material respects with, each of the following laws: anti-bribery laws, including but not limited to, any applicable law, rule, or regulation of any locality in which the Company does business, including but not limited to any applicable law, rule, or regulation promulgated to implement the OECD Convention on Combating Bribery of Foreign Public Officials in International Business Transactions, signed December 17, 1997, including the U.S. Foreign Corrupt Practices Act of 1977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as amended, the U.K. Bribery Act 2010 (to the extent applicable), or any other applicable law, rule or regulation of similar purposes and scope, or anti-money laundering laws,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36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8" w:name="page59"/>
    <w:bookmarkEnd w:id="58"/>
    <w:p>
      <w:pPr>
        <w:jc w:val="both"/>
        <w:ind w:left="4" w:firstLine="644"/>
        <w:spacing w:after="0" w:line="254" w:lineRule="auto"/>
        <w:tabs>
          <w:tab w:leader="none" w:pos="130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Purchaser is acting solely in the capacity of an arm’s length purchaser with respect to the Transaction Documents and the transactions contemplated thereby. The Company further acknowledges that each Purchaser is not acting as a financial advisor or fiduciary of the Company (or in any similar capacity) with respect to the Transaction Documents and the transactions contemplated thereby and any advice given by each Purchaser or any of its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48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xml:space="preserve">. Anything in this Agreement or elsewhere herein to the contrary notwithstanding (except for </w:t>
      </w:r>
      <w:r>
        <w:rPr>
          <w:rFonts w:ascii="Times New Roman" w:cs="Times New Roman" w:eastAsia="Times New Roman" w:hAnsi="Times New Roman"/>
          <w:sz w:val="18"/>
          <w:szCs w:val="18"/>
          <w:u w:val="single" w:color="auto"/>
          <w:color w:val="auto"/>
        </w:rPr>
        <w:t>Sections 3.2(f)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hereof), it is understood and acknowledged by the Company that: (i) each Purchaser has not been asked by the Company to agree, nor has each Purchaser agreed, to desist from purchasing or selling, long and/or short, securities of the Company, or “derivative” securities based on securities issued by the Company or to hold the Securities for any specified term; (ii) past or future open market or other transactions by the Purchaser, specifically including, without limitation, Short Sales or “derivative” transactions, before or after the closing of this or future private placement transactions, may negatively impact the market price of the Company’s publicly-traded securities; (iii) the Purchaser, and counter-parties in “derivative” transactions, if any, to which each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each Purchaser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43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3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352"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59" w:name="page60"/>
    <w:bookmarkEnd w:id="59"/>
    <w:p>
      <w:pPr>
        <w:jc w:val="both"/>
        <w:ind w:left="-460" w:firstLine="644"/>
        <w:spacing w:after="0" w:line="253" w:lineRule="auto"/>
        <w:tabs>
          <w:tab w:leader="none" w:pos="9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Except as would not, individually or in the aggregate, have a Material Adverse Effect, (i)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to the protection of such IT Systems and Data from unauthorized use, access, misappropriation or modification; (ii) the Company and the Subsidiaries have implemented and maintained commercially reasonable safeguards to maintain and protect its material confidential information and the integrity, continuous operation, redundancy and security of all IT Systems and Data; and (iii) the Company and the Subsidiaries have implemented backup and disaster recovery technology consistent with commercially reasonable industry standards and practices.</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Except as described in the SEC Reports, there are no options, warrants, restricted stock units, agreements, contracts or other rights in existence to purchase or acquire from the Company or any subsidiary of the Company any shares of the capital stock of the Company or any subsidiary of the Company. The description of the Company’s stock option, stock bonus and other stock plans or arrangements (the “</w:t>
      </w:r>
      <w:r>
        <w:rPr>
          <w:rFonts w:ascii="Times New Roman" w:cs="Times New Roman" w:eastAsia="Times New Roman" w:hAnsi="Times New Roman"/>
          <w:sz w:val="18"/>
          <w:szCs w:val="18"/>
          <w:u w:val="single" w:color="auto"/>
          <w:color w:val="auto"/>
        </w:rPr>
        <w:t>Company Stock Plans</w:t>
      </w:r>
      <w:r>
        <w:rPr>
          <w:rFonts w:ascii="Times New Roman" w:cs="Times New Roman" w:eastAsia="Times New Roman" w:hAnsi="Times New Roman"/>
          <w:sz w:val="18"/>
          <w:szCs w:val="18"/>
          <w:color w:val="auto"/>
        </w:rPr>
        <w:t>”), and the options (the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or other rights granted thereunder, set forth in the SEC Reports accurately and fairly presents the information required to be shown with respect to such plans, arrangements, options and rights. Each grant of an Option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 and (B) was made in accordance in all material respects with the terms of the applicable Company Stock Plan, and all applicable laws and regulatory rules or requirements, including all applicable federal securities laws.</w:t>
      </w:r>
    </w:p>
    <w:p>
      <w:pPr>
        <w:spacing w:after="0" w:line="194" w:lineRule="exact"/>
        <w:rPr>
          <w:rFonts w:ascii="Times New Roman" w:cs="Times New Roman" w:eastAsia="Times New Roman" w:hAnsi="Times New Roman"/>
          <w:sz w:val="18"/>
          <w:szCs w:val="18"/>
          <w:color w:val="auto"/>
        </w:rPr>
      </w:pPr>
    </w:p>
    <w:p>
      <w:pPr>
        <w:jc w:val="both"/>
        <w:ind w:left="-460" w:right="20" w:firstLine="644"/>
        <w:spacing w:after="0" w:line="266" w:lineRule="auto"/>
        <w:tabs>
          <w:tab w:leader="none" w:pos="101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0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a Purchaser’s request.</w:t>
      </w:r>
    </w:p>
    <w:p>
      <w:pPr>
        <w:spacing w:after="0" w:line="34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0" w:name="page61"/>
    <w:bookmarkEnd w:id="60"/>
    <w:p>
      <w:pPr>
        <w:jc w:val="both"/>
        <w:ind w:left="4" w:firstLine="644"/>
        <w:spacing w:after="0" w:line="256" w:lineRule="auto"/>
        <w:tabs>
          <w:tab w:leader="none" w:pos="149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136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w:t>
      </w:r>
      <w:r>
        <w:rPr>
          <w:rFonts w:ascii="Times New Roman" w:cs="Times New Roman" w:eastAsia="Times New Roman" w:hAnsi="Times New Roman"/>
          <w:sz w:val="18"/>
          <w:szCs w:val="18"/>
          <w:color w:val="auto"/>
        </w:rPr>
        <w:t>. Except as described in the SEC Reports and on Schedule 3.1(f), the Company and its Subsidiaries (i) are and at all times have been in material compliance with all statutes, rules and regulations applicable to the Company including, without limitation, the federal Anti-Kickback Statute (42 U.S.C. § 1320a-7b(b)), the regulations promulgated pursuant to such laws, and any successor government programs and comparable state laws, and all other local, state, federal, national, supranational and foreign laws, manual provisions, policies and administrative guidance relating to the regulation of the Company (collectively, the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(ii) have not received any notice from any court or arbitrator or governmental or regulatory authority or third party alleging or asserting noncompliance with any Applicable Laws or any licenses, exemptions, certificates, approvals, clearances, authorizations, permits, registrations and supplements or amendments thereto required by any such Applicable Laws (“</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(iii) possess all material Authorizations and such Authorizations are valid and in full force and effect and are not in violation of any term of any such Authorizations; (iv) have not received written notice of any claim, action, suit, proceeding, hearing, enforcement, investigation arbitration or other action from any court or arbitrator or governmental or regulatory authority or third party alleging that any product operation or activity is in violation of any Applicable Laws or Authorizations nor is any such claim, action, suit, proceeding, hearing, enforcement, investigation, arbitration or other action threatened; (v) have not received any written notice that any court or arbitrator or governmental or regulatory authority has taken, is taking or intends to take, action to limit, suspend, materially modify or revoke any Authorizations nor is any such limitation, suspension, modification or revocation threatened; (vi) have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accurate on the date filed (or were corrected or supplemented by a subsequent submission); and</w:t>
      </w:r>
    </w:p>
    <w:p>
      <w:pPr>
        <w:spacing w:after="0" w:line="10" w:lineRule="exact"/>
        <w:rPr>
          <w:rFonts w:ascii="Times New Roman" w:cs="Times New Roman" w:eastAsia="Times New Roman" w:hAnsi="Times New Roman"/>
          <w:sz w:val="18"/>
          <w:szCs w:val="18"/>
          <w:color w:val="auto"/>
        </w:rPr>
      </w:pPr>
    </w:p>
    <w:p>
      <w:pPr>
        <w:ind w:left="4" w:right="20" w:hanging="4"/>
        <w:spacing w:after="0" w:line="260" w:lineRule="auto"/>
        <w:tabs>
          <w:tab w:leader="none" w:pos="36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a party to any corporate integrity agreements, monitoring agreements, consent decrees, settlement orders, or similar agreements with or imposed by any governmental or regulatory authority.</w:t>
      </w:r>
    </w:p>
    <w:p>
      <w:pPr>
        <w:spacing w:after="0" w:line="352"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61" w:name="page62"/>
    <w:bookmarkEnd w:id="61"/>
    <w:p>
      <w:pPr>
        <w:jc w:val="both"/>
        <w:ind w:left="-460" w:firstLine="644"/>
        <w:spacing w:after="0" w:line="254" w:lineRule="auto"/>
        <w:tabs>
          <w:tab w:leader="none" w:pos="92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is subject to any of the “</w:t>
      </w:r>
      <w:r>
        <w:rPr>
          <w:rFonts w:ascii="Times New Roman" w:cs="Times New Roman" w:eastAsia="Times New Roman" w:hAnsi="Times New Roman"/>
          <w:sz w:val="18"/>
          <w:szCs w:val="18"/>
          <w:u w:val="single" w:color="auto"/>
          <w:color w:val="auto"/>
        </w:rPr>
        <w:t>Bad Actor</w:t>
      </w:r>
      <w:r>
        <w:rPr>
          <w:rFonts w:ascii="Times New Roman" w:cs="Times New Roman" w:eastAsia="Times New Roman" w:hAnsi="Times New Roman"/>
          <w:sz w:val="18"/>
          <w:szCs w:val="18"/>
          <w:color w:val="auto"/>
        </w:rPr>
        <w:t>”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3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 in writing, prior to the Closing Date of (i) any Disqualification Event relating to any Issuer Covered Person and (ii) any event that would, with the passage of time, become a Disqualification Event relating to any Issuer Covered Person.</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10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105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Technology</w:t>
      </w:r>
      <w:r>
        <w:rPr>
          <w:rFonts w:ascii="Times New Roman" w:cs="Times New Roman" w:eastAsia="Times New Roman" w:hAnsi="Times New Roman"/>
          <w:sz w:val="18"/>
          <w:szCs w:val="18"/>
          <w:color w:val="auto"/>
        </w:rPr>
        <w:t>. The Company’s and the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operate and perform in all material respects as required in connection with the operation of the business of the Company, the Subsidiaries and the Related Entities as currently conducted. The Company and the Subsidiaries maintain commercially reasonable controls, policies, procedures, and safeguards to maintain and protect their material confidential information and the integrity, continuous operation, redundancy and security of all IT Systems and all personal, personally identifiable, sensitive, confidential or regulated data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processed and stored thereon, and to the knowledge of the Company, there have been no breaches, incidents, violations, outages, compromises or unauthorized uses of or accesses to same, except for those that have been remedied without material cost or liability or the duty to notify any other person, nor any incidents under internal review or investigations relating to the same. The Company and the Subsidiaries are presently in compliance in all material respects with all applicable laws or statutes and all applicable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for any such noncompliance that would not have a Material Adverse Effect.</w:t>
      </w:r>
    </w:p>
    <w:p>
      <w:pPr>
        <w:spacing w:after="0" w:line="35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2" w:name="page63"/>
    <w:bookmarkEnd w:id="62"/>
    <w:p>
      <w:pPr>
        <w:ind w:left="660"/>
        <w:spacing w:after="0"/>
        <w:tabs>
          <w:tab w:leader="none" w:pos="14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 Each Purchaser hereby represents and warrants as of the date hereof and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to the Company as follows (unless as of a specific date therein, in which case they shall be accurate as of such date):</w:t>
      </w:r>
    </w:p>
    <w:p>
      <w:pPr>
        <w:spacing w:after="0" w:line="207" w:lineRule="exact"/>
        <w:rPr>
          <w:sz w:val="20"/>
          <w:szCs w:val="20"/>
          <w:color w:val="auto"/>
        </w:rPr>
      </w:pPr>
    </w:p>
    <w:p>
      <w:pPr>
        <w:jc w:val="both"/>
        <w:ind w:left="660" w:firstLine="644"/>
        <w:spacing w:after="0" w:line="253" w:lineRule="auto"/>
        <w:tabs>
          <w:tab w:leader="none" w:pos="198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Each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each Purchaser of the transactions contemplated by the Transaction Documents have been duly authorized by all necessary corporate, partnership, limited liability company or similar action, as applicable, on the part of the Purchaser. Each Transaction Document to which it is a party has been duly executed by the Purchaser, and when delivered by each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Each Purchaser is acquiring the Securities as principal for its own account and has no direct or indirect arrangement or understandings with any other persons to distribute or regarding the distribution of such Securities (this representation and warranty not limiting the Purchaser’s right to sell the Securities pursuant to the Registration Statement or otherwise in compliance with applicable federal and state securities laws). Each Purchaser is acquiring the Securities hereunder in the ordinary course of its business.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22" w:lineRule="exact"/>
        <w:tabs>
          <w:tab w:leader="none" w:pos="201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each Purchaser was offered the Securities, it was, and as of the date hereof it is, and on each date on which it exercises any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it will be either: (i) an “accredited investor” as defined in Rule 501(a)(1), (a)(2), (a)(3), (a)(7) under the Securities Act or (ii) a “qualified institutional buyer” as defined in Rule 144A(a) under the Securities Act.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both"/>
        <w:ind w:left="-460" w:firstLine="644"/>
        <w:spacing w:after="0" w:line="261" w:lineRule="auto"/>
        <w:tabs>
          <w:tab w:leader="none" w:pos="86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the Purchaser</w:t>
      </w:r>
      <w:r>
        <w:rPr>
          <w:rFonts w:ascii="Times New Roman" w:cs="Times New Roman" w:eastAsia="Times New Roman" w:hAnsi="Times New Roman"/>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Each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89" w:lineRule="auto"/>
        <w:tabs>
          <w:tab w:leader="none" w:pos="98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General Solicitation</w:t>
      </w:r>
      <w:r>
        <w:rPr>
          <w:rFonts w:ascii="Times New Roman" w:cs="Times New Roman" w:eastAsia="Times New Roman" w:hAnsi="Times New Roman"/>
          <w:sz w:val="17"/>
          <w:szCs w:val="17"/>
          <w:color w:val="auto"/>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57" w:lineRule="exact"/>
        <w:rPr>
          <w:rFonts w:ascii="Times New Roman" w:cs="Times New Roman" w:eastAsia="Times New Roman" w:hAnsi="Times New Roman"/>
          <w:sz w:val="17"/>
          <w:szCs w:val="17"/>
          <w:color w:val="auto"/>
        </w:rPr>
      </w:pPr>
    </w:p>
    <w:p>
      <w:pPr>
        <w:jc w:val="both"/>
        <w:ind w:left="-460" w:firstLine="644"/>
        <w:spacing w:after="0" w:line="253" w:lineRule="auto"/>
        <w:tabs>
          <w:tab w:leader="none" w:pos="100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Each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Each Purchaser acknowledges and agrees that neither the Placement Agent nor any Affiliate of the Placement Agent has provided each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each Purchaser agrees need not be provided to it. In connection with the issuance of the Securities to the Purchaser, neither the Placement Agent nor any of its Affiliates has acted as a financial advisor or fiduciary to the Purchaser.</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81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each Purchaser has not, nor has any Person acting on behalf of or pursuant to any understanding with the Purchaser, directly or indirectly executed any purchases or sales, including Short Sales, of the securities of the Company during the period commencing as of the time that each Purchaser first received a term sheet (written or oral) from the Company or any other Person representing the Company setting forth the material terms of the transactions contemplated hereunder and ending immediately prior to the execution hereof. Notwithstanding the foregoing, (A) in the case of a Purchaser that is a multi-managed investment vehicle whereby separate portfolio managers manage separate portions of such Purchaser’s assets, the representation set forth above shall only apply with respect to the portion of assets managed by the portfolio manager that made the investment decision to purchase the Securities covered by this Agreement, and (B) in the case of a Purchaser that has implemented internal information barriers pursuant to information controls policy to “wall-off” certain trading personnel, the representations set forth above shall only apply to such walled-off trading personnel. Other than to other Persons party to this Agreement or to the Purchaser’s representatives, including, without limitation, its officers, directors, partners, legal and other advisors, employees, agents and Affiliates, each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6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4" w:name="page65"/>
    <w:bookmarkEnd w:id="64"/>
    <w:p>
      <w:pPr>
        <w:jc w:val="both"/>
        <w:ind w:left="660" w:firstLine="644"/>
        <w:spacing w:after="0" w:line="258" w:lineRule="auto"/>
        <w:tabs>
          <w:tab w:leader="none" w:pos="202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agent, broker, investment banker, person or firm acting in a similar capacity on behalf of or under the authority of the Purchaser is or will be entitled to any broker’s or finder’s fee or any other commission or similar fee, directly or indirectly, for which the Company or any of its Affiliates after the Closing could have any liabilities in connection with this Agreement, any of the transactions contemplated by this Agreement, or on account of any action taken by the Purchaser in connection with the transactions contemplated by this Agreement.</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9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Advice</w:t>
      </w:r>
      <w:r>
        <w:rPr>
          <w:rFonts w:ascii="Times New Roman" w:cs="Times New Roman" w:eastAsia="Times New Roman" w:hAnsi="Times New Roman"/>
          <w:sz w:val="18"/>
          <w:szCs w:val="18"/>
          <w:color w:val="auto"/>
        </w:rPr>
        <w:t>. Each Purchaser understands that nothing in this Agreement or any other materials presented by or on behalf of the Company to the Purchaser in connection with the purchase of the Securities constitutes legal, tax or investment advice.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acknowledges and agrees that the representations contained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Transfer Restrictions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54" w:lineRule="auto"/>
        <w:tabs>
          <w:tab w:leader="none" w:pos="201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(other than pursuant to an effective Registration Statement or Rule 144A), any such transferee shall agree in writing to be bound by the terms of this Agreement and the Registration Rights Agreement and shall have the rights and obligations of a Purchaser under this Agreement and the Registration Rights Agreement.</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left="1420" w:hanging="776"/>
        <w:spacing w:after="0"/>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Purchasers agree to the imprinting, so long as is required by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of a legend on any of the Securities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form:</w:t>
      </w:r>
    </w:p>
    <w:p>
      <w:pPr>
        <w:spacing w:after="0" w:line="207" w:lineRule="exact"/>
        <w:rPr>
          <w:sz w:val="20"/>
          <w:szCs w:val="20"/>
          <w:color w:val="auto"/>
        </w:rPr>
      </w:pPr>
    </w:p>
    <w:p>
      <w:pPr>
        <w:jc w:val="both"/>
        <w:ind w:left="320"/>
        <w:spacing w:after="0" w:line="254"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Company’s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w:t>
      </w:r>
    </w:p>
    <w:p>
      <w:pPr>
        <w:spacing w:after="0" w:line="36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66" w:name="page67"/>
    <w:bookmarkEnd w:id="66"/>
    <w:p>
      <w:pPr>
        <w:jc w:val="both"/>
        <w:ind w:firstLine="644"/>
        <w:spacing w:after="0" w:line="218" w:lineRule="exact"/>
        <w:tabs>
          <w:tab w:leader="none" w:pos="12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Shares and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shall not contain any legend (including the legend set forth in Section 4.1(b) hereof), (i) while a registration statement (including the Registration Statement) covering the resale of such security is effective under the Securities Act, (ii) following any sale of such Shares 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pursuant to Rule 144 (assuming cashless exercise of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(iii) if requested by a Purchaser, if such Shares 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are eligible for sale under Rule 144 (assuming cashless exercise of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the Effective Date if required by the Transfer Agent to effect the removal of the legend hereunder, or if requested by a Purchaser, respectively. If all or any portion of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is exercised at a time when there is an effective registration statement to cover the resale of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or if such Shares 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may be sold under Rule 144 and the Company is then in compliance with the current public information required under Rule 144 (assuming cashless exercise of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or if the Shares 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may be sold under Rule 144 without the requirement for the Company to be in compliance with the current public information required under Rule 144 as to such Shares 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or if such legend is not otherwise required under applicable requirements of the Securities Act (including judicial interpretations and pronouncements issued by the staff of the Commission) then such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shall be issued free of all legends. The Company shall cause its counsel to issue a legal opinion to the Transfer Agent promptly after the Effective Date if required by the Transfer Agent to effect the removal of the legend hereunder or if reasonably required by a Purchaser. The Company agrees that following the Effective Date, it will, no later than the earlier of (i) one (1) Trading Day and (ii) the number of Trading Days comprising the Standard Settlement Period (as defined below) following the delivery by a Purchaser to the Company or the Transfer Agent of a certificate representing Shares 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as the case may be,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xml:space="preserve">”),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Certificates for Securities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Shares 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as the case may be, issued with a restrictive legend. Notwithstanding anything herin to the contrary, all fees and expenses incurred in connection with the removal of any legends shall be paid by the Company.</w:t>
      </w:r>
    </w:p>
    <w:p>
      <w:pPr>
        <w:spacing w:after="0" w:line="220"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Shares 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(based on the VWAP of the Common Stock on the date such Securities are submitted to the Transfer Agent) delivered for removal of the restrictive legend and subject to Section 4.1(c),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(A) such number of Shares 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Shares 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(as the case may be) and ending on the date of such delivery and payment under this Section 4.1(c).</w:t>
      </w:r>
    </w:p>
    <w:p>
      <w:pPr>
        <w:spacing w:after="0" w:line="34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82" w:right="339" w:bottom="1440" w:gutter="0" w:footer="0" w:header="0"/>
        </w:sectPr>
      </w:pPr>
    </w:p>
    <w:bookmarkStart w:id="67" w:name="page68"/>
    <w:bookmarkEnd w:id="67"/>
    <w:p>
      <w:pPr>
        <w:jc w:val="both"/>
        <w:ind w:left="660" w:firstLine="644"/>
        <w:spacing w:after="0" w:line="258" w:lineRule="auto"/>
        <w:tabs>
          <w:tab w:leader="none" w:pos="202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 Until the time that no Purchaser owns Securities,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except in the event that the Company consummates (a) any transaction or series of related transactions as a result of which any Person (together with its Affiliates) acquires then outstanding securities of the Company representing more than fifty percent (50%) of the voting control of the Company; (b) a merger or reorganization of the Company with one or more other entities in which the Company is not the surviving entity; or (c) a sale of all or substantially all of the assets of the Company, where the consummation of such transaction results in the Company no longer subject to the reporting requirements of the Exchange Act.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The Company covenants and agrees that neither it, nor any other Person acting on its behalf will provide each Purchaser or its respective agents or counsel with any information that constitutes, or the Company reasonably believes constitutes, material non-public information, unless prior thereto each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each Purchaser or any of its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each Purchaser shall issue any such press release nor otherwise make any such public statement without the prior consent of the Company, with respect to any press release of the Purchaser, or without the prior consent of the Purchaser, with respect to any press release of the Company which names the Purchaser,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the Purchaser, or include the name of each Purchaser in any filing with the Commission or any regulatory agency or Trading Market, without the prior written consent of the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each Purchaser with prior notice of such disclosure permitted under this clause (b).</w:t>
      </w:r>
    </w:p>
    <w:p>
      <w:pPr>
        <w:spacing w:after="0" w:line="20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[Reserved].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except in the event that the Company consummates: (a) any transaction or series of related transactions as a result of which any Person (together with its Affiliates) acquires then outstanding securities of the Company representing more than fifty percent (50%) of the voting control of the Company; (b) a merger or reorganization of the Company with one or more other entities in which the Company is not the surviving entity; or (c) a sale of all or substantially all of the assets of the Company, where the consummation of such transaction results in the Company no longer being subject to the reporting requirements of the Exchange Act.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both"/>
        <w:spacing w:after="0" w:line="217" w:lineRule="exact"/>
        <w:rPr>
          <w:sz w:val="20"/>
          <w:szCs w:val="20"/>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Securities, an amount in cash equal to one and one-half percent (1.5%) of the Subscription Amount of such Purchaser’s Securities on the day of a Public Information Failure and on every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(pro rated for periods totaling less than thirty days) thereafter until the earlier of (a) the date such Public Information Failure is cured and (b) such time that such public information is no longer required for the Purchasers to transfer the Shares and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pursuant to Rule 144, provided, however, that in no event will the aggregate amount of liquidated damages paid by the Company to a Purchaser exceed twelve percent (12%) of such Purchaser’s Subscription Amount. The payments to which a Purchaser shall be entitled pursuant to this Section 4.6 are referred to herein as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Public Information Failure Payments shall be paid on the earlier of (i) the last day of the calendar month during which such Public Information Failure Payments are incurred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general corporate purposes, which shall include repayment of principal on the Company’s indebtedness, capital expenditures, and funding its working capital needs, but shall not use such proceeds in violation of FCPA or OFAC regulations.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the Purchaser</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each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xml:space="preserve">”)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material breach of any of the representations, warranties, covenants or agreements made by the Company in this Agreement or in the other Transaction Documents or (b) any action instituted against each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the Registration Statement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each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may not settle, compromise or consent to the entry of any judgment in any pending or threatened action in which indemnification may be sought by any Purchaser Party hereunder (whether or not any Purchaser Party is an actual or potential party thereto), without the prior written consent of each such Purchaser party (which will not be unreasonably delayed or withheld) unless such settlement, compromise or consent provides for an unconditional and irrevocable release of each such Purchaser Party from any and all liability arising out of such claim.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are incurred; provided, however, that if it is subsequently determined by a final, non-appealable judgment of a court of competent jurisdiction that each Purchaser was not entitled to receive such payments, each Purchaser shall promptly (but in no event later than five (5) Business Days) return such payments to the Company. The indemnity agreements contained herein shall be in addition to any cause of action or similar right of any Purchaser Party against the Company or others and any liabilities the Company may be subject to pursuant to law.</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pursuant to any exercise of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w:t>
      </w:r>
    </w:p>
    <w:p>
      <w:pPr>
        <w:spacing w:after="0" w:line="171"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commercially reasonable efforts to maintain the listing or quotation of the Common Stock on the Trading Market on which it is currently listed, and concurrently with the Closing, the Company shall apply to list or quote all of the Shares and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on such Trading Market and promptly secure the listing of all of the Shares and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on such Trading Market. The Company further agrees, if the Company applies to have the Common Stock traded on any other Trading Market, it will then include in such application all of the Shares and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and will take such other action as is necessary to cause all of the Shares and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use commercially reasonable efforts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201"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u w:val="single" w:color="auto"/>
          <w:color w:val="auto"/>
        </w:rPr>
        <w:t>[Reserved].</w:t>
      </w:r>
    </w:p>
    <w:p>
      <w:pPr>
        <w:spacing w:after="0" w:line="22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19" w:lineRule="exact"/>
        <w:tabs>
          <w:tab w:leader="none" w:pos="203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five (5) days after the Effective Date, neither the Company nor any Subsidiary shall (i) issue, enter into any agreement to issue or announce the issuance or proposed issuance of any shares of Common Stock or Common Stock Equivalents or (ii) file any registration statement or amendment or supplement thereto, other than the Registration Statement pursuant to the Registration Rights Agreement or filing a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in connection with any employee benefit plan. Notwithstanding the foregoing restrictions, the Company may at any time (i) file amendments or supplements to the Company’s registration statement on Form S-3 (File No. 333-296218) or (ii) enter into and/or issue shares of Common Stock at a price no less than $20.00 per share in an “at the market” offering with the Placement Agent as sales agent.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both"/>
        <w:ind w:left="660" w:firstLine="644"/>
        <w:spacing w:after="0" w:line="242" w:lineRule="auto"/>
        <w:tabs>
          <w:tab w:leader="none" w:pos="199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thirty (30) days after the Effective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following shall not be deemed a Variable Rate Transaction: (i) the entry into and/or issuance of shares of Common Stock at a price no less than $20.00 per share in an “at the market offering” with the Placement Agent as sales agent, (ii) the entry into and/or issuance of shares of Common Stock at any price in an “at the market offering” with the Placement Agent as sales agent following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the Effective Date and (iii) any transaction involving the issuance shares of Common Stock or Common Stock Equivalents to the Purchasers. Any Purchaser shall be entitled to obtain injunctive relief against the Company to preclude any such issuance, which remedy shall be in addition to any right to collect damages.</w:t>
      </w:r>
    </w:p>
    <w:p>
      <w:pPr>
        <w:spacing w:after="0" w:line="205" w:lineRule="exact"/>
        <w:rPr>
          <w:rFonts w:ascii="Times New Roman" w:cs="Times New Roman" w:eastAsia="Times New Roman" w:hAnsi="Times New Roman"/>
          <w:sz w:val="18"/>
          <w:szCs w:val="18"/>
          <w:color w:val="auto"/>
        </w:rPr>
      </w:pPr>
    </w:p>
    <w:p>
      <w:pPr>
        <w:ind w:left="660" w:firstLine="644"/>
        <w:spacing w:after="0" w:line="282" w:lineRule="auto"/>
        <w:tabs>
          <w:tab w:leader="none" w:pos="199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this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shall not apply in respect of an Exempt Issuance, except that no Variable Rate Transaction shall be an Exempt Issuance.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xml:space="preserve">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xml:space="preserve">. Each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Each Purchaser covenants that until such time as the transactions contemplated by this Agreement are publicly disclosed by the Company pursuant to the initial press release as described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each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each Purchaser makes no representation, warranty or covenant hereby that it will not engage in effecting transactions in any securities of the Company after the time that the transactions contemplated by this Agreement are first publicly announced pursuant to the initial press release as described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(ii) each Purchaser shall not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and</w:t>
      </w:r>
    </w:p>
    <w:p>
      <w:pPr>
        <w:spacing w:after="0" w:line="4" w:lineRule="exact"/>
        <w:rPr>
          <w:sz w:val="20"/>
          <w:szCs w:val="20"/>
          <w:color w:val="auto"/>
        </w:rPr>
      </w:pPr>
    </w:p>
    <w:p>
      <w:pPr>
        <w:jc w:val="both"/>
        <w:ind w:firstLine="8"/>
        <w:spacing w:after="0" w:line="252" w:lineRule="auto"/>
        <w:tabs>
          <w:tab w:leader="none" w:pos="3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Purchaser shall not have any duty of confidentiality or duty not to trade in the securities of the Company to the Company or its subsidiaries after the issuance of the initial press release as described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Notwithstanding the foregoing, (A) in the case of a Purchaser that is a multi-managed investment vehicle whereby separate portfolio managers manage separate portions of such Purchaser’s assets, the covenant set forth above shall only apply with respect to the portion of assets managed by the portfolio manager that made the investment decision to purchase the Securities covered by this Agreement, and (B) in the case of a Purchaser that has implemented internal information barriers pursuant to information controls policy to “wall-off” certain trading personnel, this Section 4.13 shall apply only with respect to activities of such walled-off trading personnel.</w:t>
      </w:r>
    </w:p>
    <w:p>
      <w:pPr>
        <w:spacing w:after="0" w:line="19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color w:val="auto"/>
        </w:rPr>
        <w:t>Reserved.</w:t>
      </w:r>
    </w:p>
    <w:p>
      <w:pPr>
        <w:spacing w:after="0" w:line="184"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set forth the totality of the procedures required of each Purchaser in order to exercise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No additional legal opinion, other information or instructions shall be required of each Purchaser to exercise its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Without limiting the preceding sentences, no ink-original Notice of Exercise shall be required, nor shall any medallion guarantee (or other type of guarantee or notarization) of any Notice of Exercise form be required in order to exercise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The Company shall honor exercises of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and shall deliver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in accordance with the terms, conditions and time periods set forth in the Transaction Documents.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If applicable,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(if any, depending on the Company’s determination) promptly upon request of any Purchaser.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Capital Changes</w:t>
      </w:r>
      <w:r>
        <w:rPr>
          <w:rFonts w:ascii="Times New Roman" w:cs="Times New Roman" w:eastAsia="Times New Roman" w:hAnsi="Times New Roman"/>
          <w:sz w:val="18"/>
          <w:szCs w:val="18"/>
          <w:color w:val="auto"/>
        </w:rPr>
        <w:t>. From the date hereof until ninety (90) days after the Closing Date, the Company shall not undertake a reverse or forward stock split or reclassification of the Common Stock without the prior written consent of the Purchasers holding a majority in interest of the Securities, except for any reverse or forward stock split or reclassification previously approved by the Company’s stockholders and expressly contemplated by the SEC Reports.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SEC Filings; Registration Statement</w:t>
      </w:r>
      <w:r>
        <w:rPr>
          <w:rFonts w:ascii="Times New Roman" w:cs="Times New Roman" w:eastAsia="Times New Roman" w:hAnsi="Times New Roman"/>
          <w:sz w:val="18"/>
          <w:szCs w:val="18"/>
          <w:color w:val="auto"/>
        </w:rPr>
        <w:t>. As soon as practicable, the Company shall file with the Commission (i) all reports, schedules, forms, statements and other documents required to be filed by the Company under the Securities Act and the Exchange Act, including pursuant to Section 13(a) or 15(d) thereof, and (ii) the Registration Statement on Form S-1 (or, if Form S-1 is not then available to the Company, on such form of registration statement as is then available) pursuant to the terms of the Registration Rights Agreement providing for the registration of the Securities, and in any event no later than ten (10) calendar days of the date of this Agreement. The Company shall use commercially reasonable efforts to cause such Registration Statement to become effective within fifteen (15) days following the date of the Registration Rights Agreement (or within thirty (30) calendar days following the date of the Registration Rights Agreement in the event of a “limited review” by the Commission of the Registration Statement or within forty-five (45) calendar days following the date of the Registration Rights Agreement in the event of a “full review” by the Commission of the Registration Statement) and to keep such registration statement effective at all times until no Purchaser owns any Securities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each Purchaser by written notice to the Company, if the Closing has not been consummated on or before the fifth (5th) Trading Day following the date hereof; provided, however, that no such termination will affect the right of any party to sue for any breach by any other party (or parties).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the Purchaser), stamp taxes and other taxes and duties levied in connection with the delivery of any Securities to the Purchaser.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first (1st)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and any and all such notices or other communications or deliveries must be provided to each of the addresses identified on the signature pages attached hereto to be deemed given and effective with respect to any party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Purchaser.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Each Purchaser may assign any or all of its rights under this Agreement to any Person to whom each Purchaser assigns or transfers any Securities, provided that such transferee agrees in writing to be bound, with respect to the transferred Securities, by the provisions of the Transaction Documents that apply to the “Purchaser.”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The Placement Agent shall be the third-party beneficiary of the representations and warranties of the Company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the representations and warranties of each Purchaser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aw, including recovery of damages, each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each Purchaser pursuant to any Transaction Document or each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Blank Rome LLP, the legal counsel of the Placement Agent, and Blank Rome LLP, as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IN ANY ACTION, SUIT, OR PROCEEDING IN ANY JURISDICTION BROUGHT BY ANY</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firstLine="116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MOMENTUS INC.</w:t>
            </w:r>
          </w:p>
        </w:tc>
        <w:tc>
          <w:tcPr>
            <w:tcW w:w="560" w:type="dxa"/>
            <w:vAlign w:val="bottom"/>
          </w:tcPr>
          <w:p>
            <w:pPr>
              <w:spacing w:after="0"/>
              <w:rPr>
                <w:sz w:val="22"/>
                <w:szCs w:val="22"/>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414"/>
        </w:trPr>
        <w:tc>
          <w:tcPr>
            <w:tcW w:w="3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1762 Automation Parkway</w:t>
            </w:r>
          </w:p>
        </w:tc>
      </w:tr>
      <w:tr>
        <w:trPr>
          <w:trHeight w:val="216"/>
        </w:trPr>
        <w:tc>
          <w:tcPr>
            <w:tcW w:w="3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San Jose, California 95131</w:t>
            </w:r>
          </w:p>
        </w:tc>
      </w:tr>
      <w:tr>
        <w:trPr>
          <w:trHeight w:val="241"/>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6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Fax:</w:t>
            </w:r>
          </w:p>
        </w:tc>
      </w:tr>
      <w:tr>
        <w:trPr>
          <w:trHeight w:val="198"/>
        </w:trPr>
        <w:tc>
          <w:tcPr>
            <w:tcW w:w="340" w:type="dxa"/>
            <w:vAlign w:val="bottom"/>
          </w:tcPr>
          <w:p>
            <w:pPr>
              <w:spacing w:after="0"/>
              <w:rPr>
                <w:sz w:val="17"/>
                <w:szCs w:val="17"/>
                <w:color w:val="auto"/>
              </w:rPr>
            </w:pPr>
          </w:p>
        </w:tc>
        <w:tc>
          <w:tcPr>
            <w:tcW w:w="54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 John Rood</w:t>
            </w:r>
          </w:p>
        </w:tc>
        <w:tc>
          <w:tcPr>
            <w:tcW w:w="560" w:type="dxa"/>
            <w:vAlign w:val="bottom"/>
          </w:tcPr>
          <w:p>
            <w:pPr>
              <w:spacing w:after="0"/>
              <w:rPr>
                <w:sz w:val="17"/>
                <w:szCs w:val="17"/>
                <w:color w:val="auto"/>
              </w:rPr>
            </w:pPr>
          </w:p>
        </w:tc>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E-mail: [***]</w:t>
            </w:r>
          </w:p>
        </w:tc>
      </w:tr>
      <w:tr>
        <w:trPr>
          <w:trHeight w:val="234"/>
        </w:trPr>
        <w:tc>
          <w:tcPr>
            <w:tcW w:w="3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5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32"/>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5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1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Bradley Arant Boult Cummings LLP</w:t>
            </w:r>
          </w:p>
        </w:tc>
        <w:tc>
          <w:tcPr>
            <w:tcW w:w="5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1221 Broadway, Suite 2400</w:t>
            </w:r>
          </w:p>
        </w:tc>
        <w:tc>
          <w:tcPr>
            <w:tcW w:w="5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Nashville, TN 37203</w:t>
            </w:r>
          </w:p>
        </w:tc>
        <w:tc>
          <w:tcPr>
            <w:tcW w:w="5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Stephen Hinton</w:t>
            </w:r>
          </w:p>
        </w:tc>
        <w:tc>
          <w:tcPr>
            <w:tcW w:w="5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w:t>
            </w:r>
          </w:p>
        </w:tc>
        <w:tc>
          <w:tcPr>
            <w:tcW w:w="56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t>[PURCHASER SIGNATURE PAGES TO SECURITIES PURCHASE AGREEMENT]</w:t>
      </w:r>
    </w:p>
    <w:p>
      <w:pPr>
        <w:spacing w:after="0" w:line="225"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619760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97600" cy="171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18415</wp:posOffset>
            </wp:positionV>
            <wp:extent cx="49206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20615" cy="1714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17145</wp:posOffset>
            </wp:positionV>
            <wp:extent cx="56832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8325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570039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17145</wp:posOffset>
            </wp:positionV>
            <wp:extent cx="52806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806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Number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17145</wp:posOffset>
            </wp:positionV>
            <wp:extent cx="510921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0921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17145</wp:posOffset>
            </wp:positionV>
            <wp:extent cx="56318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31815" cy="17145"/>
                    </a:xfrm>
                    <a:prstGeom prst="rect">
                      <a:avLst/>
                    </a:prstGeom>
                    <a:noFill/>
                  </pic:spPr>
                </pic:pic>
              </a:graphicData>
            </a:graphic>
          </wp:anchor>
        </w:drawing>
      </w:r>
    </w:p>
    <w:p>
      <w:pPr>
        <w:spacing w:after="0" w:line="19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Address for Delivery of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Purchaser (if not same as 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14312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42303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91" w:lineRule="exact"/>
        <w:rPr>
          <w:sz w:val="20"/>
          <w:szCs w:val="20"/>
          <w:color w:val="auto"/>
        </w:rPr>
      </w:pPr>
    </w:p>
    <w:p>
      <w:pPr>
        <w:ind w:left="60"/>
        <w:spacing w:after="0" w:line="207" w:lineRule="exact"/>
        <w:tabs>
          <w:tab w:leader="none" w:pos="3320" w:val="left"/>
        </w:tabs>
        <w:rPr>
          <w:sz w:val="20"/>
          <w:szCs w:val="20"/>
          <w:color w:val="auto"/>
        </w:rPr>
      </w:pPr>
      <w:r>
        <w:rPr>
          <w:rFonts w:ascii="Times New Roman" w:cs="Times New Roman" w:eastAsia="Times New Roman" w:hAnsi="Times New Roman"/>
          <w:sz w:val="18"/>
          <w:szCs w:val="18"/>
          <w:color w:val="auto"/>
        </w:rPr>
        <w:t>Pre-Funded Warrant Shares:</w:t>
      </w:r>
      <w:r>
        <w:rPr>
          <w:sz w:val="20"/>
          <w:szCs w:val="20"/>
          <w:color w:val="auto"/>
        </w:rPr>
        <w:tab/>
      </w:r>
      <w:r>
        <w:rPr>
          <w:rFonts w:ascii="Times New Roman" w:cs="Times New Roman" w:eastAsia="Times New Roman" w:hAnsi="Times New Roman"/>
          <w:sz w:val="17"/>
          <w:szCs w:val="17"/>
          <w:color w:val="auto"/>
        </w:rPr>
        <w:t xml:space="preserve">Beneficial Ownership Blocker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4.99% or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43180</wp:posOffset>
            </wp:positionV>
            <wp:extent cx="7454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4549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17145</wp:posOffset>
            </wp:positionV>
            <wp:extent cx="136271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62710" cy="1714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55" w:lineRule="auto"/>
        <w:tabs>
          <w:tab w:leader="none" w:pos="289" w:val="left"/>
        </w:tabs>
        <w:numPr>
          <w:ilvl w:val="0"/>
          <w:numId w:val="7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first (1st)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Pre-Funded Warrant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Lock-Up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Registration Rights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351790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May 26, 2026, between Momentus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each Purchaser hereby agrees as follows:</w:t>
      </w:r>
    </w:p>
    <w:p>
      <w:pPr>
        <w:spacing w:after="0" w:line="221" w:lineRule="exact"/>
        <w:rPr>
          <w:sz w:val="20"/>
          <w:szCs w:val="20"/>
          <w:color w:val="auto"/>
        </w:rPr>
      </w:pPr>
    </w:p>
    <w:p>
      <w:pPr>
        <w:ind w:left="660" w:hanging="328"/>
        <w:spacing w:after="0" w:line="28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Capitalized terms used and not otherwise defined herein that are defined in the Purchase Agreement shall have the meanings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given such terms in the Purchase Agreement</w:t>
      </w:r>
      <w:r>
        <w:rPr>
          <w:rFonts w:ascii="Times New Roman" w:cs="Times New Roman" w:eastAsia="Times New Roman" w:hAnsi="Times New Roman"/>
          <w:sz w:val="18"/>
          <w:szCs w:val="18"/>
          <w:color w:val="auto"/>
        </w:rPr>
        <w:t>. As used in this Agreement, the following terms shall have the following meanings:</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6(c).</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Cutback Registration Statement</w:t>
      </w:r>
      <w:r>
        <w:rPr>
          <w:rFonts w:ascii="Times New Roman" w:cs="Times New Roman" w:eastAsia="Times New Roman" w:hAnsi="Times New Roman"/>
          <w:sz w:val="18"/>
          <w:szCs w:val="18"/>
          <w:color w:val="auto"/>
        </w:rPr>
        <w:t>” shall have the meaning set forth in Section 2(c).</w:t>
      </w:r>
    </w:p>
    <w:p>
      <w:pPr>
        <w:spacing w:after="0" w:line="225" w:lineRule="exact"/>
        <w:rPr>
          <w:rFonts w:ascii="Times New Roman" w:cs="Times New Roman" w:eastAsia="Times New Roman" w:hAnsi="Times New Roman"/>
          <w:sz w:val="18"/>
          <w:szCs w:val="18"/>
          <w:color w:val="auto"/>
        </w:rPr>
      </w:pPr>
    </w:p>
    <w:p>
      <w:pPr>
        <w:ind w:left="980" w:hanging="3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means, with respect to the Initial Registration Statement required to be filed hereunder, the closing of business, Eastern Time, on the 15th calendar day following the date hereof (or, in the event of a “limited review” by the Commission, the 30th calendar day following the date hereof or, in the event of a “full review” by the Commission, the 45th calendar day following the date hereof) and with respect to any additional Registration Statements which may be required pursuant to Section 2(c) or Section 3(c) (including any Cutback Registration Statement), the 30th calendar day following the date on which an additional Registration Statement is required to be filed hereunder (or, in the event of a “full review” by the Commission, the 45th calendar day following the date such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2nd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91" w:lineRule="exact"/>
        <w:rPr>
          <w:rFonts w:ascii="Times New Roman" w:cs="Times New Roman" w:eastAsia="Times New Roman" w:hAnsi="Times New Roman"/>
          <w:sz w:val="18"/>
          <w:szCs w:val="18"/>
          <w:color w:val="auto"/>
        </w:rPr>
      </w:pPr>
    </w:p>
    <w:p>
      <w:pPr>
        <w:ind w:left="660" w:right="54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225" w:lineRule="exact"/>
        <w:rPr>
          <w:rFonts w:ascii="Times New Roman" w:cs="Times New Roman" w:eastAsia="Times New Roman" w:hAnsi="Times New Roman"/>
          <w:sz w:val="18"/>
          <w:szCs w:val="18"/>
          <w:color w:val="auto"/>
        </w:rPr>
      </w:pPr>
    </w:p>
    <w:p>
      <w:pPr>
        <w:ind w:left="98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with respect to the Initial Registration Statement required hereunder, the tenth (10th) Trading Day following the date hereof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jc w:val="both"/>
        <w:ind w:left="320" w:hanging="3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7" w:lineRule="exact"/>
        <w:rPr>
          <w:sz w:val="20"/>
          <w:szCs w:val="20"/>
          <w:color w:val="auto"/>
        </w:rPr>
      </w:pPr>
    </w:p>
    <w:p>
      <w:pPr>
        <w:jc w:val="both"/>
        <w:ind w:left="320" w:hanging="323"/>
        <w:spacing w:after="0" w:line="21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as of any date of determination, (a) all of the shares of Common Stock or shares of Common Stock underlying the Pre-Funded Warrants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purchased pursuant to the Purchase Agreement, (b) all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Shares then issued and issuable upon exercise of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(assuming on such date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are exercised in full for cash without regard to any exercise limitations therein) purchased pursuant to the Purchase Agreement, (d) any additional shares of Common Stock issued and issuable in connection with any anti-dilution provisions in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(without giving effect to any limitations on exercise set forth in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Funded Warrants) and (e)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and all Warrants are exercised by “cashless exercise” as provided in Section 2(c) of each of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as reasonably determined by the Company, upon the advice of counsel to the Company.</w:t>
      </w:r>
    </w:p>
    <w:p>
      <w:pPr>
        <w:spacing w:after="0" w:line="37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86" w:name="page87"/>
    <w:bookmarkEnd w:id="86"/>
    <w:p>
      <w:pPr>
        <w:jc w:val="both"/>
        <w:ind w:left="320" w:hanging="3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left="320" w:hanging="3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left="320" w:hanging="3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left="320" w:right="20" w:hanging="3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87" w:name="page88"/>
    <w:bookmarkEnd w:id="87"/>
    <w:p>
      <w:pPr>
        <w:ind w:left="328" w:hanging="328"/>
        <w:spacing w:after="0"/>
        <w:tabs>
          <w:tab w:leader="none" w:pos="3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8" w:hanging="328"/>
        <w:spacing w:after="0" w:line="252" w:lineRule="auto"/>
        <w:tabs>
          <w:tab w:leader="none" w:pos="3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(which is the case as of the date hereof), in which case such registration shall be on another appropriate form in accordance herewith, subject to the provisions of Section 2(e)) and shall contain (unless otherwise directed by at least 85% in interest of the Holders)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required to be named as an “underwriter” without such Holder’s express prior written consent. Subject to the terms of this Agreement, the Company shall use commercially reasonable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commercially reasonable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telephonically request effectiveness of a Registration Statement as of 5:00 p.m. (New York City time) on a Trading Day. The Company shall immediately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2(d).</w:t>
      </w:r>
    </w:p>
    <w:p>
      <w:pPr>
        <w:spacing w:after="0" w:line="187"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commercially reasonable efforts to advocate with the Commission for the registration of all of the Registrable Securities in accordance with the SEC Guidance, including without limitation, Compliance and Disclosure Interpretation 612.09.</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D0D0D"/>
        </w:rPr>
        <w:t>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commercially reasonable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D0D0D"/>
        </w:rPr>
        <w:t>First, the Company shall reduce or eliminate any securities to be included other than Registrable Securities; and</w:t>
      </w:r>
    </w:p>
    <w:p>
      <w:pPr>
        <w:spacing w:after="0" w:line="39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88" w:name="page89"/>
    <w:bookmarkEnd w:id="88"/>
    <w:p>
      <w:pPr>
        <w:jc w:val="both"/>
        <w:ind w:left="968" w:hanging="320"/>
        <w:spacing w:after="0" w:line="235" w:lineRule="exact"/>
        <w:tabs>
          <w:tab w:leader="none" w:pos="96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D0D0D"/>
        </w:rPr>
        <w:t xml:space="preserve">Second, the Company shall reduce Registrable Securities represented by </w:t>
      </w:r>
      <w:r>
        <w:rPr>
          <w:rFonts w:ascii="Times New Roman" w:cs="Times New Roman" w:eastAsia="Times New Roman" w:hAnsi="Times New Roman"/>
          <w:sz w:val="18"/>
          <w:szCs w:val="18"/>
          <w:color w:val="000000"/>
        </w:rPr>
        <w:t>Pre</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Funded</w:t>
      </w:r>
      <w:r>
        <w:rPr>
          <w:rFonts w:ascii="Times New Roman" w:cs="Times New Roman" w:eastAsia="Times New Roman" w:hAnsi="Times New Roman"/>
          <w:sz w:val="18"/>
          <w:szCs w:val="18"/>
          <w:color w:val="0D0D0D"/>
        </w:rPr>
        <w:t xml:space="preserve"> Warrant Shares (applied, in the case that some </w:t>
      </w:r>
      <w:r>
        <w:rPr>
          <w:rFonts w:ascii="Times New Roman" w:cs="Times New Roman" w:eastAsia="Times New Roman" w:hAnsi="Times New Roman"/>
          <w:sz w:val="18"/>
          <w:szCs w:val="18"/>
          <w:color w:val="000000"/>
        </w:rPr>
        <w:t>Pre</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 xml:space="preserve">Funded </w:t>
      </w:r>
      <w:r>
        <w:rPr>
          <w:rFonts w:ascii="Times New Roman" w:cs="Times New Roman" w:eastAsia="Times New Roman" w:hAnsi="Times New Roman"/>
          <w:sz w:val="18"/>
          <w:szCs w:val="18"/>
          <w:color w:val="0D0D0D"/>
        </w:rPr>
        <w:t>Warrant Shares may be registered, to the Holders on a pro rata basis based on the total number of unregistered</w:t>
      </w:r>
      <w:r>
        <w:rPr>
          <w:rFonts w:ascii="Times New Roman" w:cs="Times New Roman" w:eastAsia="Times New Roman" w:hAnsi="Times New Roman"/>
          <w:sz w:val="18"/>
          <w:szCs w:val="18"/>
          <w:color w:val="000000"/>
        </w:rPr>
        <w:t xml:space="preserve"> Pre</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 xml:space="preserve">Funded </w:t>
      </w:r>
      <w:r>
        <w:rPr>
          <w:rFonts w:ascii="Times New Roman" w:cs="Times New Roman" w:eastAsia="Times New Roman" w:hAnsi="Times New Roman"/>
          <w:sz w:val="18"/>
          <w:szCs w:val="18"/>
          <w:color w:val="0D0D0D"/>
        </w:rPr>
        <w:t>Warrant Shares held by such Holders.</w:t>
      </w:r>
    </w:p>
    <w:p>
      <w:pPr>
        <w:spacing w:after="0" w:line="200" w:lineRule="exact"/>
        <w:rPr>
          <w:sz w:val="20"/>
          <w:szCs w:val="20"/>
          <w:color w:val="auto"/>
        </w:rPr>
      </w:pPr>
    </w:p>
    <w:p>
      <w:pPr>
        <w:jc w:val="both"/>
        <w:ind w:left="328"/>
        <w:spacing w:after="0" w:line="256" w:lineRule="auto"/>
        <w:rPr>
          <w:sz w:val="20"/>
          <w:szCs w:val="20"/>
          <w:color w:val="auto"/>
        </w:rPr>
      </w:pPr>
      <w:r>
        <w:rPr>
          <w:rFonts w:ascii="Times New Roman" w:cs="Times New Roman" w:eastAsia="Times New Roman" w:hAnsi="Times New Roman"/>
          <w:sz w:val="18"/>
          <w:szCs w:val="18"/>
          <w:color w:val="0D0D0D"/>
        </w:rPr>
        <w:t xml:space="preserve">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w:t>
      </w:r>
      <w:r>
        <w:rPr>
          <w:rFonts w:ascii="Times New Roman" w:cs="Times New Roman" w:eastAsia="Times New Roman" w:hAnsi="Times New Roman"/>
          <w:sz w:val="18"/>
          <w:szCs w:val="18"/>
          <w:color w:val="000000"/>
        </w:rPr>
        <w:t>commercially reasonable efforts to file with the Commission, as promptly as allowed by Commission or SEC Guidance</w:t>
      </w:r>
      <w:r>
        <w:rPr>
          <w:rFonts w:ascii="Times New Roman" w:cs="Times New Roman" w:eastAsia="Times New Roman" w:hAnsi="Times New Roman"/>
          <w:sz w:val="18"/>
          <w:szCs w:val="18"/>
          <w:color w:val="0D0D0D"/>
        </w:rPr>
        <w:t xml:space="preserve"> </w:t>
      </w:r>
      <w:r>
        <w:rPr>
          <w:rFonts w:ascii="Times New Roman" w:cs="Times New Roman" w:eastAsia="Times New Roman" w:hAnsi="Times New Roman"/>
          <w:sz w:val="18"/>
          <w:szCs w:val="18"/>
          <w:color w:val="000000"/>
        </w:rPr>
        <w:t>provided to the Company or to registrants of securities in general, one or more registration statements on Form S-3 or such other form available to register for resale those Registrable Securities that were not registered for resale on the Initial Registration Statement, as amended (the “</w:t>
      </w:r>
      <w:r>
        <w:rPr>
          <w:rFonts w:ascii="Times New Roman" w:cs="Times New Roman" w:eastAsia="Times New Roman" w:hAnsi="Times New Roman"/>
          <w:sz w:val="18"/>
          <w:szCs w:val="18"/>
          <w:u w:val="single" w:color="auto"/>
          <w:color w:val="000000"/>
        </w:rPr>
        <w:t>Cutback</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Registration Statement</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left="328" w:hanging="328"/>
        <w:spacing w:after="0" w:line="251" w:lineRule="auto"/>
        <w:tabs>
          <w:tab w:leader="none" w:pos="32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Initial Registration Statement is not filed on or prior to its Filing Date (if the Company files the Initial Registration Statement without affording the Holders the opportunity to review and comment on the same as required by Section 3(a) herein, the Company shall be deemed to have not satisfied this clause (i)), or (ii) if the Cutback Registration Statement, if applicable, is not filed as promptly as allowed by Commission or SEC Guidance provided to the Company or to registrants of securities in general or (iii)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(iv)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(v) a Registration Statement (including the Initial Registration Statement or any Cutback Registration Statement) is not declared effective by the Commission by the applicable Effectiveness Date, or (vi)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and for purposes of clauses (i) and (v), the date on which such Event occurs, and for purpose of clause (ii) the date on which such five (5) Trading Day period is exceeded, and for purpose of clause (iv) the date which such ten (10) calendar day period is exceeded, and for purpose of clause (vi) the date on which such ten (10) or fifteen (15) calendar day period, as applicable, is exceeded being referred to as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1.5% multiplied by the aggregate Subscription Amount paid by such Holder pursuant to the Purchase Agreement. The parties agree that the maximum aggregate liquidated damages payable to a Holder under this Agreement shall be 10.5% of the aggregate Subscription Amount paid by such Holder pursuant to the Purchase Agreement.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37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1" w:right="339" w:bottom="1440" w:gutter="0" w:footer="0" w:header="0"/>
        </w:sectPr>
      </w:pPr>
    </w:p>
    <w:bookmarkStart w:id="89" w:name="page90"/>
    <w:bookmarkEnd w:id="89"/>
    <w:p>
      <w:pPr>
        <w:jc w:val="both"/>
        <w:ind w:left="328" w:hanging="328"/>
        <w:spacing w:after="0" w:line="256" w:lineRule="auto"/>
        <w:tabs>
          <w:tab w:leader="none" w:pos="32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 It is acknowledged that, notwithstanding anything herein to the contrary, as of the date hereof, the Company is not eligible to use Form S-3 to register the resale of the Registrable Securities.</w:t>
      </w:r>
    </w:p>
    <w:p>
      <w:pPr>
        <w:spacing w:after="0" w:line="187"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62" w:lineRule="exact"/>
        <w:rPr>
          <w:sz w:val="20"/>
          <w:szCs w:val="20"/>
          <w:color w:val="auto"/>
        </w:rPr>
      </w:pPr>
    </w:p>
    <w:p>
      <w:pPr>
        <w:ind w:left="328" w:hanging="328"/>
        <w:spacing w:after="0"/>
        <w:tabs>
          <w:tab w:leader="none" w:pos="32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In connection with the Company’s registration obligations hereunder, the Company shall:</w:t>
      </w:r>
    </w:p>
    <w:p>
      <w:pPr>
        <w:spacing w:after="0" w:line="225" w:lineRule="exact"/>
        <w:rPr>
          <w:sz w:val="20"/>
          <w:szCs w:val="20"/>
          <w:color w:val="auto"/>
        </w:rPr>
      </w:pPr>
    </w:p>
    <w:p>
      <w:pPr>
        <w:jc w:val="both"/>
        <w:ind w:left="328" w:hanging="328"/>
        <w:spacing w:after="0" w:line="242" w:lineRule="auto"/>
        <w:tabs>
          <w:tab w:leader="none" w:pos="3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provided, that the Company shall redact any sections of such documents that may contain material non-public information unless the Holder consents in writing to receive such information and agree to hold it in confidence..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 not less than two (2) Trading Days prior to the Filing Date or by the end of the 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following the date on which such Holder receives draft materials in accordance with this Section. Each Holder shall provide any additional information as may be reasonably requested by the Company and is necessary for purposes of complying with requirements under applicable securities laws and regulations or rules of any applicable stock exchange where the Common Stock is then listed.</w:t>
      </w:r>
    </w:p>
    <w:p>
      <w:pPr>
        <w:spacing w:after="0" w:line="37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90" w:name="page91"/>
    <w:bookmarkEnd w:id="90"/>
    <w:p>
      <w:pPr>
        <w:jc w:val="both"/>
        <w:ind w:left="328" w:hanging="328"/>
        <w:spacing w:after="0" w:line="253" w:lineRule="auto"/>
        <w:tabs>
          <w:tab w:leader="none" w:pos="3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9"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34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91" w:name="page92"/>
    <w:bookmarkEnd w:id="91"/>
    <w:p>
      <w:pPr>
        <w:jc w:val="both"/>
        <w:ind w:left="328" w:hanging="328"/>
        <w:spacing w:after="0" w:line="251" w:lineRule="auto"/>
        <w:tabs>
          <w:tab w:leader="none" w:pos="3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 In the event that any notice or communication provided to a Holder contains or is deemed to contain material, non-public information regarding the Company or any of its Subsidiaries, the Company shall, as promptly as practicable and in any event within one (1) Business Day, publicly disclose such information in a manner compliant with Regulation FD, so as to cleanse such information.</w:t>
      </w:r>
    </w:p>
    <w:p>
      <w:pPr>
        <w:spacing w:after="0" w:line="204"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35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92" w:name="page93"/>
    <w:bookmarkEnd w:id="92"/>
    <w:p>
      <w:pPr>
        <w:jc w:val="both"/>
        <w:ind w:left="328" w:hanging="328"/>
        <w:spacing w:after="0" w:line="266" w:lineRule="auto"/>
        <w:tabs>
          <w:tab w:leader="none" w:pos="32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or ook entry statements, as applicable,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commercially reasonable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60 calendar days (which need not be consecutive days) in any 12-month period. The Company shall use its best efforts to minimize the duration and frequency of any such suspension, and shall not exercise its right to suspend sales for the purpose of limiting or restricting any Holder’s ability to sell Registrable Securities for competitive or other non-disclosure-related reasons.</w:t>
      </w:r>
    </w:p>
    <w:p>
      <w:pPr>
        <w:spacing w:after="0" w:line="36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93" w:name="page94"/>
    <w:bookmarkEnd w:id="93"/>
    <w:p>
      <w:pPr>
        <w:jc w:val="both"/>
        <w:ind w:left="328" w:hanging="328"/>
        <w:spacing w:after="0" w:line="256" w:lineRule="auto"/>
        <w:tabs>
          <w:tab w:leader="none" w:pos="32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Acknowledging that the Company is not currently eligible to use Form S-3 for the registration of the resale of Registratble Securities, the Company shall use commercially reasonable efforts to maintain eligibility for use of Form S-3 (or any successor form thereto) for the registration of the resale of Registrable Securities.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7" w:lineRule="exact"/>
        <w:rPr>
          <w:sz w:val="20"/>
          <w:szCs w:val="20"/>
          <w:color w:val="auto"/>
        </w:rPr>
      </w:pPr>
    </w:p>
    <w:p>
      <w:pPr>
        <w:jc w:val="both"/>
        <w:ind w:left="328" w:hanging="328"/>
        <w:spacing w:after="0" w:line="252" w:lineRule="auto"/>
        <w:tabs>
          <w:tab w:leader="none" w:pos="3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underwriter fees or commissions or similar commissions of any Holder or, except to the extent provided for in the Transaction Documents, any legal fees or other costs of the Holders.</w:t>
      </w:r>
    </w:p>
    <w:p>
      <w:pPr>
        <w:spacing w:after="0" w:line="36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94" w:name="page95"/>
    <w:bookmarkEnd w:id="94"/>
    <w:p>
      <w:pPr>
        <w:ind w:left="368" w:hanging="368"/>
        <w:spacing w:after="0"/>
        <w:tabs>
          <w:tab w:leader="none" w:pos="36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8" w:hanging="328"/>
        <w:spacing w:after="0" w:line="251" w:lineRule="auto"/>
        <w:tabs>
          <w:tab w:leader="none" w:pos="32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failure to register or qualify Registrable Securities in any state where the Company or its agents have affirmatively undertaken or agreed in writing that the Company (the undertaking of any underwriter being attributed to the Company) will undertake such registration or qualification on behalf of the Holder of such Registrable Securities (provided, that in such instance the Company shall not be so liable if it has undertaken its reasonable best efforts to so register or qualify such Registrable Securities), or (3)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(4)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or alleged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37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95" w:name="page96"/>
    <w:bookmarkEnd w:id="95"/>
    <w:p>
      <w:pPr>
        <w:jc w:val="both"/>
        <w:ind w:left="328" w:hanging="328"/>
        <w:spacing w:after="0" w:line="252" w:lineRule="auto"/>
        <w:tabs>
          <w:tab w:leader="none" w:pos="3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or alleged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94"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36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96" w:name="page97"/>
    <w:bookmarkEnd w:id="96"/>
    <w:p>
      <w:pPr>
        <w:jc w:val="both"/>
        <w:ind w:left="328"/>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87" w:lineRule="exact"/>
        <w:rPr>
          <w:sz w:val="20"/>
          <w:szCs w:val="20"/>
          <w:color w:val="auto"/>
        </w:rPr>
      </w:pPr>
    </w:p>
    <w:p>
      <w:pPr>
        <w:jc w:val="both"/>
        <w:ind w:left="328"/>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left="328" w:hanging="328"/>
        <w:spacing w:after="0" w:line="253" w:lineRule="auto"/>
        <w:tabs>
          <w:tab w:leader="none" w:pos="3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36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97" w:name="page98"/>
    <w:bookmarkEnd w:id="97"/>
    <w:p>
      <w:pPr>
        <w:jc w:val="both"/>
        <w:ind w:left="328"/>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left="32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62" w:lineRule="exact"/>
        <w:rPr>
          <w:sz w:val="20"/>
          <w:szCs w:val="20"/>
          <w:color w:val="auto"/>
        </w:rPr>
      </w:pPr>
    </w:p>
    <w:p>
      <w:pPr>
        <w:ind w:left="368" w:hanging="368"/>
        <w:spacing w:after="0"/>
        <w:tabs>
          <w:tab w:leader="none" w:pos="36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8" w:hanging="328"/>
        <w:spacing w:after="0" w:line="255" w:lineRule="auto"/>
        <w:tabs>
          <w:tab w:leader="none" w:pos="32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failure of any party to exercise any right or remedy under this Agreement or otherwise, or delay by a party to exercise such right or remedy, shall not operate as a waiver thereof.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Piggyback on Registrations; Prohibition on Filing Other Registration Statements</w:t>
      </w:r>
      <w:r>
        <w:rPr>
          <w:rFonts w:ascii="Times New Roman" w:cs="Times New Roman" w:eastAsia="Times New Roman" w:hAnsi="Times New Roman"/>
          <w:sz w:val="18"/>
          <w:szCs w:val="18"/>
          <w:color w:val="auto"/>
        </w:rPr>
        <w:t>.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 so long as no new securities are registered on any such existing registration statements.</w:t>
      </w:r>
    </w:p>
    <w:p>
      <w:pPr>
        <w:spacing w:after="0" w:line="35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98" w:name="page99"/>
    <w:bookmarkEnd w:id="98"/>
    <w:p>
      <w:pPr>
        <w:jc w:val="both"/>
        <w:ind w:left="328" w:hanging="328"/>
        <w:spacing w:after="0" w:line="255" w:lineRule="auto"/>
        <w:tabs>
          <w:tab w:leader="none" w:pos="32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commercially reasonable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67%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 who continue to hold any of the Registrable Securities.</w:t>
      </w:r>
    </w:p>
    <w:p>
      <w:pPr>
        <w:spacing w:after="0" w:line="19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35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99" w:name="page100"/>
    <w:bookmarkEnd w:id="99"/>
    <w:p>
      <w:pPr>
        <w:jc w:val="both"/>
        <w:ind w:left="328" w:hanging="328"/>
        <w:spacing w:after="0" w:line="258" w:lineRule="auto"/>
        <w:tabs>
          <w:tab w:leader="none" w:pos="32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on </w:t>
      </w:r>
      <w:r>
        <w:rPr>
          <w:rFonts w:ascii="Times New Roman" w:cs="Times New Roman" w:eastAsia="Times New Roman" w:hAnsi="Times New Roman"/>
          <w:sz w:val="18"/>
          <w:szCs w:val="18"/>
          <w:u w:val="single" w:color="auto"/>
          <w:color w:val="auto"/>
        </w:rPr>
        <w:t>Schedule 6(i)</w:t>
      </w:r>
      <w:r>
        <w:rPr>
          <w:rFonts w:ascii="Times New Roman" w:cs="Times New Roman" w:eastAsia="Times New Roman" w:hAnsi="Times New Roman"/>
          <w:sz w:val="18"/>
          <w:szCs w:val="18"/>
          <w:color w:val="auto"/>
        </w:rPr>
        <w:t>, neither the Company nor any of its Subsidiaries has previously entered into any agreement granting any registration rights with respect to any of its securities to any Person that have not been satisfied in full.</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33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100" w:name="page101"/>
    <w:bookmarkEnd w:id="100"/>
    <w:p>
      <w:pPr>
        <w:jc w:val="both"/>
        <w:ind w:left="328" w:hanging="328"/>
        <w:spacing w:after="0" w:line="253" w:lineRule="auto"/>
        <w:tabs>
          <w:tab w:leader="none" w:pos="32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Name: John Rood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335153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2" w:name="page103"/>
    <w:bookmarkEnd w:id="102"/>
    <w:p>
      <w:pPr>
        <w:jc w:val="right"/>
        <w:ind w:right="3139"/>
        <w:spacing w:after="0"/>
        <w:rPr>
          <w:sz w:val="20"/>
          <w:szCs w:val="20"/>
          <w:color w:val="auto"/>
        </w:rPr>
      </w:pPr>
      <w:r>
        <w:rPr>
          <w:rFonts w:ascii="Times New Roman" w:cs="Times New Roman" w:eastAsia="Times New Roman" w:hAnsi="Times New Roman"/>
          <w:sz w:val="18"/>
          <w:szCs w:val="18"/>
          <w:color w:val="auto"/>
        </w:rPr>
        <w:t>[SIGNATURE PAGE OF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249428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18415</wp:posOffset>
            </wp:positionV>
            <wp:extent cx="252857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17145</wp:posOffset>
            </wp:positionV>
            <wp:extent cx="283718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285432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3" w:name="page104"/>
    <w:bookmarkEnd w:id="103"/>
    <w:p>
      <w:pPr>
        <w:ind w:left="1056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(together,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39" w:lineRule="exact"/>
        <w:rPr>
          <w:sz w:val="20"/>
          <w:szCs w:val="20"/>
          <w:color w:val="auto"/>
        </w:rPr>
      </w:pPr>
    </w:p>
    <w:p>
      <w:pPr>
        <w:ind w:left="1300" w:hanging="320"/>
        <w:spacing w:after="0" w:line="207" w:lineRule="exact"/>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solicits purchasers;</w:t>
      </w:r>
    </w:p>
    <w:p>
      <w:pPr>
        <w:spacing w:after="0" w:line="225" w:lineRule="exact"/>
        <w:rPr>
          <w:rFonts w:ascii="Times New Roman" w:cs="Times New Roman" w:eastAsia="Times New Roman" w:hAnsi="Times New Roman"/>
          <w:sz w:val="18"/>
          <w:szCs w:val="18"/>
          <w:color w:val="auto"/>
        </w:rPr>
      </w:pPr>
    </w:p>
    <w:p>
      <w:pPr>
        <w:ind w:left="1300" w:right="320" w:hanging="320"/>
        <w:spacing w:after="0" w:line="245" w:lineRule="exact"/>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will attempt to sell the securities as agent but may position and resell a portion of the block as principal to facilitate the transaction;</w:t>
      </w:r>
    </w:p>
    <w:p>
      <w:pPr>
        <w:spacing w:after="0" w:line="158"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as principal and resale by the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for its account;</w:t>
      </w:r>
    </w:p>
    <w:p>
      <w:pPr>
        <w:spacing w:after="0" w:line="26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84" w:lineRule="exact"/>
        <w:rPr>
          <w:rFonts w:ascii="Times New Roman" w:cs="Times New Roman" w:eastAsia="Times New Roman" w:hAnsi="Times New Roman"/>
          <w:sz w:val="18"/>
          <w:szCs w:val="18"/>
          <w:color w:val="auto"/>
        </w:rPr>
      </w:pPr>
    </w:p>
    <w:p>
      <w:pPr>
        <w:ind w:left="1300" w:right="40" w:hanging="320"/>
        <w:spacing w:after="0" w:line="245" w:lineRule="exact"/>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that agree with the Selling Stockholders to sell a specified number of such securities at a stipulated price per security;</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21"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engaged by the Selling Stockholders may arrange for other brokers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to participate in sales.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may receive commissions or discounts from the Selling Stockholders (or, if any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securities covered hereby will be sold only through registered or licensed brokers or dealers if required under applicable state securities laws. In addition, in certain states, the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securities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common stock being offered by the selling shareholders are those previously issued to the selling shareholders, and those issuable to the selling shareholders, upon exercise of the warrants. For additional information regarding the issuances of those shares of common stock and warrants, see “Private Placement of Shares of Common Stock and Warrants” above. We are registering the shares of common stock in order to permit the selling shareholders to offer the shares for resale from time to time. Except for the ownership of the shares of common stock and the warrants, the selling shareholders have not had any material relationship with us within the past three years.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and warrants, as of ________, 2026, assuming exercise of the warrants held by the selling shareholders on that date, without regard to any limitations on exercises.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shareholders, this prospectus generally covers the resale of the sum of (i) the number of shares of common stock issued to the selling shareholders in the “Private Placement of Shares of Common Stock and Warrants”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shareholders pursuant to this prospectus.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warrants [and other warrants held by selling shareholders], a selling shareholder may not exercise [the] [any such] warrants to the extent such exercise would cause such selling shareholder,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shareholders may sell all, some or none of their shares in this offering. See “Plan of Distribution.”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 of shares of Common</w:t>
            </w:r>
          </w:p>
        </w:tc>
        <w:tc>
          <w:tcPr>
            <w:tcW w:w="246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Maximum Number of shares of</w:t>
            </w:r>
          </w:p>
        </w:tc>
        <w:tc>
          <w:tcPr>
            <w:tcW w:w="24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 Common</w:t>
            </w:r>
          </w:p>
        </w:tc>
      </w:tr>
      <w:tr>
        <w:trPr>
          <w:trHeight w:val="20"/>
        </w:trPr>
        <w:tc>
          <w:tcPr>
            <w:tcW w:w="2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196"/>
        </w:trPr>
        <w:tc>
          <w:tcPr>
            <w:tcW w:w="2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38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Stock Owned Prior to Offering</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Common Stock to be Sold</w:t>
            </w:r>
          </w:p>
        </w:tc>
        <w:tc>
          <w:tcPr>
            <w:tcW w:w="26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Stock Owned After Offering</w:t>
            </w:r>
          </w:p>
        </w:tc>
      </w:tr>
      <w:tr>
        <w:trPr>
          <w:trHeight w:val="20"/>
        </w:trPr>
        <w:tc>
          <w:tcPr>
            <w:tcW w:w="3800" w:type="dxa"/>
            <w:vAlign w:val="bottom"/>
            <w:gridSpan w:val="2"/>
          </w:tcPr>
          <w:p>
            <w:pPr>
              <w:spacing w:after="0" w:line="20" w:lineRule="exact"/>
              <w:rPr>
                <w:sz w:val="1"/>
                <w:szCs w:val="1"/>
                <w:color w:val="auto"/>
              </w:rPr>
            </w:pPr>
          </w:p>
        </w:tc>
        <w:tc>
          <w:tcPr>
            <w:tcW w:w="23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238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5"/>
          </w:tcPr>
          <w:p>
            <w:pPr>
              <w:jc w:val="center"/>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Pursuant to this Prospectus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78"/>
        </w:trPr>
        <w:tc>
          <w:tcPr>
            <w:tcW w:w="220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gridSpan w:val="3"/>
          </w:tcPr>
          <w:p>
            <w:pPr>
              <w:ind w:left="1680"/>
              <w:spacing w:after="0"/>
              <w:rPr>
                <w:sz w:val="20"/>
                <w:szCs w:val="20"/>
                <w:color w:val="auto"/>
              </w:rPr>
            </w:pPr>
            <w:r>
              <w:rPr>
                <w:rFonts w:ascii="Times New Roman" w:cs="Times New Roman" w:eastAsia="Times New Roman" w:hAnsi="Times New Roman"/>
                <w:sz w:val="14"/>
                <w:szCs w:val="14"/>
                <w:color w:val="auto"/>
              </w:rPr>
              <w:t>B-1</w:t>
            </w: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
        </w:trPr>
        <w:tc>
          <w:tcPr>
            <w:tcW w:w="22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beneficial owner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Momentus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5"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Stockholder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-1917065</wp:posOffset>
            </wp:positionV>
            <wp:extent cx="606044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60440"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-1214120</wp:posOffset>
            </wp:positionV>
            <wp:extent cx="606044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60440"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-391160</wp:posOffset>
            </wp:positionV>
            <wp:extent cx="606044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26035</wp:posOffset>
            </wp:positionV>
            <wp:extent cx="661797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684085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408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14605</wp:posOffset>
            </wp:positionV>
            <wp:extent cx="671195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11950" cy="17145"/>
                    </a:xfrm>
                    <a:prstGeom prst="rect">
                      <a:avLst/>
                    </a:prstGeom>
                    <a:noFill/>
                  </pic:spPr>
                </pic:pic>
              </a:graphicData>
            </a:graphic>
          </wp:anchor>
        </w:drawing>
      </w:r>
    </w:p>
    <w:p>
      <w:pPr>
        <w:spacing w:after="0" w:line="223"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184" w:lineRule="exact"/>
        <w:rPr>
          <w:sz w:val="20"/>
          <w:szCs w:val="20"/>
          <w:color w:val="auto"/>
        </w:rPr>
      </w:pPr>
    </w:p>
    <w:p>
      <w:pPr>
        <w:ind w:left="2820"/>
        <w:spacing w:after="0" w:line="207" w:lineRule="exact"/>
        <w:tabs>
          <w:tab w:leader="none" w:pos="39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1300" w:hanging="644"/>
        <w:spacing w:after="0"/>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“yes” to Section 3(a), did you receive your Registrable Securities as compensation for investment banking services to the Company?</w:t>
      </w:r>
    </w:p>
    <w:p>
      <w:pPr>
        <w:spacing w:after="0" w:line="184" w:lineRule="exact"/>
        <w:rPr>
          <w:sz w:val="20"/>
          <w:szCs w:val="20"/>
          <w:color w:val="auto"/>
        </w:rPr>
      </w:pPr>
    </w:p>
    <w:p>
      <w:pPr>
        <w:ind w:left="2820"/>
        <w:spacing w:after="0" w:line="207" w:lineRule="exact"/>
        <w:tabs>
          <w:tab w:leader="none" w:pos="39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ind w:left="328"/>
        <w:spacing w:after="0"/>
        <w:tabs>
          <w:tab w:leader="none" w:pos="948" w:val="left"/>
        </w:tabs>
        <w:rPr>
          <w:sz w:val="20"/>
          <w:szCs w:val="20"/>
          <w:color w:val="auto"/>
        </w:rPr>
      </w:pPr>
      <w:r>
        <w:rPr>
          <w:rFonts w:ascii="Times New Roman" w:cs="Times New Roman" w:eastAsia="Times New Roman" w:hAnsi="Times New Roman"/>
          <w:sz w:val="17"/>
          <w:szCs w:val="17"/>
          <w:color w:val="auto"/>
        </w:rPr>
        <w:t>Note:</w:t>
        <w:tab/>
        <w:t>If “no” to Section 3(b), the Commission’s staff has indicated that you should be identified as an underwriter in the Registration Statement.</w:t>
      </w:r>
    </w:p>
    <w:p>
      <w:pPr>
        <w:spacing w:after="0" w:line="23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(c)  Are you an affiliate of a broker-dealer?</w:t>
      </w:r>
    </w:p>
    <w:p>
      <w:pPr>
        <w:spacing w:after="0" w:line="184" w:lineRule="exact"/>
        <w:rPr>
          <w:sz w:val="20"/>
          <w:szCs w:val="20"/>
          <w:color w:val="auto"/>
        </w:rPr>
      </w:pPr>
    </w:p>
    <w:p>
      <w:pPr>
        <w:ind w:left="2488"/>
        <w:spacing w:after="0" w:line="207" w:lineRule="exact"/>
        <w:tabs>
          <w:tab w:leader="none" w:pos="3568"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jc w:val="both"/>
        <w:ind w:left="648" w:hanging="324"/>
        <w:spacing w:after="0" w:line="266" w:lineRule="auto"/>
        <w:tabs>
          <w:tab w:leader="none" w:pos="64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ectPr>
          <w:pgSz w:w="11900" w:h="16838" w:orient="portrait"/>
          <w:cols w:equalWidth="0" w:num="1">
            <w:col w:w="10908"/>
          </w:cols>
          <w:pgMar w:left="652" w:top="121" w:right="339" w:bottom="1440" w:gutter="0" w:footer="0" w:header="0"/>
        </w:sectPr>
      </w:pPr>
    </w:p>
    <w:p>
      <w:pPr>
        <w:spacing w:after="0" w:line="135" w:lineRule="exact"/>
        <w:rPr>
          <w:sz w:val="20"/>
          <w:szCs w:val="20"/>
          <w:color w:val="auto"/>
        </w:rPr>
      </w:pPr>
    </w:p>
    <w:p>
      <w:pPr>
        <w:ind w:left="2488"/>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2948" w:space="640"/>
            <w:col w:w="7320"/>
          </w:cols>
          <w:pgMar w:left="652" w:top="121" w:right="339" w:bottom="1440" w:gutter="0" w:footer="0" w:header="0"/>
          <w:type w:val="continuous"/>
        </w:sectPr>
      </w:pPr>
    </w:p>
    <w:p>
      <w:pPr>
        <w:spacing w:after="0" w:line="8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8"/>
          <w:szCs w:val="18"/>
          <w:color w:val="auto"/>
        </w:rPr>
        <w:t>Note: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“no” to Section 3(d), the Commission’s staff has indicated that you should be identified as an underwriter in the Registration Statement.</w:t>
      </w:r>
    </w:p>
    <w:p>
      <w:pPr>
        <w:spacing w:after="0" w:line="158" w:lineRule="exact"/>
        <w:rPr>
          <w:sz w:val="20"/>
          <w:szCs w:val="20"/>
          <w:color w:val="auto"/>
        </w:rPr>
      </w:pPr>
    </w:p>
    <w:p>
      <w:pPr>
        <w:sectPr>
          <w:pgSz w:w="11900" w:h="16838" w:orient="portrait"/>
          <w:cols w:equalWidth="0" w:num="2">
            <w:col w:w="908" w:space="720"/>
            <w:col w:w="9280"/>
          </w:cols>
          <w:pgMar w:left="652" w:top="121" w:right="339" w:bottom="1440" w:gutter="0" w:footer="0" w:header="0"/>
          <w:type w:val="continuous"/>
        </w:sectPr>
      </w:pPr>
    </w:p>
    <w:p>
      <w:pPr>
        <w:ind w:left="328" w:hanging="328"/>
        <w:spacing w:after="0"/>
        <w:tabs>
          <w:tab w:leader="none" w:pos="328"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of Securities of the Company Owned by the Selling Stockholder.</w:t>
      </w:r>
    </w:p>
    <w:p>
      <w:pPr>
        <w:spacing w:after="0" w:line="227" w:lineRule="exact"/>
        <w:rPr>
          <w:rFonts w:ascii="Times New Roman" w:cs="Times New Roman" w:eastAsia="Times New Roman" w:hAnsi="Times New Roman"/>
          <w:sz w:val="18"/>
          <w:szCs w:val="18"/>
          <w:b w:val="1"/>
          <w:bCs w:val="1"/>
          <w:color w:val="auto"/>
        </w:rPr>
      </w:pPr>
    </w:p>
    <w:p>
      <w:pPr>
        <w:ind w:left="328"/>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60" w:lineRule="exact"/>
        <w:rPr>
          <w:rFonts w:ascii="Times New Roman" w:cs="Times New Roman" w:eastAsia="Times New Roman" w:hAnsi="Times New Roman"/>
          <w:sz w:val="18"/>
          <w:szCs w:val="18"/>
          <w:b w:val="1"/>
          <w:bCs w:val="1"/>
          <w:color w:val="auto"/>
        </w:rPr>
      </w:pPr>
    </w:p>
    <w:p>
      <w:pPr>
        <w:ind w:left="648" w:hanging="324"/>
        <w:spacing w:after="0"/>
        <w:tabs>
          <w:tab w:leader="none" w:pos="64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445770</wp:posOffset>
            </wp:positionV>
            <wp:extent cx="606044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60440" cy="17145"/>
                    </a:xfrm>
                    <a:prstGeom prst="rect">
                      <a:avLst/>
                    </a:prstGeom>
                    <a:noFill/>
                  </pic:spPr>
                </pic:pic>
              </a:graphicData>
            </a:graphic>
          </wp:anchor>
        </w:drawing>
        <w:drawing>
          <wp:anchor simplePos="0" relativeHeight="251657728" behindDoc="1" locked="0" layoutInCell="0" allowOverlap="1">
            <wp:simplePos x="0" y="0"/>
            <wp:positionH relativeFrom="column">
              <wp:posOffset>865505</wp:posOffset>
            </wp:positionH>
            <wp:positionV relativeFrom="paragraph">
              <wp:posOffset>291465</wp:posOffset>
            </wp:positionV>
            <wp:extent cx="606044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type w:val="continuous"/>
        </w:sectPr>
      </w:pPr>
    </w:p>
    <w:bookmarkStart w:id="109" w:name="page110"/>
    <w:bookmarkEnd w:id="109"/>
    <w:p>
      <w:pPr>
        <w:ind w:left="660" w:hanging="328"/>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Relationships with the Company:</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445770</wp:posOffset>
            </wp:positionV>
            <wp:extent cx="606044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60440"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291465</wp:posOffset>
            </wp:positionV>
            <wp:extent cx="606044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78574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1437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28028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FAX A COPY (OR EMAIL A .PDF COPY) OF THE COMPLETED AND EXECUTED NOTICE AND QUESTIONNAIRE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14312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214312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Momentus Announces Pricing of a $25 Million Private Placement of Common Stock Priced At-The-Market Under Nasdaq Rules with Existing Fundamental Institutional Investors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SAN JOSE, Calif. (BUSINESS WIRE) — May 27, 2026 — Momentus Inc. (NASDAQ: MNTS) (“</w:t>
      </w:r>
      <w:r>
        <w:rPr>
          <w:rFonts w:ascii="Times New Roman" w:cs="Times New Roman" w:eastAsia="Times New Roman" w:hAnsi="Times New Roman"/>
          <w:sz w:val="18"/>
          <w:szCs w:val="18"/>
          <w:b w:val="1"/>
          <w:bCs w:val="1"/>
          <w:color w:val="auto"/>
        </w:rPr>
        <w:t>Momentus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leading U.S. commercial space firm specializing in satellite solutions, in-space transportation, and orbital infrastructure, today announced that it has entered into securities purchase agreements with existing institutional investors for the purchase and sale of 2,942,000 shares of its common stock (or common stock equivalents in lieu thereof) in a private placement priced at-the-market under Nasdaq rules. The gross proceeds from the offering are expected to be approximately $25 million, before deducting placement agent fees and other estimated offering 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closing of the offering is expected to occur on or about May 28, 2026, subject to the satisfaction of customary closing conditions. The Company intends to use the net proceeds from the offering for working capital and other general corporate purposes. Existing capital and net proceeds from this offering, positions the Company with approximately $76 million in cash, cash equivalents, and short-term investments.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pleased that our existing investors continue to support the company and our mission. We intend to use the proceeds for research and development, investment in strategic business initiatives and general corporate purposes” said John C. Rood, Chairman and Chief Executive Officer of Momentus.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A.G.P./Alliance Global Partners is acting as sole placement agent for the offering.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offer and sale of the foregoing securities is being made in reliance on an exemption from the registration requirement under Section 4(a)(2) of the Securities Act of 1933, as amended (the "Securities Act"), and/or Regulation D promulgated thereunder, and applicable state securities laws, and the securities have not been and will not initially be registered under the Securities Act, or applicable state securities laws. Accordingly, the securities may not be offered or sold in the United States except pursuant to an effective registration statement or an applicable exemption from the registration requirements of the Securities Act and such applicable state securities laws. Pursuant to the terms of the securities purchase agreement entered into with the investors, the Company has agreed to file a registration statement with the U.S. Securities and Exchange Commission (the "SEC") covering the resale of the shares of common stock and shares of common stock underlying pre-funded warrants sold in the offering.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About Momentus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Momentus is a U.S. commercial space company offering satellites, satellite components, and in-space transportation and infrastructure services. The Company offers satellites to support government and commercial customers for missions like communications, missile tracking, and cutting-edge science missions. Momentus offers services such as hosted payloads, support for in-space assembly, on-orbit servicing and refueling, and transportation of satellites to specific orbits.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certain statements that may constitute “forward-looking statements” for purposes of the federal securities laws. Forward-looking statements include, but are not limited to, statements regarding the expected closing of the offering, the intended use of proceeds and fulfillment of customary closing conditions. These statements reflect Momentus’ or its management team’s expectations, hopes, beliefs, intentions or strategies regarding the future, projections, forecasts or other characterizations of future events or circumstances, including any underlying assumptions, and are not guarantees of future performance. Because forward-looking statements relate to the future, they are subject to inherent uncertainties, risks and changes in circumstances that are difficult to predict and many of which are outside of Momentus’ control. Many factors could cause actual future events to differ materially from the forward-looking statements in this press release, including but not limited to risks and uncertainties included under the heading “Risk Factors” in the Annual Report on Form 10-K filed by the Company on March 31, 2026, as such factors may be updated from time to time in our other filings with the Securities and Exchange Commission (the “SEC”), accessible on the SEC’s website at www.sec.gov and the Investor Relations section of our website at https://momentus.space.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Investors: </w:t>
      </w:r>
      <w:r>
        <w:rPr>
          <w:rFonts w:ascii="Times New Roman" w:cs="Times New Roman" w:eastAsia="Times New Roman" w:hAnsi="Times New Roman"/>
          <w:sz w:val="18"/>
          <w:szCs w:val="18"/>
          <w:color w:val="auto"/>
        </w:rPr>
        <w:t>investors@momentus.space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w:t>
      </w:r>
      <w:r>
        <w:rPr>
          <w:rFonts w:ascii="Times New Roman" w:cs="Times New Roman" w:eastAsia="Times New Roman" w:hAnsi="Times New Roman"/>
          <w:sz w:val="18"/>
          <w:szCs w:val="18"/>
          <w:color w:val="auto"/>
        </w:rPr>
        <w:t>press@momentus.space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1)"/>
      <w:numFmt w:val="lowerLetter"/>
      <w:start w:val="1"/>
    </w:lvl>
    <w:lvl w:ilvl="1">
      <w:lvlJc w:val="left"/>
      <w:lvlText w:val="(%2)"/>
      <w:numFmt w:val="upperLetter"/>
      <w:start w:val="1"/>
    </w:lvl>
  </w:abstractNum>
  <w:abstractNum w:abstractNumId="2">
    <w:nsid w:val="374A3FE6"/>
    <w:multiLevelType w:val="hybridMultilevel"/>
    <w:lvl w:ilvl="0">
      <w:lvlJc w:val="left"/>
      <w:lvlText w:val="(%1)"/>
      <w:numFmt w:val="upperLetter"/>
      <w:start w:val="24"/>
    </w:lvl>
  </w:abstractNum>
  <w:abstractNum w:abstractNumId="3">
    <w:nsid w:val="4F4EF005"/>
    <w:multiLevelType w:val="hybridMultilevel"/>
    <w:lvl w:ilvl="0">
      <w:lvlJc w:val="left"/>
      <w:lvlText w:val="%1)"/>
      <w:numFmt w:val="lowerLetter"/>
      <w:start w:val="4"/>
    </w:lvl>
    <w:lvl w:ilvl="1">
      <w:lvlJc w:val="left"/>
      <w:lvlText w:val="%2."/>
      <w:numFmt w:val="lowerRoman"/>
      <w:start w:val="1"/>
    </w:lvl>
  </w:abstractNum>
  <w:abstractNum w:abstractNumId="4">
    <w:nsid w:val="23F9C13C"/>
    <w:multiLevelType w:val="hybridMultilevel"/>
    <w:lvl w:ilvl="0">
      <w:lvlJc w:val="left"/>
      <w:lvlText w:val="%1."/>
      <w:numFmt w:val="lowerRoman"/>
      <w:start w:val="2"/>
    </w:lvl>
  </w:abstractNum>
  <w:abstractNum w:abstractNumId="5">
    <w:nsid w:val="649BB77C"/>
    <w:multiLevelType w:val="hybridMultilevel"/>
    <w:lvl w:ilvl="0">
      <w:lvlJc w:val="left"/>
      <w:lvlText w:val="%1"/>
      <w:numFmt w:val="lowerLetter"/>
      <w:start w:val="1"/>
    </w:lvl>
    <w:lvl w:ilvl="1">
      <w:lvlJc w:val="left"/>
      <w:lvlText w:val="%2."/>
      <w:numFmt w:val="lowerRoman"/>
      <w:start w:val="5"/>
    </w:lvl>
  </w:abstractNum>
  <w:abstractNum w:abstractNumId="6">
    <w:nsid w:val="275AC794"/>
    <w:multiLevelType w:val="hybridMultilevel"/>
    <w:lvl w:ilvl="0">
      <w:lvlJc w:val="left"/>
      <w:lvlText w:val="%1)"/>
      <w:numFmt w:val="lowerLetter"/>
      <w:start w:val="5"/>
    </w:lvl>
    <w:lvl w:ilvl="1">
      <w:lvlJc w:val="left"/>
      <w:lvlText w:val="%2"/>
      <w:numFmt w:val="lowerRoman"/>
      <w:start w:val="1"/>
    </w:lvl>
  </w:abstractNum>
  <w:abstractNum w:abstractNumId="7">
    <w:nsid w:val="39386575"/>
    <w:multiLevelType w:val="hybridMultilevel"/>
    <w:lvl w:ilvl="0">
      <w:lvlJc w:val="left"/>
      <w:lvlText w:val="%1."/>
      <w:numFmt w:val="lowerRoman"/>
      <w:start w:val="1"/>
    </w:lvl>
    <w:lvl w:ilvl="1">
      <w:lvlJc w:val="left"/>
      <w:lvlText w:val="(%2)"/>
      <w:numFmt w:val="upperLetter"/>
      <w:start w:val="2"/>
    </w:lvl>
  </w:abstractNum>
  <w:abstractNum w:abstractNumId="8">
    <w:nsid w:val="1CF10FD8"/>
    <w:multiLevelType w:val="hybridMultilevel"/>
    <w:lvl w:ilvl="0">
      <w:lvlJc w:val="left"/>
      <w:lvlText w:val="%1)"/>
      <w:numFmt w:val="lowerLetter"/>
      <w:start w:val="1"/>
    </w:lvl>
  </w:abstractNum>
  <w:abstractNum w:abstractNumId="9">
    <w:nsid w:val="180115BE"/>
    <w:multiLevelType w:val="hybridMultilevel"/>
    <w:lvl w:ilvl="0">
      <w:lvlJc w:val="left"/>
      <w:lvlText w:val="%1)"/>
      <w:numFmt w:val="lowerLetter"/>
      <w:start w:val="2"/>
    </w:lvl>
  </w:abstractNum>
  <w:abstractNum w:abstractNumId="10">
    <w:nsid w:val="235BA861"/>
    <w:multiLevelType w:val="hybridMultilevel"/>
    <w:lvl w:ilvl="0">
      <w:lvlJc w:val="left"/>
      <w:lvlText w:val="%1)"/>
      <w:numFmt w:val="lowerLetter"/>
      <w:start w:val="4"/>
    </w:lvl>
  </w:abstractNum>
  <w:abstractNum w:abstractNumId="11">
    <w:nsid w:val="47398C89"/>
    <w:multiLevelType w:val="hybridMultilevel"/>
    <w:lvl w:ilvl="0">
      <w:lvlJc w:val="left"/>
      <w:lvlText w:val="%1)"/>
      <w:numFmt w:val="lowerLetter"/>
      <w:start w:val="5"/>
    </w:lvl>
  </w:abstractNum>
  <w:abstractNum w:abstractNumId="12">
    <w:nsid w:val="354FE9F9"/>
    <w:multiLevelType w:val="hybridMultilevel"/>
    <w:lvl w:ilvl="0">
      <w:lvlJc w:val="left"/>
      <w:lvlText w:val="%1)"/>
      <w:numFmt w:val="lowerLetter"/>
      <w:start w:val="6"/>
    </w:lvl>
    <w:lvl w:ilvl="1">
      <w:lvlJc w:val="left"/>
      <w:lvlText w:val="%2."/>
      <w:numFmt w:val="lowerRoman"/>
      <w:start w:val="1"/>
    </w:lvl>
  </w:abstractNum>
  <w:abstractNum w:abstractNumId="13">
    <w:nsid w:val="15B5AF5C"/>
    <w:multiLevelType w:val="hybridMultilevel"/>
    <w:lvl w:ilvl="0">
      <w:lvlJc w:val="left"/>
      <w:lvlText w:val="%1)"/>
      <w:numFmt w:val="lowerLetter"/>
      <w:start w:val="1"/>
    </w:lvl>
  </w:abstractNum>
  <w:abstractNum w:abstractNumId="14">
    <w:nsid w:val="741226BB"/>
    <w:multiLevelType w:val="hybridMultilevel"/>
    <w:lvl w:ilvl="0">
      <w:lvlJc w:val="left"/>
      <w:lvlText w:val="%1)"/>
      <w:numFmt w:val="lowerLetter"/>
      <w:start w:val="1"/>
    </w:lvl>
  </w:abstractNum>
  <w:abstractNum w:abstractNumId="15">
    <w:nsid w:val="D34B6A8"/>
    <w:multiLevelType w:val="hybridMultilevel"/>
    <w:lvl w:ilvl="0">
      <w:lvlJc w:val="left"/>
      <w:lvlText w:val="%1)"/>
      <w:numFmt w:val="lowerLetter"/>
      <w:start w:val="2"/>
    </w:lvl>
  </w:abstractNum>
  <w:abstractNum w:abstractNumId="16">
    <w:nsid w:val="10233C99"/>
    <w:multiLevelType w:val="hybridMultilevel"/>
    <w:lvl w:ilvl="0">
      <w:lvlJc w:val="left"/>
      <w:lvlText w:val="%1)"/>
      <w:numFmt w:val="lowerLetter"/>
      <w:start w:val="5"/>
    </w:lvl>
  </w:abstractNum>
  <w:abstractNum w:abstractNumId="17">
    <w:nsid w:val="3F6AB60F"/>
    <w:multiLevelType w:val="hybridMultilevel"/>
    <w:lvl w:ilvl="0">
      <w:lvlJc w:val="left"/>
      <w:lvlText w:val="%1)"/>
      <w:numFmt w:val="lowerLetter"/>
      <w:start w:val="12"/>
    </w:lvl>
  </w:abstractNum>
  <w:abstractNum w:abstractNumId="18">
    <w:nsid w:val="61574095"/>
    <w:multiLevelType w:val="hybridMultilevel"/>
    <w:lvl w:ilvl="0">
      <w:lvlJc w:val="left"/>
      <w:lvlText w:val="(%1)"/>
      <w:numFmt w:val="decimal"/>
      <w:start w:val="1"/>
    </w:lvl>
  </w:abstractNum>
  <w:abstractNum w:abstractNumId="19">
    <w:nsid w:val="7E0C57B1"/>
    <w:multiLevelType w:val="hybridMultilevel"/>
    <w:lvl w:ilvl="0">
      <w:lvlJc w:val="left"/>
      <w:lvlText w:val="(%1)"/>
      <w:numFmt w:val="decimal"/>
      <w:start w:val="2"/>
    </w:lvl>
    <w:lvl w:ilvl="1">
      <w:lvlJc w:val="left"/>
      <w:lvlText w:val="["/>
      <w:numFmt w:val="bullet"/>
      <w:start w:val="1"/>
    </w:lvl>
  </w:abstractNum>
  <w:abstractNum w:abstractNumId="20">
    <w:nsid w:val="77AE35EB"/>
    <w:multiLevelType w:val="hybridMultilevel"/>
    <w:lvl w:ilvl="0">
      <w:lvlJc w:val="left"/>
      <w:lvlText w:val="%1)"/>
      <w:numFmt w:val="lowerLetter"/>
      <w:start w:val="1"/>
    </w:lvl>
    <w:lvl w:ilvl="1">
      <w:lvlJc w:val="left"/>
      <w:lvlText w:val="(%2)"/>
      <w:numFmt w:val="upperLetter"/>
      <w:start w:val="1"/>
    </w:lvl>
  </w:abstractNum>
  <w:abstractNum w:abstractNumId="21">
    <w:nsid w:val="579BE4F1"/>
    <w:multiLevelType w:val="hybridMultilevel"/>
    <w:lvl w:ilvl="0">
      <w:lvlJc w:val="left"/>
      <w:lvlText w:val="(%1)"/>
      <w:numFmt w:val="decimal"/>
      <w:start w:val="2"/>
    </w:lvl>
  </w:abstractNum>
  <w:abstractNum w:abstractNumId="22">
    <w:nsid w:val="310C50B3"/>
    <w:multiLevelType w:val="hybridMultilevel"/>
    <w:lvl w:ilvl="0">
      <w:lvlJc w:val="left"/>
      <w:lvlText w:val="(%1)"/>
      <w:numFmt w:val="upperLetter"/>
      <w:start w:val="24"/>
    </w:lvl>
  </w:abstractNum>
  <w:abstractNum w:abstractNumId="23">
    <w:nsid w:val="5FF87E05"/>
    <w:multiLevelType w:val="hybridMultilevel"/>
    <w:lvl w:ilvl="0">
      <w:lvlJc w:val="left"/>
      <w:lvlText w:val="(%1)"/>
      <w:numFmt w:val="decimal"/>
      <w:start w:val="9"/>
    </w:lvl>
    <w:lvl w:ilvl="1">
      <w:lvlJc w:val="left"/>
      <w:lvlText w:val="%2)"/>
      <w:numFmt w:val="lowerLetter"/>
      <w:start w:val="4"/>
    </w:lvl>
    <w:lvl w:ilvl="2">
      <w:lvlJc w:val="left"/>
      <w:lvlText w:val="%3."/>
      <w:numFmt w:val="lowerRoman"/>
      <w:start w:val="1"/>
    </w:lvl>
  </w:abstractNum>
  <w:abstractNum w:abstractNumId="24">
    <w:nsid w:val="2F305DEF"/>
    <w:multiLevelType w:val="hybridMultilevel"/>
    <w:lvl w:ilvl="0">
      <w:lvlJc w:val="left"/>
      <w:lvlText w:val="%1."/>
      <w:numFmt w:val="lowerRoman"/>
      <w:start w:val="2"/>
    </w:lvl>
  </w:abstractNum>
  <w:abstractNum w:abstractNumId="25">
    <w:nsid w:val="25A70BF7"/>
    <w:multiLevelType w:val="hybridMultilevel"/>
    <w:lvl w:ilvl="0">
      <w:lvlJc w:val="left"/>
      <w:lvlText w:val="%1."/>
      <w:numFmt w:val="lowerRoman"/>
      <w:start w:val="5"/>
    </w:lvl>
  </w:abstractNum>
  <w:abstractNum w:abstractNumId="26">
    <w:nsid w:val="1DBABF00"/>
    <w:multiLevelType w:val="hybridMultilevel"/>
    <w:lvl w:ilvl="0">
      <w:lvlJc w:val="left"/>
      <w:lvlText w:val="%1"/>
      <w:numFmt w:val="lowerRoman"/>
      <w:start w:val="1"/>
    </w:lvl>
    <w:lvl w:ilvl="1">
      <w:lvlJc w:val="left"/>
      <w:lvlText w:val="%2)"/>
      <w:numFmt w:val="lowerLetter"/>
      <w:start w:val="5"/>
    </w:lvl>
  </w:abstractNum>
  <w:abstractNum w:abstractNumId="27">
    <w:nsid w:val="4AD084E9"/>
    <w:multiLevelType w:val="hybridMultilevel"/>
    <w:lvl w:ilvl="0">
      <w:lvlJc w:val="left"/>
      <w:lvlText w:val="(%1)"/>
      <w:numFmt w:val="lowerRoman"/>
      <w:start w:val="1"/>
    </w:lvl>
    <w:lvl w:ilvl="1">
      <w:lvlJc w:val="left"/>
      <w:lvlText w:val="%2"/>
      <w:numFmt w:val="lowerLetter"/>
      <w:start w:val="1"/>
    </w:lvl>
  </w:abstractNum>
  <w:abstractNum w:abstractNumId="28">
    <w:nsid w:val="1F48EAA1"/>
    <w:multiLevelType w:val="hybridMultilevel"/>
    <w:lvl w:ilvl="0">
      <w:lvlJc w:val="left"/>
      <w:lvlText w:val="%1)"/>
      <w:numFmt w:val="lowerLetter"/>
      <w:start w:val="1"/>
    </w:lvl>
  </w:abstractNum>
  <w:abstractNum w:abstractNumId="29">
    <w:nsid w:val="1381823A"/>
    <w:multiLevelType w:val="hybridMultilevel"/>
    <w:lvl w:ilvl="0">
      <w:lvlJc w:val="left"/>
      <w:lvlText w:val="%1)"/>
      <w:numFmt w:val="lowerLetter"/>
      <w:start w:val="4"/>
    </w:lvl>
  </w:abstractNum>
  <w:abstractNum w:abstractNumId="30">
    <w:nsid w:val="5DB70AE5"/>
    <w:multiLevelType w:val="hybridMultilevel"/>
    <w:lvl w:ilvl="0">
      <w:lvlJc w:val="left"/>
      <w:lvlText w:val="%1)"/>
      <w:numFmt w:val="lowerLetter"/>
      <w:start w:val="5"/>
    </w:lvl>
    <w:lvl w:ilvl="1">
      <w:lvlJc w:val="left"/>
      <w:lvlText w:val="%2."/>
      <w:numFmt w:val="lowerRoman"/>
      <w:start w:val="1"/>
    </w:lvl>
  </w:abstractNum>
  <w:abstractNum w:abstractNumId="31">
    <w:nsid w:val="100F8FCA"/>
    <w:multiLevelType w:val="hybridMultilevel"/>
    <w:lvl w:ilvl="0">
      <w:lvlJc w:val="left"/>
      <w:lvlText w:val="%1."/>
      <w:numFmt w:val="lowerRoman"/>
      <w:start w:val="2"/>
    </w:lvl>
  </w:abstractNum>
  <w:abstractNum w:abstractNumId="32">
    <w:nsid w:val="6590700B"/>
    <w:multiLevelType w:val="hybridMultilevel"/>
    <w:lvl w:ilvl="0">
      <w:lvlJc w:val="left"/>
      <w:lvlText w:val="%1)"/>
      <w:numFmt w:val="lowerLetter"/>
      <w:start w:val="1"/>
    </w:lvl>
  </w:abstractNum>
  <w:abstractNum w:abstractNumId="33">
    <w:nsid w:val="15014ACB"/>
    <w:multiLevelType w:val="hybridMultilevel"/>
    <w:lvl w:ilvl="0">
      <w:lvlJc w:val="left"/>
      <w:lvlText w:val="%1)"/>
      <w:numFmt w:val="lowerLetter"/>
      <w:start w:val="3"/>
    </w:lvl>
  </w:abstractNum>
  <w:abstractNum w:abstractNumId="34">
    <w:nsid w:val="5F5E7FD0"/>
    <w:multiLevelType w:val="hybridMultilevel"/>
    <w:lvl w:ilvl="0">
      <w:lvlJc w:val="left"/>
      <w:lvlText w:val="%1)"/>
      <w:numFmt w:val="lowerLetter"/>
      <w:start w:val="1"/>
    </w:lvl>
  </w:abstractNum>
  <w:abstractNum w:abstractNumId="35">
    <w:nsid w:val="98A3148"/>
    <w:multiLevelType w:val="hybridMultilevel"/>
    <w:lvl w:ilvl="0">
      <w:lvlJc w:val="left"/>
      <w:lvlText w:val="%1)"/>
      <w:numFmt w:val="lowerLetter"/>
      <w:start w:val="5"/>
    </w:lvl>
  </w:abstractNum>
  <w:abstractNum w:abstractNumId="36">
    <w:nsid w:val="799D0247"/>
    <w:multiLevelType w:val="hybridMultilevel"/>
    <w:lvl w:ilvl="0">
      <w:lvlJc w:val="left"/>
      <w:lvlText w:val="%1"/>
      <w:numFmt w:val="lowerRoman"/>
      <w:start w:val="1"/>
    </w:lvl>
    <w:lvl w:ilvl="1">
      <w:lvlJc w:val="left"/>
      <w:lvlText w:val="%2)"/>
      <w:numFmt w:val="lowerLetter"/>
      <w:start w:val="8"/>
    </w:lvl>
  </w:abstractNum>
  <w:abstractNum w:abstractNumId="37">
    <w:nsid w:val="6B94764"/>
    <w:multiLevelType w:val="hybridMultilevel"/>
    <w:lvl w:ilvl="0">
      <w:lvlJc w:val="left"/>
      <w:lvlText w:val="(%1)"/>
      <w:numFmt w:val="lowerRoman"/>
      <w:start w:val="4"/>
    </w:lvl>
    <w:lvl w:ilvl="1">
      <w:lvlJc w:val="left"/>
      <w:lvlText w:val="%2)"/>
      <w:numFmt w:val="lowerLetter"/>
      <w:start w:val="9"/>
    </w:lvl>
  </w:abstractNum>
  <w:abstractNum w:abstractNumId="38">
    <w:nsid w:val="42C296BD"/>
    <w:multiLevelType w:val="hybridMultilevel"/>
    <w:lvl w:ilvl="0">
      <w:lvlJc w:val="left"/>
      <w:lvlText w:val="%1)"/>
      <w:numFmt w:val="lowerLetter"/>
      <w:start w:val="14"/>
    </w:lvl>
  </w:abstractNum>
  <w:abstractNum w:abstractNumId="39">
    <w:nsid w:val="168E121F"/>
    <w:multiLevelType w:val="hybridMultilevel"/>
    <w:lvl w:ilvl="0">
      <w:lvlJc w:val="left"/>
      <w:lvlText w:val="(%1)"/>
      <w:numFmt w:val="decimal"/>
      <w:start w:val="1"/>
    </w:lvl>
  </w:abstractNum>
  <w:abstractNum w:abstractNumId="40">
    <w:nsid w:val="1EBA5D23"/>
    <w:multiLevelType w:val="hybridMultilevel"/>
    <w:lvl w:ilvl="0">
      <w:lvlJc w:val="left"/>
      <w:lvlText w:val="(%1)"/>
      <w:numFmt w:val="decimal"/>
      <w:start w:val="2"/>
    </w:lvl>
    <w:lvl w:ilvl="1">
      <w:lvlJc w:val="left"/>
      <w:lvlText w:val="["/>
      <w:numFmt w:val="bullet"/>
      <w:start w:val="1"/>
    </w:lvl>
  </w:abstractNum>
  <w:abstractNum w:abstractNumId="41">
    <w:nsid w:val="661E3F1E"/>
    <w:multiLevelType w:val="hybridMultilevel"/>
    <w:lvl w:ilvl="0">
      <w:lvlJc w:val="left"/>
      <w:lvlText w:val="%1)"/>
      <w:numFmt w:val="decimal"/>
      <w:start w:val="144"/>
    </w:lvl>
  </w:abstractNum>
  <w:abstractNum w:abstractNumId="42">
    <w:nsid w:val="5DC79EA8"/>
    <w:multiLevelType w:val="hybridMultilevel"/>
    <w:lvl w:ilvl="0">
      <w:lvlJc w:val="left"/>
      <w:lvlText w:val="(%1)"/>
      <w:numFmt w:val="lowerLetter"/>
      <w:start w:val="1"/>
    </w:lvl>
    <w:lvl w:ilvl="1">
      <w:lvlJc w:val="left"/>
      <w:lvlText w:val="(%2)"/>
      <w:numFmt w:val="lowerRoman"/>
      <w:start w:val="1"/>
    </w:lvl>
  </w:abstractNum>
  <w:abstractNum w:abstractNumId="43">
    <w:nsid w:val="540A471C"/>
    <w:multiLevelType w:val="hybridMultilevel"/>
    <w:lvl w:ilvl="0">
      <w:lvlJc w:val="left"/>
      <w:lvlText w:val="(%1)"/>
      <w:numFmt w:val="lowerLetter"/>
      <w:start w:val="2"/>
    </w:lvl>
    <w:lvl w:ilvl="1">
      <w:lvlJc w:val="left"/>
      <w:lvlText w:val="(%2)"/>
      <w:numFmt w:val="lowerRoman"/>
      <w:start w:val="1"/>
    </w:lvl>
  </w:abstractNum>
  <w:abstractNum w:abstractNumId="44">
    <w:nsid w:val="7BD3EE7B"/>
    <w:multiLevelType w:val="hybridMultilevel"/>
    <w:lvl w:ilvl="0">
      <w:lvlJc w:val="left"/>
      <w:lvlText w:val="(%1)"/>
      <w:numFmt w:val="lowerLetter"/>
      <w:start w:val="1"/>
    </w:lvl>
    <w:lvl w:ilvl="1">
      <w:lvlJc w:val="left"/>
      <w:lvlText w:val="(%2)"/>
      <w:numFmt w:val="lowerRoman"/>
      <w:start w:val="1"/>
    </w:lvl>
  </w:abstractNum>
  <w:abstractNum w:abstractNumId="45">
    <w:nsid w:val="51D9C564"/>
    <w:multiLevelType w:val="hybridMultilevel"/>
    <w:lvl w:ilvl="0">
      <w:lvlJc w:val="left"/>
      <w:lvlText w:val="(%1)"/>
      <w:numFmt w:val="lowerRoman"/>
      <w:start w:val="5"/>
    </w:lvl>
  </w:abstractNum>
  <w:abstractNum w:abstractNumId="46">
    <w:nsid w:val="613EFDC5"/>
    <w:multiLevelType w:val="hybridMultilevel"/>
    <w:lvl w:ilvl="0">
      <w:lvlJc w:val="left"/>
      <w:lvlText w:val="%1"/>
      <w:numFmt w:val="lowerLetter"/>
      <w:start w:val="1"/>
    </w:lvl>
    <w:lvl w:ilvl="1">
      <w:lvlJc w:val="left"/>
      <w:lvlText w:val="(%2)"/>
      <w:numFmt w:val="lowerLetter"/>
      <w:start w:val="1"/>
    </w:lvl>
  </w:abstractNum>
  <w:abstractNum w:abstractNumId="47">
    <w:nsid w:val="BF72B14"/>
    <w:multiLevelType w:val="hybridMultilevel"/>
    <w:lvl w:ilvl="0">
      <w:lvlJc w:val="left"/>
      <w:lvlText w:val="(%1)"/>
      <w:numFmt w:val="lowerLetter"/>
      <w:start w:val="1"/>
    </w:lvl>
    <w:lvl w:ilvl="1">
      <w:lvlJc w:val="left"/>
      <w:lvlText w:val="(%2)"/>
      <w:numFmt w:val="lowerLetter"/>
      <w:start w:val="2"/>
    </w:lvl>
  </w:abstractNum>
  <w:abstractNum w:abstractNumId="48">
    <w:nsid w:val="11447B73"/>
    <w:multiLevelType w:val="hybridMultilevel"/>
    <w:lvl w:ilvl="0">
      <w:lvlJc w:val="left"/>
      <w:lvlText w:val="(%1)"/>
      <w:numFmt w:val="lowerLetter"/>
      <w:start w:val="3"/>
    </w:lvl>
  </w:abstractNum>
  <w:abstractNum w:abstractNumId="49">
    <w:nsid w:val="42963E5A"/>
    <w:multiLevelType w:val="hybridMultilevel"/>
    <w:lvl w:ilvl="0">
      <w:lvlJc w:val="left"/>
      <w:lvlText w:val="(%1)"/>
      <w:numFmt w:val="lowerLetter"/>
      <w:start w:val="4"/>
    </w:lvl>
  </w:abstractNum>
  <w:abstractNum w:abstractNumId="50">
    <w:nsid w:val="A0382C5"/>
    <w:multiLevelType w:val="hybridMultilevel"/>
    <w:lvl w:ilvl="0">
      <w:lvlJc w:val="left"/>
      <w:lvlText w:val="(%1)"/>
      <w:numFmt w:val="lowerLetter"/>
      <w:start w:val="6"/>
    </w:lvl>
  </w:abstractNum>
  <w:abstractNum w:abstractNumId="51">
    <w:nsid w:val="8F2B15E"/>
    <w:multiLevelType w:val="hybridMultilevel"/>
    <w:lvl w:ilvl="0">
      <w:lvlJc w:val="left"/>
      <w:lvlText w:val="%1"/>
      <w:numFmt w:val="lowerLetter"/>
      <w:start w:val="1"/>
    </w:lvl>
    <w:lvl w:ilvl="1">
      <w:lvlJc w:val="left"/>
      <w:lvlText w:val="(%2)"/>
      <w:numFmt w:val="lowerLetter"/>
      <w:start w:val="8"/>
    </w:lvl>
  </w:abstractNum>
  <w:abstractNum w:abstractNumId="52">
    <w:nsid w:val="1A32234B"/>
    <w:multiLevelType w:val="hybridMultilevel"/>
    <w:lvl w:ilvl="0">
      <w:lvlJc w:val="left"/>
      <w:lvlText w:val="(%1)"/>
      <w:numFmt w:val="lowerLetter"/>
      <w:start w:val="9"/>
    </w:lvl>
    <w:lvl w:ilvl="1">
      <w:lvlJc w:val="left"/>
      <w:lvlText w:val="%2"/>
      <w:numFmt w:val="lowerLetter"/>
      <w:start w:val="1"/>
    </w:lvl>
  </w:abstractNum>
  <w:abstractNum w:abstractNumId="53">
    <w:nsid w:val="3B0FD379"/>
    <w:multiLevelType w:val="hybridMultilevel"/>
    <w:lvl w:ilvl="0">
      <w:lvlJc w:val="left"/>
      <w:lvlText w:val="(%1)"/>
      <w:numFmt w:val="lowerLetter"/>
      <w:start w:val="13"/>
    </w:lvl>
  </w:abstractNum>
  <w:abstractNum w:abstractNumId="54">
    <w:nsid w:val="68EB2F63"/>
    <w:multiLevelType w:val="hybridMultilevel"/>
    <w:lvl w:ilvl="0">
      <w:lvlJc w:val="left"/>
      <w:lvlText w:val="(%1)"/>
      <w:numFmt w:val="lowerLetter"/>
      <w:start w:val="15"/>
    </w:lvl>
  </w:abstractNum>
  <w:abstractNum w:abstractNumId="55">
    <w:nsid w:val="4962813B"/>
    <w:multiLevelType w:val="hybridMultilevel"/>
    <w:lvl w:ilvl="0">
      <w:lvlJc w:val="left"/>
      <w:lvlText w:val="(%1)"/>
      <w:numFmt w:val="lowerLetter"/>
      <w:start w:val="35"/>
    </w:lvl>
    <w:lvl w:ilvl="1">
      <w:lvlJc w:val="left"/>
      <w:lvlText w:val="(%2)"/>
      <w:numFmt w:val="lowerLetter"/>
      <w:start w:val="17"/>
    </w:lvl>
  </w:abstractNum>
  <w:abstractNum w:abstractNumId="56">
    <w:nsid w:val="60B6DF70"/>
    <w:multiLevelType w:val="hybridMultilevel"/>
    <w:lvl w:ilvl="0">
      <w:lvlJc w:val="left"/>
      <w:lvlText w:val="(%1)"/>
      <w:numFmt w:val="lowerLetter"/>
      <w:start w:val="19"/>
    </w:lvl>
  </w:abstractNum>
  <w:abstractNum w:abstractNumId="57">
    <w:nsid w:val="6A5EE64"/>
    <w:multiLevelType w:val="hybridMultilevel"/>
    <w:lvl w:ilvl="0">
      <w:lvlJc w:val="left"/>
      <w:lvlText w:val="(%1)"/>
      <w:numFmt w:val="lowerLetter"/>
      <w:start w:val="23"/>
    </w:lvl>
  </w:abstractNum>
  <w:abstractNum w:abstractNumId="58">
    <w:nsid w:val="14330624"/>
    <w:multiLevelType w:val="hybridMultilevel"/>
    <w:lvl w:ilvl="0">
      <w:lvlJc w:val="left"/>
      <w:lvlText w:val="(%1)"/>
      <w:numFmt w:val="lowerLetter"/>
      <w:start w:val="27"/>
    </w:lvl>
  </w:abstractNum>
  <w:abstractNum w:abstractNumId="59">
    <w:nsid w:val="7FFFCA11"/>
    <w:multiLevelType w:val="hybridMultilevel"/>
    <w:lvl w:ilvl="0">
      <w:lvlJc w:val="left"/>
      <w:lvlText w:val="%1"/>
      <w:numFmt w:val="lowerLetter"/>
      <w:start w:val="1"/>
    </w:lvl>
    <w:lvl w:ilvl="1">
      <w:lvlJc w:val="left"/>
      <w:lvlText w:val="(%2)"/>
      <w:numFmt w:val="lowerLetter"/>
      <w:start w:val="28"/>
    </w:lvl>
  </w:abstractNum>
  <w:abstractNum w:abstractNumId="60">
    <w:nsid w:val="1A27709E"/>
    <w:multiLevelType w:val="hybridMultilevel"/>
    <w:lvl w:ilvl="0">
      <w:lvlJc w:val="left"/>
      <w:lvlText w:val="(%1)"/>
      <w:numFmt w:val="lowerLetter"/>
      <w:start w:val="61"/>
    </w:lvl>
    <w:lvl w:ilvl="1">
      <w:lvlJc w:val="left"/>
      <w:lvlText w:val="%2"/>
      <w:numFmt w:val="lowerLetter"/>
      <w:start w:val="1"/>
    </w:lvl>
  </w:abstractNum>
  <w:abstractNum w:abstractNumId="61">
    <w:nsid w:val="71EA1109"/>
    <w:multiLevelType w:val="hybridMultilevel"/>
    <w:lvl w:ilvl="0">
      <w:lvlJc w:val="left"/>
      <w:lvlText w:val="(%1)"/>
      <w:numFmt w:val="lowerLetter"/>
      <w:start w:val="31"/>
    </w:lvl>
  </w:abstractNum>
  <w:abstractNum w:abstractNumId="62">
    <w:nsid w:val="100F59DC"/>
    <w:multiLevelType w:val="hybridMultilevel"/>
    <w:lvl w:ilvl="0">
      <w:lvlJc w:val="left"/>
      <w:lvlText w:val="%1"/>
      <w:numFmt w:val="lowerRoman"/>
      <w:start w:val="1"/>
    </w:lvl>
    <w:lvl w:ilvl="1">
      <w:lvlJc w:val="left"/>
      <w:lvlText w:val="(%2)"/>
      <w:numFmt w:val="lowerLetter"/>
      <w:start w:val="35"/>
    </w:lvl>
  </w:abstractNum>
  <w:abstractNum w:abstractNumId="63">
    <w:nsid w:val="7FB7E0AA"/>
    <w:multiLevelType w:val="hybridMultilevel"/>
    <w:lvl w:ilvl="0">
      <w:lvlJc w:val="left"/>
      <w:lvlText w:val="(%1)"/>
      <w:numFmt w:val="lowerRoman"/>
      <w:start w:val="7"/>
    </w:lvl>
    <w:lvl w:ilvl="1">
      <w:lvlJc w:val="left"/>
      <w:lvlText w:val="%2"/>
      <w:numFmt w:val="lowerLetter"/>
      <w:start w:val="1"/>
    </w:lvl>
  </w:abstractNum>
  <w:abstractNum w:abstractNumId="64">
    <w:nsid w:val="6EB5BD4"/>
    <w:multiLevelType w:val="hybridMultilevel"/>
    <w:lvl w:ilvl="0">
      <w:lvlJc w:val="left"/>
      <w:lvlText w:val="(%1)"/>
      <w:numFmt w:val="lowerLetter"/>
      <w:start w:val="37"/>
    </w:lvl>
  </w:abstractNum>
  <w:abstractNum w:abstractNumId="65">
    <w:nsid w:val="6F6DD9AC"/>
    <w:multiLevelType w:val="hybridMultilevel"/>
    <w:lvl w:ilvl="0">
      <w:lvlJc w:val="left"/>
      <w:lvlText w:val="(%1)"/>
      <w:numFmt w:val="lowerLetter"/>
      <w:start w:val="1"/>
    </w:lvl>
  </w:abstractNum>
  <w:abstractNum w:abstractNumId="66">
    <w:nsid w:val="94211F2"/>
    <w:multiLevelType w:val="hybridMultilevel"/>
    <w:lvl w:ilvl="0">
      <w:lvlJc w:val="left"/>
      <w:lvlText w:val="(%1)"/>
      <w:numFmt w:val="lowerLetter"/>
      <w:start w:val="4"/>
    </w:lvl>
  </w:abstractNum>
  <w:abstractNum w:abstractNumId="67">
    <w:nsid w:val="885E1B"/>
    <w:multiLevelType w:val="hybridMultilevel"/>
    <w:lvl w:ilvl="0">
      <w:lvlJc w:val="left"/>
      <w:lvlText w:val="(%1)"/>
      <w:numFmt w:val="lowerLetter"/>
      <w:start w:val="8"/>
    </w:lvl>
  </w:abstractNum>
  <w:abstractNum w:abstractNumId="68">
    <w:nsid w:val="76272110"/>
    <w:multiLevelType w:val="hybridMultilevel"/>
    <w:lvl w:ilvl="0">
      <w:lvlJc w:val="left"/>
      <w:lvlText w:val="(%1)"/>
      <w:numFmt w:val="lowerLetter"/>
      <w:start w:val="1"/>
    </w:lvl>
  </w:abstractNum>
  <w:abstractNum w:abstractNumId="69">
    <w:nsid w:val="4C04A8AF"/>
    <w:multiLevelType w:val="hybridMultilevel"/>
    <w:lvl w:ilvl="0">
      <w:lvlJc w:val="left"/>
      <w:lvlText w:val="(%1)"/>
      <w:numFmt w:val="lowerLetter"/>
      <w:start w:val="2"/>
    </w:lvl>
  </w:abstractNum>
  <w:abstractNum w:abstractNumId="70">
    <w:nsid w:val="1716703B"/>
    <w:multiLevelType w:val="hybridMultilevel"/>
    <w:lvl w:ilvl="0">
      <w:lvlJc w:val="left"/>
      <w:lvlText w:val="(%1)"/>
      <w:numFmt w:val="lowerLetter"/>
      <w:start w:val="3"/>
    </w:lvl>
  </w:abstractNum>
  <w:abstractNum w:abstractNumId="71">
    <w:nsid w:val="14E17E33"/>
    <w:multiLevelType w:val="hybridMultilevel"/>
    <w:lvl w:ilvl="0">
      <w:lvlJc w:val="left"/>
      <w:lvlText w:val="(%1)"/>
      <w:numFmt w:val="lowerLetter"/>
      <w:start w:val="4"/>
    </w:lvl>
  </w:abstractNum>
  <w:abstractNum w:abstractNumId="72">
    <w:nsid w:val="3222E7CD"/>
    <w:multiLevelType w:val="hybridMultilevel"/>
    <w:lvl w:ilvl="0">
      <w:lvlJc w:val="left"/>
      <w:lvlText w:val="(%1)"/>
      <w:numFmt w:val="lowerLetter"/>
      <w:start w:val="1"/>
    </w:lvl>
  </w:abstractNum>
  <w:abstractNum w:abstractNumId="73">
    <w:nsid w:val="74DE0EE3"/>
    <w:multiLevelType w:val="hybridMultilevel"/>
    <w:lvl w:ilvl="0">
      <w:lvlJc w:val="left"/>
      <w:lvlText w:val="(%1)"/>
      <w:numFmt w:val="lowerLetter"/>
      <w:start w:val="2"/>
    </w:lvl>
  </w:abstractNum>
  <w:abstractNum w:abstractNumId="74">
    <w:nsid w:val="68EBC550"/>
    <w:multiLevelType w:val="hybridMultilevel"/>
    <w:lvl w:ilvl="0">
      <w:lvlJc w:val="left"/>
      <w:lvlText w:val="(%1)"/>
      <w:numFmt w:val="lowerRoman"/>
      <w:start w:val="3"/>
    </w:lvl>
  </w:abstractNum>
  <w:abstractNum w:abstractNumId="75">
    <w:nsid w:val="2DF6D648"/>
    <w:multiLevelType w:val="hybridMultilevel"/>
    <w:lvl w:ilvl="0">
      <w:lvlJc w:val="left"/>
      <w:lvlText w:val="☐"/>
      <w:numFmt w:val="bullet"/>
      <w:start w:val="1"/>
    </w:lvl>
  </w:abstractNum>
  <w:abstractNum w:abstractNumId="76">
    <w:nsid w:val="46B7D447"/>
    <w:multiLevelType w:val="hybridMultilevel"/>
    <w:lvl w:ilvl="0">
      <w:lvlJc w:val="left"/>
      <w:lvlText w:val="%1."/>
      <w:numFmt w:val="decimal"/>
      <w:start w:val="1"/>
    </w:lvl>
  </w:abstractNum>
  <w:abstractNum w:abstractNumId="77">
    <w:nsid w:val="4A2AC315"/>
    <w:multiLevelType w:val="hybridMultilevel"/>
    <w:lvl w:ilvl="0">
      <w:lvlJc w:val="left"/>
      <w:lvlText w:val="%1."/>
      <w:numFmt w:val="decimal"/>
      <w:start w:val="2"/>
    </w:lvl>
  </w:abstractNum>
  <w:abstractNum w:abstractNumId="78">
    <w:nsid w:val="39EE015C"/>
    <w:multiLevelType w:val="hybridMultilevel"/>
    <w:lvl w:ilvl="0">
      <w:lvlJc w:val="left"/>
      <w:lvlText w:val="(%1)"/>
      <w:numFmt w:val="lowerLetter"/>
      <w:start w:val="1"/>
    </w:lvl>
    <w:lvl w:ilvl="1">
      <w:lvlJc w:val="left"/>
      <w:lvlText w:val="%2."/>
      <w:numFmt w:val="lowerLetter"/>
      <w:start w:val="1"/>
    </w:lvl>
  </w:abstractNum>
  <w:abstractNum w:abstractNumId="79">
    <w:nsid w:val="57FC4FBB"/>
    <w:multiLevelType w:val="hybridMultilevel"/>
    <w:lvl w:ilvl="0">
      <w:lvlJc w:val="left"/>
      <w:lvlText w:val="%1."/>
      <w:numFmt w:val="lowerLetter"/>
      <w:start w:val="2"/>
    </w:lvl>
  </w:abstractNum>
  <w:abstractNum w:abstractNumId="80">
    <w:nsid w:val="CC1016F"/>
    <w:multiLevelType w:val="hybridMultilevel"/>
    <w:lvl w:ilvl="0">
      <w:lvlJc w:val="left"/>
      <w:lvlText w:val="(%1)"/>
      <w:numFmt w:val="lowerLetter"/>
      <w:start w:val="4"/>
    </w:lvl>
  </w:abstractNum>
  <w:abstractNum w:abstractNumId="81">
    <w:nsid w:val="43F18422"/>
    <w:multiLevelType w:val="hybridMultilevel"/>
    <w:lvl w:ilvl="0">
      <w:lvlJc w:val="left"/>
      <w:lvlText w:val="(%1)"/>
      <w:numFmt w:val="lowerLetter"/>
      <w:start w:val="5"/>
    </w:lvl>
  </w:abstractNum>
  <w:abstractNum w:abstractNumId="82">
    <w:nsid w:val="60EF0119"/>
    <w:multiLevelType w:val="hybridMultilevel"/>
    <w:lvl w:ilvl="0">
      <w:lvlJc w:val="left"/>
      <w:lvlText w:val="%1."/>
      <w:numFmt w:val="decimal"/>
      <w:start w:val="3"/>
    </w:lvl>
  </w:abstractNum>
  <w:abstractNum w:abstractNumId="83">
    <w:nsid w:val="26F324BA"/>
    <w:multiLevelType w:val="hybridMultilevel"/>
    <w:lvl w:ilvl="0">
      <w:lvlJc w:val="left"/>
      <w:lvlText w:val="(%1)"/>
      <w:numFmt w:val="lowerLetter"/>
      <w:start w:val="1"/>
    </w:lvl>
  </w:abstractNum>
  <w:abstractNum w:abstractNumId="84">
    <w:nsid w:val="7F01579B"/>
    <w:multiLevelType w:val="hybridMultilevel"/>
    <w:lvl w:ilvl="0">
      <w:lvlJc w:val="left"/>
      <w:lvlText w:val="(%1)"/>
      <w:numFmt w:val="lowerLetter"/>
      <w:start w:val="2"/>
    </w:lvl>
  </w:abstractNum>
  <w:abstractNum w:abstractNumId="85">
    <w:nsid w:val="49DA307D"/>
    <w:multiLevelType w:val="hybridMultilevel"/>
    <w:lvl w:ilvl="0">
      <w:lvlJc w:val="left"/>
      <w:lvlText w:val="(%1)"/>
      <w:numFmt w:val="lowerLetter"/>
      <w:start w:val="4"/>
    </w:lvl>
  </w:abstractNum>
  <w:abstractNum w:abstractNumId="86">
    <w:nsid w:val="7055A5F5"/>
    <w:multiLevelType w:val="hybridMultilevel"/>
    <w:lvl w:ilvl="0">
      <w:lvlJc w:val="left"/>
      <w:lvlText w:val="(%1)"/>
      <w:numFmt w:val="lowerLetter"/>
      <w:start w:val="7"/>
    </w:lvl>
  </w:abstractNum>
  <w:abstractNum w:abstractNumId="87">
    <w:nsid w:val="5FB8370B"/>
    <w:multiLevelType w:val="hybridMultilevel"/>
    <w:lvl w:ilvl="0">
      <w:lvlJc w:val="left"/>
      <w:lvlText w:val="(%1)"/>
      <w:numFmt w:val="lowerLetter"/>
      <w:start w:val="11"/>
    </w:lvl>
  </w:abstractNum>
  <w:abstractNum w:abstractNumId="88">
    <w:nsid w:val="50801EE1"/>
    <w:multiLevelType w:val="hybridMultilevel"/>
    <w:lvl w:ilvl="0">
      <w:lvlJc w:val="left"/>
      <w:lvlText w:val="%1."/>
      <w:numFmt w:val="decimal"/>
      <w:start w:val="4"/>
    </w:lvl>
  </w:abstractNum>
  <w:abstractNum w:abstractNumId="89">
    <w:nsid w:val="488AC1A"/>
    <w:multiLevelType w:val="hybridMultilevel"/>
    <w:lvl w:ilvl="0">
      <w:lvlJc w:val="left"/>
      <w:lvlText w:val="%1."/>
      <w:numFmt w:val="decimal"/>
      <w:start w:val="5"/>
    </w:lvl>
  </w:abstractNum>
  <w:abstractNum w:abstractNumId="90">
    <w:nsid w:val="5FB8011C"/>
    <w:multiLevelType w:val="hybridMultilevel"/>
    <w:lvl w:ilvl="0">
      <w:lvlJc w:val="left"/>
      <w:lvlText w:val="(%1)"/>
      <w:numFmt w:val="lowerLetter"/>
      <w:start w:val="1"/>
    </w:lvl>
  </w:abstractNum>
  <w:abstractNum w:abstractNumId="91">
    <w:nsid w:val="6AA78F7F"/>
    <w:multiLevelType w:val="hybridMultilevel"/>
    <w:lvl w:ilvl="0">
      <w:lvlJc w:val="left"/>
      <w:lvlText w:val="(%1)"/>
      <w:numFmt w:val="lowerLetter"/>
      <w:start w:val="2"/>
    </w:lvl>
  </w:abstractNum>
  <w:abstractNum w:abstractNumId="92">
    <w:nsid w:val="7672BD23"/>
    <w:multiLevelType w:val="hybridMultilevel"/>
    <w:lvl w:ilvl="0">
      <w:lvlJc w:val="left"/>
      <w:lvlText w:val="(%1)"/>
      <w:numFmt w:val="lowerLetter"/>
      <w:start w:val="4"/>
    </w:lvl>
  </w:abstractNum>
  <w:abstractNum w:abstractNumId="93">
    <w:nsid w:val="6FC75AF8"/>
    <w:multiLevelType w:val="hybridMultilevel"/>
    <w:lvl w:ilvl="0">
      <w:lvlJc w:val="left"/>
      <w:lvlText w:val="%1."/>
      <w:numFmt w:val="decimal"/>
      <w:start w:val="6"/>
    </w:lvl>
  </w:abstractNum>
  <w:abstractNum w:abstractNumId="94">
    <w:nsid w:val="6A5F7029"/>
    <w:multiLevelType w:val="hybridMultilevel"/>
    <w:lvl w:ilvl="0">
      <w:lvlJc w:val="left"/>
      <w:lvlText w:val="(%1)"/>
      <w:numFmt w:val="lowerLetter"/>
      <w:start w:val="1"/>
    </w:lvl>
  </w:abstractNum>
  <w:abstractNum w:abstractNumId="95">
    <w:nsid w:val="7D5E18F8"/>
    <w:multiLevelType w:val="hybridMultilevel"/>
    <w:lvl w:ilvl="0">
      <w:lvlJc w:val="left"/>
      <w:lvlText w:val="(%1)"/>
      <w:numFmt w:val="lowerLetter"/>
      <w:start w:val="3"/>
    </w:lvl>
  </w:abstractNum>
  <w:abstractNum w:abstractNumId="96">
    <w:nsid w:val="5F3534A4"/>
    <w:multiLevelType w:val="hybridMultilevel"/>
    <w:lvl w:ilvl="0">
      <w:lvlJc w:val="left"/>
      <w:lvlText w:val="(%1)"/>
      <w:numFmt w:val="lowerLetter"/>
      <w:start w:val="7"/>
    </w:lvl>
  </w:abstractNum>
  <w:abstractNum w:abstractNumId="97">
    <w:nsid w:val="73A1821B"/>
    <w:multiLevelType w:val="hybridMultilevel"/>
    <w:lvl w:ilvl="0">
      <w:lvlJc w:val="left"/>
      <w:lvlText w:val="(%1)"/>
      <w:numFmt w:val="lowerLetter"/>
      <w:start w:val="13"/>
    </w:lvl>
  </w:abstractNum>
  <w:abstractNum w:abstractNumId="98">
    <w:nsid w:val="7DE67713"/>
    <w:multiLevelType w:val="hybridMultilevel"/>
    <w:lvl w:ilvl="0">
      <w:lvlJc w:val="left"/>
      <w:lvlText w:val="•"/>
      <w:numFmt w:val="bullet"/>
      <w:start w:val="1"/>
    </w:lvl>
  </w:abstractNum>
  <w:abstractNum w:abstractNumId="99">
    <w:nsid w:val="555C55B5"/>
    <w:multiLevelType w:val="hybridMultilevel"/>
    <w:lvl w:ilvl="0">
      <w:lvlJc w:val="left"/>
      <w:lvlText w:val="%1."/>
      <w:numFmt w:val="decimal"/>
      <w:start w:val="1"/>
    </w:lvl>
    <w:lvl w:ilvl="1">
      <w:lvlJc w:val="left"/>
      <w:lvlText w:val="(%2)"/>
      <w:numFmt w:val="lowerLetter"/>
      <w:start w:val="1"/>
    </w:lvl>
  </w:abstractNum>
  <w:abstractNum w:abstractNumId="100">
    <w:nsid w:val="3FA62ACA"/>
    <w:multiLevelType w:val="hybridMultilevel"/>
    <w:lvl w:ilvl="0">
      <w:lvlJc w:val="left"/>
      <w:lvlText w:val="%1."/>
      <w:numFmt w:val="decimal"/>
      <w:start w:val="3"/>
    </w:lvl>
    <w:lvl w:ilvl="1">
      <w:lvlJc w:val="left"/>
      <w:lvlText w:val="(%2)"/>
      <w:numFmt w:val="lowerLetter"/>
      <w:start w:val="1"/>
    </w:lvl>
  </w:abstractNum>
  <w:abstractNum w:abstractNumId="101">
    <w:nsid w:val="14FCE74E"/>
    <w:multiLevelType w:val="hybridMultilevel"/>
    <w:lvl w:ilvl="0">
      <w:lvlJc w:val="left"/>
      <w:lvlText w:val="(%1)"/>
      <w:numFmt w:val="lowerLetter"/>
      <w:start w:val="2"/>
    </w:lvl>
  </w:abstractNum>
  <w:abstractNum w:abstractNumId="102">
    <w:nsid w:val="6A3DD3E8"/>
    <w:multiLevelType w:val="hybridMultilevel"/>
    <w:lvl w:ilvl="0">
      <w:lvlJc w:val="left"/>
      <w:lvlText w:val="(%1)"/>
      <w:numFmt w:val="lowerLetter"/>
      <w:start w:val="4"/>
    </w:lvl>
  </w:abstractNum>
  <w:abstractNum w:abstractNumId="103">
    <w:nsid w:val="71C91298"/>
    <w:multiLevelType w:val="hybridMultilevel"/>
    <w:lvl w:ilvl="0">
      <w:lvlJc w:val="left"/>
      <w:lvlText w:val="%1."/>
      <w:numFmt w:val="decimal"/>
      <w:start w:val="4"/>
    </w:lvl>
    <w:lvl w:ilvl="1">
      <w:lvlJc w:val="left"/>
      <w:lvlText w:val="(%2)"/>
      <w:numFmt w:val="lowerLetter"/>
      <w:start w:val="1"/>
    </w:lvl>
  </w:abstractNum>
  <w:abstractNum w:abstractNumId="104">
    <w:nsid w:val="9DAF63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2026-05-29T17:54:10Z</dcterms:created>
  <dcterms:modified xsi:type="dcterms:W3CDTF">2026-05-29T17:54:10Z</dcterms:modified>
</cp:coreProperties>
</file>