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ind w:left="5100"/>
        <w:spacing w:after="0"/>
        <w:rPr>
          <w:sz w:val="20"/>
          <w:szCs w:val="20"/>
          <w:color w:val="auto"/>
        </w:rPr>
      </w:pPr>
      <w:r>
        <w:rPr>
          <w:rFonts w:ascii="Arial" w:cs="Arial" w:eastAsia="Arial" w:hAnsi="Arial"/>
          <w:sz w:val="18"/>
          <w:szCs w:val="18"/>
          <w:b w:val="1"/>
          <w:bCs w:val="1"/>
          <w:color w:val="auto"/>
        </w:rPr>
        <w:t>FORM 8-K/A</w:t>
      </w:r>
    </w:p>
    <w:p>
      <w:pPr>
        <w:spacing w:after="0" w:line="2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(Amendment No. 1)</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August 12,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MOMENTUS INC.</w:t>
      </w:r>
    </w:p>
    <w:p>
      <w:pPr>
        <w:spacing w:after="0" w:line="3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2940" w:type="dxa"/>
            <w:vAlign w:val="bottom"/>
          </w:tcPr>
          <w:p>
            <w:pPr>
              <w:jc w:val="center"/>
              <w:ind w:left="590"/>
              <w:spacing w:after="0"/>
              <w:rPr>
                <w:sz w:val="20"/>
                <w:szCs w:val="20"/>
                <w:color w:val="auto"/>
              </w:rPr>
            </w:pPr>
            <w:r>
              <w:rPr>
                <w:rFonts w:ascii="Arial" w:cs="Arial" w:eastAsia="Arial" w:hAnsi="Arial"/>
                <w:sz w:val="18"/>
                <w:szCs w:val="18"/>
                <w:b w:val="1"/>
                <w:bCs w:val="1"/>
                <w:color w:val="auto"/>
                <w:w w:val="93"/>
              </w:rPr>
              <w:t>Delaware</w:t>
            </w:r>
          </w:p>
        </w:tc>
        <w:tc>
          <w:tcPr>
            <w:tcW w:w="450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90"/>
              </w:rPr>
              <w:t>001-39128</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1"/>
              </w:rPr>
              <w:t>84-1905538</w:t>
            </w:r>
          </w:p>
        </w:tc>
      </w:tr>
      <w:tr>
        <w:trPr>
          <w:trHeight w:val="198"/>
        </w:trPr>
        <w:tc>
          <w:tcPr>
            <w:tcW w:w="2940" w:type="dxa"/>
            <w:vAlign w:val="bottom"/>
            <w:tcBorders>
              <w:top w:val="single" w:sz="8" w:color="auto"/>
            </w:tcBorders>
          </w:tcPr>
          <w:p>
            <w:pPr>
              <w:jc w:val="center"/>
              <w:ind w:left="590"/>
              <w:spacing w:after="0" w:line="198" w:lineRule="exact"/>
              <w:rPr>
                <w:sz w:val="20"/>
                <w:szCs w:val="20"/>
                <w:color w:val="auto"/>
              </w:rPr>
            </w:pPr>
            <w:r>
              <w:rPr>
                <w:rFonts w:ascii="Arial" w:cs="Arial" w:eastAsia="Arial" w:hAnsi="Arial"/>
                <w:sz w:val="18"/>
                <w:szCs w:val="18"/>
                <w:b w:val="1"/>
                <w:bCs w:val="1"/>
                <w:color w:val="auto"/>
                <w:w w:val="91"/>
              </w:rPr>
              <w:t>(State or other jurisdiction</w:t>
            </w: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7"/>
              </w:rPr>
              <w:t>(Commission</w:t>
            </w:r>
          </w:p>
        </w:tc>
        <w:tc>
          <w:tcPr>
            <w:tcW w:w="2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tcPr>
          <w:p>
            <w:pPr>
              <w:jc w:val="center"/>
              <w:ind w:right="750"/>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2940" w:type="dxa"/>
            <w:vAlign w:val="bottom"/>
          </w:tcPr>
          <w:p>
            <w:pPr>
              <w:jc w:val="center"/>
              <w:ind w:left="590"/>
              <w:spacing w:after="0"/>
              <w:rPr>
                <w:sz w:val="20"/>
                <w:szCs w:val="20"/>
                <w:color w:val="auto"/>
              </w:rPr>
            </w:pPr>
            <w:r>
              <w:rPr>
                <w:rFonts w:ascii="Arial" w:cs="Arial" w:eastAsia="Arial" w:hAnsi="Arial"/>
                <w:sz w:val="18"/>
                <w:szCs w:val="18"/>
                <w:b w:val="1"/>
                <w:bCs w:val="1"/>
                <w:color w:val="auto"/>
                <w:w w:val="90"/>
              </w:rPr>
              <w:t>of incorporation)</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4"/>
              </w:rPr>
              <w:t>File Number)</w:t>
            </w:r>
          </w:p>
        </w:tc>
        <w:tc>
          <w:tcPr>
            <w:tcW w:w="2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91"/>
              </w:rPr>
              <w:t>3901 N. First Street</w:t>
            </w:r>
          </w:p>
        </w:tc>
        <w:tc>
          <w:tcPr>
            <w:tcW w:w="276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gridSpan w:val="3"/>
          </w:tcPr>
          <w:p>
            <w:pPr>
              <w:jc w:val="center"/>
              <w:ind w:right="1080"/>
              <w:spacing w:after="0"/>
              <w:rPr>
                <w:sz w:val="20"/>
                <w:szCs w:val="20"/>
                <w:color w:val="auto"/>
              </w:rPr>
            </w:pPr>
            <w:r>
              <w:rPr>
                <w:rFonts w:ascii="Arial" w:cs="Arial" w:eastAsia="Arial" w:hAnsi="Arial"/>
                <w:sz w:val="18"/>
                <w:szCs w:val="18"/>
                <w:b w:val="1"/>
                <w:bCs w:val="1"/>
                <w:color w:val="auto"/>
                <w:w w:val="89"/>
              </w:rPr>
              <w:t>San Jose, California 95134</w:t>
            </w:r>
          </w:p>
        </w:tc>
        <w:tc>
          <w:tcPr>
            <w:tcW w:w="2760" w:type="dxa"/>
            <w:vAlign w:val="bottom"/>
          </w:tcPr>
          <w:p>
            <w:pPr>
              <w:spacing w:after="0"/>
              <w:rPr>
                <w:sz w:val="18"/>
                <w:szCs w:val="18"/>
                <w:color w:val="auto"/>
              </w:rPr>
            </w:pPr>
          </w:p>
        </w:tc>
      </w:tr>
      <w:tr>
        <w:trPr>
          <w:trHeight w:val="234"/>
        </w:trPr>
        <w:tc>
          <w:tcPr>
            <w:tcW w:w="2940" w:type="dxa"/>
            <w:vAlign w:val="bottom"/>
          </w:tcPr>
          <w:p>
            <w:pPr>
              <w:spacing w:after="0"/>
              <w:rPr>
                <w:sz w:val="20"/>
                <w:szCs w:val="20"/>
                <w:color w:val="auto"/>
              </w:rPr>
            </w:pPr>
          </w:p>
        </w:tc>
        <w:tc>
          <w:tcPr>
            <w:tcW w:w="554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8"/>
              </w:rPr>
              <w:t>(Address of principal executive offices, including zip code)</w:t>
            </w:r>
          </w:p>
        </w:tc>
        <w:tc>
          <w:tcPr>
            <w:tcW w:w="276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554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9"/>
              </w:rPr>
              <w:t>Registrant’s telephone number, including area code: (650) 564-7820</w:t>
            </w:r>
          </w:p>
        </w:tc>
        <w:tc>
          <w:tcPr>
            <w:tcW w:w="2760" w:type="dxa"/>
            <w:vAlign w:val="bottom"/>
          </w:tcPr>
          <w:p>
            <w:pPr>
              <w:spacing w:after="0"/>
              <w:rPr>
                <w:sz w:val="24"/>
                <w:szCs w:val="24"/>
                <w:color w:val="auto"/>
              </w:rPr>
            </w:pPr>
          </w:p>
        </w:tc>
      </w:tr>
      <w:tr>
        <w:trPr>
          <w:trHeight w:val="414"/>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Arial" w:cs="Arial" w:eastAsia="Arial" w:hAnsi="Arial"/>
                <w:sz w:val="18"/>
                <w:szCs w:val="18"/>
                <w:b w:val="1"/>
                <w:bCs w:val="1"/>
                <w:color w:val="auto"/>
                <w:w w:val="91"/>
              </w:rPr>
              <w:t>Stable Road Acquisition Corp.</w:t>
            </w:r>
          </w:p>
        </w:tc>
        <w:tc>
          <w:tcPr>
            <w:tcW w:w="2760" w:type="dxa"/>
            <w:vAlign w:val="bottom"/>
          </w:tcPr>
          <w:p>
            <w:pPr>
              <w:spacing w:after="0"/>
              <w:rPr>
                <w:sz w:val="24"/>
                <w:szCs w:val="24"/>
                <w:color w:val="auto"/>
              </w:rPr>
            </w:pPr>
          </w:p>
        </w:tc>
      </w:tr>
      <w:tr>
        <w:trPr>
          <w:trHeight w:val="234"/>
        </w:trPr>
        <w:tc>
          <w:tcPr>
            <w:tcW w:w="2940" w:type="dxa"/>
            <w:vAlign w:val="bottom"/>
          </w:tcPr>
          <w:p>
            <w:pPr>
              <w:spacing w:after="0"/>
              <w:rPr>
                <w:sz w:val="20"/>
                <w:szCs w:val="20"/>
                <w:color w:val="auto"/>
              </w:rPr>
            </w:pPr>
          </w:p>
        </w:tc>
        <w:tc>
          <w:tcPr>
            <w:tcW w:w="554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9"/>
              </w:rPr>
              <w:t>(Former name or former address, if changed since last report)</w:t>
            </w:r>
          </w:p>
        </w:tc>
        <w:tc>
          <w:tcPr>
            <w:tcW w:w="276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8"/>
        </w:trPr>
        <w:tc>
          <w:tcPr>
            <w:tcW w:w="362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89"/>
              </w:rPr>
              <w:t>Class A Common Stock, par value of $0.00001</w:t>
            </w:r>
          </w:p>
        </w:tc>
        <w:tc>
          <w:tcPr>
            <w:tcW w:w="2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rPr>
              <w:t>MNTS</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4"/>
              </w:rPr>
              <w:t>The Nasdaq Stock Market LLC</w:t>
            </w: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91"/>
              </w:rPr>
              <w:t>per 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198"/>
        </w:trPr>
        <w:tc>
          <w:tcPr>
            <w:tcW w:w="384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8"/>
              </w:rPr>
              <w:t>Warrants, each exercisable for one share of</w:t>
            </w:r>
          </w:p>
        </w:tc>
        <w:tc>
          <w:tcPr>
            <w:tcW w:w="380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rPr>
              <w:t>MNTSW</w:t>
            </w:r>
          </w:p>
        </w:tc>
        <w:tc>
          <w:tcPr>
            <w:tcW w:w="36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4"/>
              </w:rPr>
              <w:t>The Nasdaq Stock Market LLC</w:t>
            </w:r>
          </w:p>
        </w:tc>
      </w:t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Class A Common Stock for $10.00 per share</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579120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Introductory Note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18, 2021, Momentus Inc., a Delaware corporation (f/k/a Stable Road Acquisition Corp.) (the “Company”), filed a Current Report on Form 8-K (the “Original Report”) to report the Closing and related matters under Items 1.01, 2.01, 3.02, 3.03, 4.01, 5.01, 5.02, 5.06 and 9.01 of Form 8-K. Due to the large number of events to be reported under the specified items of Form 8-K, this Amendment No. 1 to Form 8-K is being filed to amend the Original Report to include additional matters related to the transactions under Items 5.03 and 5.05 of Form 8-K.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herein but not defined herein have the meanings given to such terms in the Original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Amended and Restated Certificate of Incorporation</w:t>
      </w:r>
    </w:p>
    <w:p>
      <w:pPr>
        <w:spacing w:after="0" w:line="229" w:lineRule="exact"/>
        <w:rPr>
          <w:sz w:val="20"/>
          <w:szCs w:val="20"/>
          <w:color w:val="auto"/>
        </w:rPr>
      </w:pPr>
    </w:p>
    <w:p>
      <w:pPr>
        <w:jc w:val="both"/>
        <w:spacing w:after="0" w:line="255" w:lineRule="auto"/>
        <w:rPr>
          <w:rFonts w:ascii="Arial" w:cs="Arial" w:eastAsia="Arial" w:hAnsi="Arial"/>
          <w:sz w:val="18"/>
          <w:szCs w:val="18"/>
          <w:i w:val="1"/>
          <w:iCs w:val="1"/>
          <w:color w:val="0000EE"/>
        </w:rPr>
      </w:pPr>
      <w:r>
        <w:rPr>
          <w:rFonts w:ascii="Arial" w:cs="Arial" w:eastAsia="Arial" w:hAnsi="Arial"/>
          <w:sz w:val="18"/>
          <w:szCs w:val="18"/>
          <w:color w:val="auto"/>
        </w:rPr>
        <w:t xml:space="preserve">On the Closing Date, in connection with the Closing, the Company filed the Second Amended and Restated Certificate of Incorporation (the “Amended and Restated Charter”) with the Secretary of State of the State of Delaware. The material terms of the Amended and Restated Charter and the general effect </w:t>
      </w:r>
      <w:hyperlink r:id="rId13">
        <w:r>
          <w:rPr>
            <w:rFonts w:ascii="Arial" w:cs="Arial" w:eastAsia="Arial" w:hAnsi="Arial"/>
            <w:sz w:val="18"/>
            <w:szCs w:val="18"/>
            <w:color w:val="auto"/>
          </w:rPr>
          <w:t>upon the rights of holders of the Company’s capital stock are described in the sections of the Proxy Statement/Prospectus titled “</w:t>
        </w:r>
        <w:r>
          <w:rPr>
            <w:rFonts w:ascii="Arial" w:cs="Arial" w:eastAsia="Arial" w:hAnsi="Arial"/>
            <w:sz w:val="18"/>
            <w:szCs w:val="18"/>
            <w:i w:val="1"/>
            <w:iCs w:val="1"/>
            <w:u w:val="single" w:color="auto"/>
            <w:color w:val="0000EE"/>
          </w:rPr>
          <w:t>Proposal No. 2 - The</w:t>
        </w:r>
      </w:hyperlink>
      <w:r>
        <w:rPr>
          <w:rFonts w:ascii="Arial" w:cs="Arial" w:eastAsia="Arial" w:hAnsi="Arial"/>
          <w:sz w:val="18"/>
          <w:szCs w:val="18"/>
          <w:color w:val="auto"/>
        </w:rPr>
        <w:t xml:space="preserve"> </w:t>
      </w:r>
      <w:hyperlink r:id="rId13">
        <w:r>
          <w:rPr>
            <w:rFonts w:ascii="Arial" w:cs="Arial" w:eastAsia="Arial" w:hAnsi="Arial"/>
            <w:sz w:val="18"/>
            <w:szCs w:val="18"/>
            <w:i w:val="1"/>
            <w:iCs w:val="1"/>
            <w:u w:val="single" w:color="auto"/>
            <w:color w:val="0000EE"/>
          </w:rPr>
          <w:t>Charter Amendment Proposal</w:t>
        </w:r>
        <w:r>
          <w:rPr>
            <w:rFonts w:ascii="Arial" w:cs="Arial" w:eastAsia="Arial" w:hAnsi="Arial"/>
            <w:sz w:val="18"/>
            <w:szCs w:val="18"/>
            <w:u w:val="single" w:color="auto"/>
            <w:color w:val="0000EE"/>
          </w:rPr>
          <w:t>,” “</w:t>
        </w:r>
        <w:r>
          <w:rPr>
            <w:rFonts w:ascii="Arial" w:cs="Arial" w:eastAsia="Arial" w:hAnsi="Arial"/>
            <w:sz w:val="18"/>
            <w:szCs w:val="18"/>
            <w:i w:val="1"/>
            <w:iCs w:val="1"/>
            <w:u w:val="single" w:color="auto"/>
            <w:color w:val="0000EE"/>
          </w:rPr>
          <w:t>Proposal Nos. 3A through 3G - The Governance Proposals</w:t>
        </w:r>
        <w:r>
          <w:rPr>
            <w:rFonts w:ascii="Arial" w:cs="Arial" w:eastAsia="Arial" w:hAnsi="Arial"/>
            <w:sz w:val="18"/>
            <w:szCs w:val="18"/>
            <w:u w:val="single" w:color="auto"/>
            <w:color w:val="0000EE"/>
          </w:rPr>
          <w:t>,” and “</w:t>
        </w:r>
        <w:r>
          <w:rPr>
            <w:rFonts w:ascii="Arial" w:cs="Arial" w:eastAsia="Arial" w:hAnsi="Arial"/>
            <w:sz w:val="18"/>
            <w:szCs w:val="18"/>
            <w:i w:val="1"/>
            <w:iCs w:val="1"/>
            <w:u w:val="single" w:color="auto"/>
            <w:color w:val="0000EE"/>
          </w:rPr>
          <w:t>Description of Securities – Certain Anti-Takeover</w:t>
        </w:r>
      </w:hyperlink>
      <w:r>
        <w:rPr>
          <w:rFonts w:ascii="Arial" w:cs="Arial" w:eastAsia="Arial" w:hAnsi="Arial"/>
          <w:sz w:val="18"/>
          <w:szCs w:val="18"/>
          <w:i w:val="1"/>
          <w:iCs w:val="1"/>
          <w:u w:val="single" w:color="auto"/>
          <w:color w:val="0000EE"/>
        </w:rPr>
        <w:t xml:space="preserve"> </w:t>
      </w:r>
      <w:hyperlink r:id="rId13">
        <w:r>
          <w:rPr>
            <w:rFonts w:ascii="Arial" w:cs="Arial" w:eastAsia="Arial" w:hAnsi="Arial"/>
            <w:sz w:val="18"/>
            <w:szCs w:val="18"/>
            <w:i w:val="1"/>
            <w:iCs w:val="1"/>
            <w:u w:val="single" w:color="auto"/>
            <w:color w:val="0000EE"/>
          </w:rPr>
          <w:t>Provisions of Delaware Law</w:t>
        </w:r>
        <w:r>
          <w:rPr>
            <w:rFonts w:ascii="Arial" w:cs="Arial" w:eastAsia="Arial" w:hAnsi="Arial"/>
            <w:sz w:val="18"/>
            <w:szCs w:val="18"/>
            <w:u w:val="single" w:color="auto"/>
            <w:color w:val="0000EE"/>
          </w:rPr>
          <w:t>,</w:t>
        </w:r>
        <w:r>
          <w:rPr>
            <w:rFonts w:ascii="Arial" w:cs="Arial" w:eastAsia="Arial" w:hAnsi="Arial"/>
            <w:sz w:val="18"/>
            <w:szCs w:val="18"/>
            <w:color w:val="000000"/>
          </w:rPr>
          <w:t>” which information is incorporated herein by reference. A copy of the Amended and Restated Charter is attached hereto as</w:t>
        </w:r>
      </w:hyperlink>
      <w:r>
        <w:rPr>
          <w:rFonts w:ascii="Arial" w:cs="Arial" w:eastAsia="Arial" w:hAnsi="Arial"/>
          <w:sz w:val="18"/>
          <w:szCs w:val="18"/>
          <w:i w:val="1"/>
          <w:iCs w:val="1"/>
          <w:color w:val="0000EE"/>
        </w:rPr>
        <w:t xml:space="preserve"> </w:t>
      </w:r>
      <w:r>
        <w:rPr>
          <w:rFonts w:ascii="Arial" w:cs="Arial" w:eastAsia="Arial" w:hAnsi="Arial"/>
          <w:sz w:val="18"/>
          <w:szCs w:val="18"/>
          <w:color w:val="000000"/>
        </w:rPr>
        <w:t>Exhibit 3.1 and incorporated herein by reference.</w:t>
      </w:r>
    </w:p>
    <w:p>
      <w:pPr>
        <w:spacing w:after="0" w:line="188"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Amended and Restated Bylaws</w:t>
      </w:r>
    </w:p>
    <w:p>
      <w:pPr>
        <w:spacing w:after="0" w:line="229" w:lineRule="exact"/>
        <w:rPr>
          <w:rFonts w:ascii="Arial" w:cs="Arial" w:eastAsia="Arial" w:hAnsi="Arial"/>
          <w:sz w:val="18"/>
          <w:szCs w:val="18"/>
          <w:color w:val="auto"/>
        </w:rPr>
      </w:pPr>
    </w:p>
    <w:p>
      <w:pPr>
        <w:jc w:val="both"/>
        <w:spacing w:after="0" w:line="286" w:lineRule="auto"/>
        <w:rPr>
          <w:sz w:val="20"/>
          <w:szCs w:val="20"/>
          <w:color w:val="auto"/>
        </w:rPr>
      </w:pPr>
      <w:r>
        <w:rPr>
          <w:rFonts w:ascii="Arial" w:cs="Arial" w:eastAsia="Arial" w:hAnsi="Arial"/>
          <w:sz w:val="17"/>
          <w:szCs w:val="17"/>
          <w:color w:val="auto"/>
        </w:rPr>
        <w:t>Upon the Closing, the Company’s bylaws were amended and restated to be consistent with the Amended and Restated Charter described above and to make certain other changes that the Board deemed appropriate for a public operating company. This summary is qualified in its entirety by reference to the text of the amended and restated bylaws, a copy of which is attached hereto as Exhibit 3.2 and incorporated herein by reference.</w:t>
      </w:r>
    </w:p>
    <w:p>
      <w:pPr>
        <w:spacing w:after="0" w:line="16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5.05. Amendments to the Registrant’s Code of Ethics, or Waiver of a Provision of the Code of Ethics.</w:t>
      </w:r>
    </w:p>
    <w:p>
      <w:pPr>
        <w:spacing w:after="0" w:line="229" w:lineRule="exact"/>
        <w:rPr>
          <w:rFonts w:ascii="Arial" w:cs="Arial" w:eastAsia="Arial" w:hAnsi="Arial"/>
          <w:sz w:val="18"/>
          <w:szCs w:val="18"/>
          <w:color w:val="auto"/>
        </w:rPr>
      </w:pPr>
    </w:p>
    <w:p>
      <w:pPr>
        <w:jc w:val="both"/>
        <w:ind w:right="20"/>
        <w:spacing w:after="0" w:line="308" w:lineRule="auto"/>
        <w:rPr>
          <w:sz w:val="20"/>
          <w:szCs w:val="20"/>
          <w:color w:val="auto"/>
        </w:rPr>
      </w:pPr>
      <w:r>
        <w:rPr>
          <w:rFonts w:ascii="Arial" w:cs="Arial" w:eastAsia="Arial" w:hAnsi="Arial"/>
          <w:sz w:val="17"/>
          <w:szCs w:val="17"/>
          <w:color w:val="auto"/>
        </w:rPr>
        <w:t>Effective as of the Closing, the Board approved and adopted a new Code of Conduct applicable to all employees, officers and directors of the Company, including the Company’s chief executive officer, chief financial officer and controller and any other persons performing similar functions.</w:t>
      </w:r>
    </w:p>
    <w:p>
      <w:pPr>
        <w:spacing w:after="0" w:line="362"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List of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900" w:type="dxa"/>
            <w:vAlign w:val="bottom"/>
            <w:gridSpan w:val="18"/>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2.1*</w:t>
            </w:r>
          </w:p>
        </w:tc>
        <w:tc>
          <w:tcPr>
            <w:tcW w:w="22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right w:val="single" w:sz="8" w:color="CCEEFF"/>
            </w:tcBorders>
            <w:gridSpan w:val="17"/>
            <w:shd w:val="clear" w:color="auto" w:fill="CCEEFF"/>
          </w:tcPr>
          <w:p>
            <w:pPr>
              <w:spacing w:after="0" w:line="176" w:lineRule="exact"/>
              <w:rPr>
                <w:rFonts w:ascii="Arial" w:cs="Arial" w:eastAsia="Arial" w:hAnsi="Arial"/>
                <w:sz w:val="18"/>
                <w:szCs w:val="18"/>
                <w:color w:val="0000EE"/>
                <w:w w:val="91"/>
              </w:rPr>
            </w:pPr>
            <w:hyperlink r:id="rId15">
              <w:r>
                <w:rPr>
                  <w:rFonts w:ascii="Arial" w:cs="Arial" w:eastAsia="Arial" w:hAnsi="Arial"/>
                  <w:sz w:val="18"/>
                  <w:szCs w:val="18"/>
                  <w:color w:val="0000EE"/>
                  <w:w w:val="91"/>
                </w:rPr>
                <w:t>Agreement and Plan of Merger, dated as of October 7, 2020, by and among Stable Road Acquisition Corp., Project Marvel First Merger</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80" w:type="dxa"/>
            <w:vAlign w:val="bottom"/>
            <w:tcBorders>
              <w:right w:val="single" w:sz="8" w:color="CCEEFF"/>
            </w:tcBorders>
            <w:gridSpan w:val="17"/>
            <w:shd w:val="clear" w:color="auto" w:fill="CCEEFF"/>
          </w:tcPr>
          <w:p>
            <w:pPr>
              <w:spacing w:after="0" w:line="196" w:lineRule="exact"/>
              <w:rPr>
                <w:rFonts w:ascii="Arial" w:cs="Arial" w:eastAsia="Arial" w:hAnsi="Arial"/>
                <w:sz w:val="18"/>
                <w:szCs w:val="18"/>
                <w:color w:val="0000EE"/>
                <w:w w:val="94"/>
              </w:rPr>
            </w:pPr>
            <w:hyperlink r:id="rId15">
              <w:r>
                <w:rPr>
                  <w:rFonts w:ascii="Arial" w:cs="Arial" w:eastAsia="Arial" w:hAnsi="Arial"/>
                  <w:sz w:val="18"/>
                  <w:szCs w:val="18"/>
                  <w:color w:val="0000EE"/>
                  <w:w w:val="94"/>
                </w:rPr>
                <w:t>Sub, Inc., Project Marvel Second Merger Sub, LLC, and Momentus Inc. (incorporated by reference to Exhibit 2.1 to the Company’s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880" w:type="dxa"/>
            <w:vAlign w:val="bottom"/>
            <w:tcBorders>
              <w:top w:val="single" w:sz="8" w:color="0000EE"/>
              <w:right w:val="single" w:sz="8" w:color="CCEEFF"/>
            </w:tcBorders>
            <w:gridSpan w:val="17"/>
            <w:shd w:val="clear" w:color="auto" w:fill="CCEEFF"/>
          </w:tcPr>
          <w:p>
            <w:pPr>
              <w:spacing w:after="0" w:line="196" w:lineRule="exact"/>
              <w:rPr>
                <w:rFonts w:ascii="Arial" w:cs="Arial" w:eastAsia="Arial" w:hAnsi="Arial"/>
                <w:sz w:val="18"/>
                <w:szCs w:val="18"/>
                <w:color w:val="0000EE"/>
              </w:rPr>
            </w:pPr>
            <w:hyperlink r:id="rId15">
              <w:r>
                <w:rPr>
                  <w:rFonts w:ascii="Arial" w:cs="Arial" w:eastAsia="Arial" w:hAnsi="Arial"/>
                  <w:sz w:val="18"/>
                  <w:szCs w:val="18"/>
                  <w:color w:val="0000EE"/>
                </w:rPr>
                <w:t>Current Report on Form 8-K filed on October 7, 2020).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7"/>
                <w:szCs w:val="17"/>
                <w:color w:val="auto"/>
              </w:rPr>
            </w:pPr>
          </w:p>
        </w:tc>
        <w:tc>
          <w:tcPr>
            <w:tcW w:w="9880" w:type="dxa"/>
            <w:vAlign w:val="bottom"/>
            <w:tcBorders>
              <w:right w:val="single" w:sz="8" w:color="CCEEFF"/>
            </w:tcBorders>
            <w:gridSpan w:val="17"/>
            <w:shd w:val="clear" w:color="auto" w:fill="CCEEFF"/>
          </w:tcPr>
          <w:p>
            <w:pPr>
              <w:spacing w:after="0" w:line="176" w:lineRule="exact"/>
              <w:rPr>
                <w:rFonts w:ascii="Arial" w:cs="Arial" w:eastAsia="Arial" w:hAnsi="Arial"/>
                <w:sz w:val="18"/>
                <w:szCs w:val="18"/>
                <w:color w:val="0000EE"/>
              </w:rPr>
            </w:pPr>
            <w:hyperlink r:id="rId16">
              <w:r>
                <w:rPr>
                  <w:rFonts w:ascii="Arial" w:cs="Arial" w:eastAsia="Arial" w:hAnsi="Arial"/>
                  <w:sz w:val="18"/>
                  <w:szCs w:val="18"/>
                  <w:color w:val="0000EE"/>
                </w:rPr>
                <w:t>Second Amended and Restated Certificate of Incorporation of the Company.</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7"/>
                <w:szCs w:val="17"/>
                <w:color w:val="auto"/>
              </w:rPr>
            </w:pPr>
          </w:p>
        </w:tc>
        <w:tc>
          <w:tcPr>
            <w:tcW w:w="9880" w:type="dxa"/>
            <w:vAlign w:val="bottom"/>
            <w:tcBorders>
              <w:right w:val="single" w:sz="8" w:color="CCEEFF"/>
            </w:tcBorders>
            <w:gridSpan w:val="17"/>
            <w:shd w:val="clear" w:color="auto" w:fill="CCEEFF"/>
          </w:tcPr>
          <w:p>
            <w:pPr>
              <w:spacing w:after="0" w:line="176" w:lineRule="exact"/>
              <w:rPr>
                <w:rFonts w:ascii="Arial" w:cs="Arial" w:eastAsia="Arial" w:hAnsi="Arial"/>
                <w:sz w:val="18"/>
                <w:szCs w:val="18"/>
                <w:color w:val="0000EE"/>
              </w:rPr>
            </w:pPr>
            <w:hyperlink r:id="rId17">
              <w:r>
                <w:rPr>
                  <w:rFonts w:ascii="Arial" w:cs="Arial" w:eastAsia="Arial" w:hAnsi="Arial"/>
                  <w:sz w:val="18"/>
                  <w:szCs w:val="18"/>
                  <w:color w:val="0000EE"/>
                </w:rPr>
                <w:t>Amended and Restated Bylaws of the Company.</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4.1</w:t>
            </w:r>
          </w:p>
        </w:tc>
        <w:tc>
          <w:tcPr>
            <w:tcW w:w="22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right w:val="single" w:sz="8" w:color="CCEEFF"/>
            </w:tcBorders>
            <w:gridSpan w:val="17"/>
            <w:shd w:val="clear" w:color="auto" w:fill="CCEEFF"/>
          </w:tcPr>
          <w:p>
            <w:pPr>
              <w:spacing w:after="0" w:line="176" w:lineRule="exact"/>
              <w:rPr>
                <w:rFonts w:ascii="Arial" w:cs="Arial" w:eastAsia="Arial" w:hAnsi="Arial"/>
                <w:sz w:val="18"/>
                <w:szCs w:val="18"/>
                <w:color w:val="0000EE"/>
                <w:w w:val="95"/>
              </w:rPr>
            </w:pPr>
            <w:hyperlink r:id="rId18">
              <w:r>
                <w:rPr>
                  <w:rFonts w:ascii="Arial" w:cs="Arial" w:eastAsia="Arial" w:hAnsi="Arial"/>
                  <w:sz w:val="18"/>
                  <w:szCs w:val="18"/>
                  <w:color w:val="0000EE"/>
                  <w:w w:val="95"/>
                </w:rPr>
                <w:t>Warrant Agreement, dated November 7, 2019, between Continental Stock Transfer &amp; Trust Company and SRAC (incorporated by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80" w:type="dxa"/>
            <w:vAlign w:val="bottom"/>
            <w:tcBorders>
              <w:right w:val="single" w:sz="8" w:color="CCEEFF"/>
            </w:tcBorders>
            <w:gridSpan w:val="17"/>
            <w:shd w:val="clear" w:color="auto" w:fill="CCEEFF"/>
          </w:tcPr>
          <w:p>
            <w:pPr>
              <w:spacing w:after="0" w:line="196" w:lineRule="exact"/>
              <w:rPr>
                <w:rFonts w:ascii="Arial" w:cs="Arial" w:eastAsia="Arial" w:hAnsi="Arial"/>
                <w:sz w:val="18"/>
                <w:szCs w:val="18"/>
                <w:color w:val="0000EE"/>
              </w:rPr>
            </w:pPr>
            <w:hyperlink r:id="rId18">
              <w:r>
                <w:rPr>
                  <w:rFonts w:ascii="Arial" w:cs="Arial" w:eastAsia="Arial" w:hAnsi="Arial"/>
                  <w:sz w:val="18"/>
                  <w:szCs w:val="18"/>
                  <w:color w:val="0000EE"/>
                </w:rPr>
                <w:t>reference to the Company’s Current Report on Form 8-K filed on November 13, 2019).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5"/>
                <w:szCs w:val="15"/>
                <w:color w:val="auto"/>
              </w:rPr>
            </w:pPr>
          </w:p>
        </w:tc>
        <w:tc>
          <w:tcPr>
            <w:tcW w:w="9880" w:type="dxa"/>
            <w:vAlign w:val="bottom"/>
            <w:tcBorders>
              <w:right w:val="single" w:sz="8" w:color="CCEEFF"/>
            </w:tcBorders>
            <w:gridSpan w:val="17"/>
            <w:shd w:val="clear" w:color="auto" w:fill="CCEEFF"/>
          </w:tcPr>
          <w:p>
            <w:pPr>
              <w:spacing w:after="0" w:line="176" w:lineRule="exact"/>
              <w:rPr>
                <w:rFonts w:ascii="Arial" w:cs="Arial" w:eastAsia="Arial" w:hAnsi="Arial"/>
                <w:sz w:val="18"/>
                <w:szCs w:val="18"/>
                <w:color w:val="0000EE"/>
                <w:w w:val="98"/>
              </w:rPr>
            </w:pPr>
            <w:hyperlink r:id="rId19">
              <w:r>
                <w:rPr>
                  <w:rFonts w:ascii="Arial" w:cs="Arial" w:eastAsia="Arial" w:hAnsi="Arial"/>
                  <w:sz w:val="18"/>
                  <w:szCs w:val="18"/>
                  <w:color w:val="0000EE"/>
                  <w:w w:val="98"/>
                </w:rPr>
                <w:t>Specimen Warrant Certificate (incorporated by reference to Exhibit 4.3 to the Company’s Registration Statement on Form S-1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880" w:type="dxa"/>
            <w:vAlign w:val="bottom"/>
            <w:tcBorders>
              <w:top w:val="single" w:sz="8" w:color="0000EE"/>
              <w:right w:val="single" w:sz="8" w:color="CCEEFF"/>
            </w:tcBorders>
            <w:gridSpan w:val="17"/>
            <w:shd w:val="clear" w:color="auto" w:fill="CCEEFF"/>
          </w:tcPr>
          <w:p>
            <w:pPr>
              <w:spacing w:after="0" w:line="196" w:lineRule="exact"/>
              <w:rPr>
                <w:rFonts w:ascii="Arial" w:cs="Arial" w:eastAsia="Arial" w:hAnsi="Arial"/>
                <w:sz w:val="18"/>
                <w:szCs w:val="18"/>
                <w:color w:val="0000EE"/>
              </w:rPr>
            </w:pPr>
            <w:hyperlink r:id="rId19">
              <w:r>
                <w:rPr>
                  <w:rFonts w:ascii="Arial" w:cs="Arial" w:eastAsia="Arial" w:hAnsi="Arial"/>
                  <w:sz w:val="18"/>
                  <w:szCs w:val="18"/>
                  <w:color w:val="0000EE"/>
                </w:rPr>
                <w:t>(Registration No. 333-233980) filed on October 10, 2019).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22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right w:val="single" w:sz="8" w:color="CCEEFF"/>
            </w:tcBorders>
            <w:gridSpan w:val="17"/>
            <w:shd w:val="clear" w:color="auto" w:fill="CCEEFF"/>
          </w:tcPr>
          <w:p>
            <w:pPr>
              <w:spacing w:after="0" w:line="176" w:lineRule="exact"/>
              <w:rPr>
                <w:rFonts w:ascii="Arial" w:cs="Arial" w:eastAsia="Arial" w:hAnsi="Arial"/>
                <w:sz w:val="18"/>
                <w:szCs w:val="18"/>
                <w:color w:val="0000EE"/>
                <w:w w:val="90"/>
              </w:rPr>
            </w:pPr>
            <w:hyperlink r:id="rId20">
              <w:r>
                <w:rPr>
                  <w:rFonts w:ascii="Arial" w:cs="Arial" w:eastAsia="Arial" w:hAnsi="Arial"/>
                  <w:sz w:val="18"/>
                  <w:szCs w:val="18"/>
                  <w:color w:val="0000EE"/>
                  <w:w w:val="90"/>
                </w:rPr>
                <w:t>Amended and Restated Registration Rights Agreement, dated as of August 12, 2021, by and among the Company, Sponsor, and certain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80" w:type="dxa"/>
            <w:vAlign w:val="bottom"/>
            <w:tcBorders>
              <w:right w:val="single" w:sz="8" w:color="CCEEFF"/>
            </w:tcBorders>
            <w:gridSpan w:val="17"/>
            <w:shd w:val="clear" w:color="auto" w:fill="CCEEFF"/>
          </w:tcPr>
          <w:p>
            <w:pPr>
              <w:spacing w:after="0" w:line="196" w:lineRule="exact"/>
              <w:rPr>
                <w:rFonts w:ascii="Arial" w:cs="Arial" w:eastAsia="Arial" w:hAnsi="Arial"/>
                <w:sz w:val="18"/>
                <w:szCs w:val="18"/>
                <w:color w:val="0000EE"/>
              </w:rPr>
            </w:pPr>
            <w:hyperlink r:id="rId20">
              <w:r>
                <w:rPr>
                  <w:rFonts w:ascii="Arial" w:cs="Arial" w:eastAsia="Arial" w:hAnsi="Arial"/>
                  <w:sz w:val="18"/>
                  <w:szCs w:val="18"/>
                  <w:color w:val="0000EE"/>
                </w:rPr>
                <w:t>other parties.</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10.2</w:t>
            </w:r>
          </w:p>
        </w:tc>
        <w:tc>
          <w:tcPr>
            <w:tcW w:w="220" w:type="dxa"/>
            <w:vAlign w:val="bottom"/>
            <w:shd w:val="clear" w:color="auto" w:fill="CCEEFF"/>
          </w:tcPr>
          <w:p>
            <w:pPr>
              <w:spacing w:after="0"/>
              <w:rPr>
                <w:sz w:val="17"/>
                <w:szCs w:val="17"/>
                <w:color w:val="auto"/>
              </w:rPr>
            </w:pPr>
          </w:p>
        </w:tc>
        <w:tc>
          <w:tcPr>
            <w:tcW w:w="9880" w:type="dxa"/>
            <w:vAlign w:val="bottom"/>
            <w:tcBorders>
              <w:right w:val="single" w:sz="8" w:color="CCEEFF"/>
            </w:tcBorders>
            <w:gridSpan w:val="17"/>
            <w:shd w:val="clear" w:color="auto" w:fill="CCEEFF"/>
          </w:tcPr>
          <w:p>
            <w:pPr>
              <w:spacing w:after="0" w:line="176" w:lineRule="exact"/>
              <w:rPr>
                <w:rFonts w:ascii="Arial" w:cs="Arial" w:eastAsia="Arial" w:hAnsi="Arial"/>
                <w:sz w:val="18"/>
                <w:szCs w:val="18"/>
                <w:color w:val="0000EE"/>
              </w:rPr>
            </w:pPr>
            <w:hyperlink r:id="rId20">
              <w:r>
                <w:rPr>
                  <w:rFonts w:ascii="Arial" w:cs="Arial" w:eastAsia="Arial" w:hAnsi="Arial"/>
                  <w:sz w:val="18"/>
                  <w:szCs w:val="18"/>
                  <w:color w:val="0000EE"/>
                </w:rPr>
                <w:t>Form of Lock-Up Agreement.</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10.3</w:t>
            </w:r>
          </w:p>
        </w:tc>
        <w:tc>
          <w:tcPr>
            <w:tcW w:w="22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right w:val="single" w:sz="8" w:color="CCEEFF"/>
            </w:tcBorders>
            <w:gridSpan w:val="17"/>
            <w:shd w:val="clear" w:color="auto" w:fill="CCEEFF"/>
          </w:tcPr>
          <w:p>
            <w:pPr>
              <w:spacing w:after="0" w:line="176" w:lineRule="exact"/>
              <w:rPr>
                <w:rFonts w:ascii="Arial" w:cs="Arial" w:eastAsia="Arial" w:hAnsi="Arial"/>
                <w:sz w:val="18"/>
                <w:szCs w:val="18"/>
                <w:color w:val="0000EE"/>
                <w:w w:val="93"/>
              </w:rPr>
            </w:pPr>
            <w:hyperlink r:id="rId21">
              <w:r>
                <w:rPr>
                  <w:rFonts w:ascii="Arial" w:cs="Arial" w:eastAsia="Arial" w:hAnsi="Arial"/>
                  <w:sz w:val="18"/>
                  <w:szCs w:val="18"/>
                  <w:color w:val="0000EE"/>
                  <w:w w:val="93"/>
                </w:rPr>
                <w:t>Form of Insider Letter (incorporated by reference to Exhibit 10.1 to the Company’s Registration Statement on Form S-1 (Registration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80" w:type="dxa"/>
            <w:vAlign w:val="bottom"/>
            <w:tcBorders>
              <w:right w:val="single" w:sz="8" w:color="CCEEFF"/>
            </w:tcBorders>
            <w:gridSpan w:val="17"/>
            <w:shd w:val="clear" w:color="auto" w:fill="CCEEFF"/>
          </w:tcPr>
          <w:p>
            <w:pPr>
              <w:spacing w:after="0" w:line="196" w:lineRule="exact"/>
              <w:rPr>
                <w:rFonts w:ascii="Arial" w:cs="Arial" w:eastAsia="Arial" w:hAnsi="Arial"/>
                <w:sz w:val="18"/>
                <w:szCs w:val="18"/>
                <w:color w:val="0000EE"/>
              </w:rPr>
            </w:pPr>
            <w:hyperlink r:id="rId21">
              <w:r>
                <w:rPr>
                  <w:rFonts w:ascii="Arial" w:cs="Arial" w:eastAsia="Arial" w:hAnsi="Arial"/>
                  <w:sz w:val="18"/>
                  <w:szCs w:val="18"/>
                  <w:color w:val="0000EE"/>
                </w:rPr>
                <w:t>No. 333-233980) filed on October 10, 2019).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10.4</w:t>
            </w:r>
          </w:p>
        </w:tc>
        <w:tc>
          <w:tcPr>
            <w:tcW w:w="220" w:type="dxa"/>
            <w:vAlign w:val="bottom"/>
            <w:shd w:val="clear" w:color="auto" w:fill="CCEEFF"/>
          </w:tcPr>
          <w:p>
            <w:pPr>
              <w:spacing w:after="0"/>
              <w:rPr>
                <w:sz w:val="17"/>
                <w:szCs w:val="17"/>
                <w:color w:val="auto"/>
              </w:rPr>
            </w:pPr>
          </w:p>
        </w:tc>
        <w:tc>
          <w:tcPr>
            <w:tcW w:w="9880" w:type="dxa"/>
            <w:vAlign w:val="bottom"/>
            <w:tcBorders>
              <w:right w:val="single" w:sz="8" w:color="CCEEFF"/>
            </w:tcBorders>
            <w:gridSpan w:val="17"/>
            <w:shd w:val="clear" w:color="auto" w:fill="CCEEFF"/>
          </w:tcPr>
          <w:p>
            <w:pPr>
              <w:spacing w:after="0" w:line="176" w:lineRule="exact"/>
              <w:rPr>
                <w:rFonts w:ascii="Arial" w:cs="Arial" w:eastAsia="Arial" w:hAnsi="Arial"/>
                <w:sz w:val="18"/>
                <w:szCs w:val="18"/>
                <w:color w:val="0000EE"/>
              </w:rPr>
            </w:pPr>
            <w:hyperlink r:id="rId22">
              <w:r>
                <w:rPr>
                  <w:rFonts w:ascii="Arial" w:cs="Arial" w:eastAsia="Arial" w:hAnsi="Arial"/>
                  <w:sz w:val="18"/>
                  <w:szCs w:val="18"/>
                  <w:color w:val="0000EE"/>
                </w:rPr>
                <w:t>Form of Indemnification Agreement.</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10.5†</w:t>
            </w:r>
          </w:p>
        </w:tc>
        <w:tc>
          <w:tcPr>
            <w:tcW w:w="9880" w:type="dxa"/>
            <w:vAlign w:val="bottom"/>
            <w:tcBorders>
              <w:right w:val="single" w:sz="8" w:color="CCEEFF"/>
            </w:tcBorders>
            <w:gridSpan w:val="17"/>
            <w:shd w:val="clear" w:color="auto" w:fill="CCEEFF"/>
          </w:tcPr>
          <w:p>
            <w:pPr>
              <w:spacing w:after="0" w:line="176" w:lineRule="exact"/>
              <w:rPr>
                <w:rFonts w:ascii="Arial" w:cs="Arial" w:eastAsia="Arial" w:hAnsi="Arial"/>
                <w:sz w:val="18"/>
                <w:szCs w:val="18"/>
                <w:color w:val="0000EE"/>
              </w:rPr>
            </w:pPr>
            <w:hyperlink r:id="rId23">
              <w:r>
                <w:rPr>
                  <w:rFonts w:ascii="Arial" w:cs="Arial" w:eastAsia="Arial" w:hAnsi="Arial"/>
                  <w:sz w:val="18"/>
                  <w:szCs w:val="18"/>
                  <w:color w:val="0000EE"/>
                </w:rPr>
                <w:t>Momentus 2021 Equity Incentive Plan.</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10.6†</w:t>
            </w:r>
          </w:p>
        </w:tc>
        <w:tc>
          <w:tcPr>
            <w:tcW w:w="9880" w:type="dxa"/>
            <w:vAlign w:val="bottom"/>
            <w:tcBorders>
              <w:right w:val="single" w:sz="8" w:color="CCEEFF"/>
            </w:tcBorders>
            <w:gridSpan w:val="17"/>
            <w:shd w:val="clear" w:color="auto" w:fill="CCEEFF"/>
          </w:tcPr>
          <w:p>
            <w:pPr>
              <w:spacing w:after="0" w:line="176" w:lineRule="exact"/>
              <w:rPr>
                <w:rFonts w:ascii="Arial" w:cs="Arial" w:eastAsia="Arial" w:hAnsi="Arial"/>
                <w:sz w:val="18"/>
                <w:szCs w:val="18"/>
                <w:color w:val="0000EE"/>
              </w:rPr>
            </w:pPr>
            <w:hyperlink r:id="rId24">
              <w:r>
                <w:rPr>
                  <w:rFonts w:ascii="Arial" w:cs="Arial" w:eastAsia="Arial" w:hAnsi="Arial"/>
                  <w:sz w:val="18"/>
                  <w:szCs w:val="18"/>
                  <w:color w:val="0000EE"/>
                </w:rPr>
                <w:t>Form of option award agreement under 2021 Equity Incentive Plan.</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10.7†</w:t>
            </w:r>
          </w:p>
        </w:tc>
        <w:tc>
          <w:tcPr>
            <w:tcW w:w="9880" w:type="dxa"/>
            <w:vAlign w:val="bottom"/>
            <w:tcBorders>
              <w:right w:val="single" w:sz="8" w:color="CCEEFF"/>
            </w:tcBorders>
            <w:gridSpan w:val="17"/>
            <w:shd w:val="clear" w:color="auto" w:fill="CCEEFF"/>
          </w:tcPr>
          <w:p>
            <w:pPr>
              <w:spacing w:after="0" w:line="176" w:lineRule="exact"/>
              <w:rPr>
                <w:rFonts w:ascii="Arial" w:cs="Arial" w:eastAsia="Arial" w:hAnsi="Arial"/>
                <w:sz w:val="18"/>
                <w:szCs w:val="18"/>
                <w:color w:val="0000EE"/>
              </w:rPr>
            </w:pPr>
            <w:hyperlink r:id="rId25">
              <w:r>
                <w:rPr>
                  <w:rFonts w:ascii="Arial" w:cs="Arial" w:eastAsia="Arial" w:hAnsi="Arial"/>
                  <w:sz w:val="18"/>
                  <w:szCs w:val="18"/>
                  <w:color w:val="0000EE"/>
                </w:rPr>
                <w:t>Form of RSU award agreement under 2021 Equity Incentive Plan.</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10.8†</w:t>
            </w:r>
          </w:p>
        </w:tc>
        <w:tc>
          <w:tcPr>
            <w:tcW w:w="9880" w:type="dxa"/>
            <w:vAlign w:val="bottom"/>
            <w:tcBorders>
              <w:right w:val="single" w:sz="8" w:color="CCEEFF"/>
            </w:tcBorders>
            <w:gridSpan w:val="17"/>
            <w:shd w:val="clear" w:color="auto" w:fill="CCEEFF"/>
          </w:tcPr>
          <w:p>
            <w:pPr>
              <w:spacing w:after="0" w:line="176" w:lineRule="exact"/>
              <w:rPr>
                <w:rFonts w:ascii="Arial" w:cs="Arial" w:eastAsia="Arial" w:hAnsi="Arial"/>
                <w:sz w:val="18"/>
                <w:szCs w:val="18"/>
                <w:color w:val="0000EE"/>
              </w:rPr>
            </w:pPr>
            <w:hyperlink r:id="rId26">
              <w:r>
                <w:rPr>
                  <w:rFonts w:ascii="Arial" w:cs="Arial" w:eastAsia="Arial" w:hAnsi="Arial"/>
                  <w:sz w:val="18"/>
                  <w:szCs w:val="18"/>
                  <w:color w:val="0000EE"/>
                </w:rPr>
                <w:t>Momentus 2021 Employee Stock Purchase Plan.</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10.9†</w:t>
            </w:r>
          </w:p>
        </w:tc>
        <w:tc>
          <w:tcPr>
            <w:tcW w:w="9880" w:type="dxa"/>
            <w:vAlign w:val="bottom"/>
            <w:tcBorders>
              <w:right w:val="single" w:sz="8" w:color="CCEEFF"/>
            </w:tcBorders>
            <w:gridSpan w:val="17"/>
            <w:shd w:val="clear" w:color="auto" w:fill="CCEEFF"/>
          </w:tcPr>
          <w:p>
            <w:pPr>
              <w:spacing w:after="0" w:line="176" w:lineRule="exact"/>
              <w:rPr>
                <w:rFonts w:ascii="Arial" w:cs="Arial" w:eastAsia="Arial" w:hAnsi="Arial"/>
                <w:sz w:val="18"/>
                <w:szCs w:val="18"/>
                <w:color w:val="0000EE"/>
              </w:rPr>
            </w:pPr>
            <w:hyperlink r:id="rId27">
              <w:r>
                <w:rPr>
                  <w:rFonts w:ascii="Arial" w:cs="Arial" w:eastAsia="Arial" w:hAnsi="Arial"/>
                  <w:sz w:val="18"/>
                  <w:szCs w:val="18"/>
                  <w:color w:val="0000EE"/>
                </w:rPr>
                <w:t>Amended and restated offer letter by and between Momentus Inc. and Dawn Harms effective July 30, 2021.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36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10.10†</w:t>
            </w:r>
          </w:p>
        </w:tc>
        <w:tc>
          <w:tcPr>
            <w:tcW w:w="9880" w:type="dxa"/>
            <w:vAlign w:val="bottom"/>
            <w:tcBorders>
              <w:bottom w:val="single" w:sz="8" w:color="0000EE"/>
              <w:right w:val="single" w:sz="8" w:color="CCEEFF"/>
            </w:tcBorders>
            <w:gridSpan w:val="17"/>
            <w:shd w:val="clear" w:color="auto" w:fill="CCEEFF"/>
          </w:tcPr>
          <w:p>
            <w:pPr>
              <w:spacing w:after="0" w:line="176" w:lineRule="exact"/>
              <w:rPr>
                <w:rFonts w:ascii="Arial" w:cs="Arial" w:eastAsia="Arial" w:hAnsi="Arial"/>
                <w:sz w:val="18"/>
                <w:szCs w:val="18"/>
                <w:color w:val="0000EE"/>
                <w:w w:val="91"/>
              </w:rPr>
            </w:pPr>
            <w:hyperlink r:id="rId28">
              <w:r>
                <w:rPr>
                  <w:rFonts w:ascii="Arial" w:cs="Arial" w:eastAsia="Arial" w:hAnsi="Arial"/>
                  <w:sz w:val="18"/>
                  <w:szCs w:val="18"/>
                  <w:color w:val="0000EE"/>
                  <w:w w:val="91"/>
                </w:rPr>
                <w:t>Offer Letter by and between Momentus Inc. and Fred Kennedy dated September 9, 2020 (incorporated by reference to Exhibit 10.12 to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80" w:type="dxa"/>
            <w:vAlign w:val="bottom"/>
            <w:tcBorders>
              <w:right w:val="single" w:sz="8" w:color="CCEEFF"/>
            </w:tcBorders>
            <w:gridSpan w:val="17"/>
            <w:shd w:val="clear" w:color="auto" w:fill="CCEEFF"/>
          </w:tcPr>
          <w:p>
            <w:pPr>
              <w:spacing w:after="0" w:line="196" w:lineRule="exact"/>
              <w:rPr>
                <w:rFonts w:ascii="Arial" w:cs="Arial" w:eastAsia="Arial" w:hAnsi="Arial"/>
                <w:sz w:val="18"/>
                <w:szCs w:val="18"/>
                <w:color w:val="0000EE"/>
              </w:rPr>
            </w:pPr>
            <w:hyperlink r:id="rId28">
              <w:r>
                <w:rPr>
                  <w:rFonts w:ascii="Arial" w:cs="Arial" w:eastAsia="Arial" w:hAnsi="Arial"/>
                  <w:sz w:val="18"/>
                  <w:szCs w:val="18"/>
                  <w:color w:val="0000EE"/>
                </w:rPr>
                <w:t>the Company’s Registration Statement on Form S-4 (Registration No. 333-249787) filed on March 8, 2021).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36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10.11†</w:t>
            </w:r>
          </w:p>
        </w:tc>
        <w:tc>
          <w:tcPr>
            <w:tcW w:w="9880" w:type="dxa"/>
            <w:vAlign w:val="bottom"/>
            <w:tcBorders>
              <w:bottom w:val="single" w:sz="8" w:color="0000EE"/>
              <w:right w:val="single" w:sz="8" w:color="CCEEFF"/>
            </w:tcBorders>
            <w:gridSpan w:val="17"/>
            <w:shd w:val="clear" w:color="auto" w:fill="CCEEFF"/>
          </w:tcPr>
          <w:p>
            <w:pPr>
              <w:spacing w:after="0" w:line="176" w:lineRule="exact"/>
              <w:rPr>
                <w:rFonts w:ascii="Arial" w:cs="Arial" w:eastAsia="Arial" w:hAnsi="Arial"/>
                <w:sz w:val="18"/>
                <w:szCs w:val="18"/>
                <w:color w:val="0000EE"/>
                <w:w w:val="92"/>
              </w:rPr>
            </w:pPr>
            <w:hyperlink r:id="rId29">
              <w:r>
                <w:rPr>
                  <w:rFonts w:ascii="Arial" w:cs="Arial" w:eastAsia="Arial" w:hAnsi="Arial"/>
                  <w:sz w:val="18"/>
                  <w:szCs w:val="18"/>
                  <w:color w:val="0000EE"/>
                  <w:w w:val="92"/>
                </w:rPr>
                <w:t>Offer Letter by and between Momentus Inc. and Jikun Kim dated September 6, 2020 (incorporated by reference to Exhibit 10.13 to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80" w:type="dxa"/>
            <w:vAlign w:val="bottom"/>
            <w:tcBorders>
              <w:right w:val="single" w:sz="8" w:color="CCEEFF"/>
            </w:tcBorders>
            <w:gridSpan w:val="17"/>
            <w:shd w:val="clear" w:color="auto" w:fill="CCEEFF"/>
          </w:tcPr>
          <w:p>
            <w:pPr>
              <w:spacing w:after="0" w:line="196" w:lineRule="exact"/>
              <w:rPr>
                <w:rFonts w:ascii="Arial" w:cs="Arial" w:eastAsia="Arial" w:hAnsi="Arial"/>
                <w:sz w:val="18"/>
                <w:szCs w:val="18"/>
                <w:color w:val="0000EE"/>
              </w:rPr>
            </w:pPr>
            <w:hyperlink r:id="rId29">
              <w:r>
                <w:rPr>
                  <w:rFonts w:ascii="Arial" w:cs="Arial" w:eastAsia="Arial" w:hAnsi="Arial"/>
                  <w:sz w:val="18"/>
                  <w:szCs w:val="18"/>
                  <w:color w:val="0000EE"/>
                </w:rPr>
                <w:t>Company’s Registration Statement on Form S-4 (Registration No. 333-249787) filed on June 29, 2021).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5"/>
        </w:trPr>
        <w:tc>
          <w:tcPr>
            <w:tcW w:w="114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4760" w:type="dxa"/>
            <w:vAlign w:val="bottom"/>
            <w:tcBorders>
              <w:top w:val="single" w:sz="8" w:color="0000EE"/>
              <w:bottom w:val="single" w:sz="8" w:color="auto"/>
            </w:tcBorders>
            <w:gridSpan w:val="10"/>
          </w:tcPr>
          <w:p>
            <w:pPr>
              <w:ind w:left="4220"/>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0000EE"/>
              <w:bottom w:val="single" w:sz="8" w:color="auto"/>
            </w:tcBorders>
          </w:tcPr>
          <w:p>
            <w:pPr>
              <w:spacing w:after="0"/>
              <w:rPr>
                <w:sz w:val="24"/>
                <w:szCs w:val="24"/>
                <w:color w:val="auto"/>
              </w:rPr>
            </w:pPr>
          </w:p>
        </w:tc>
        <w:tc>
          <w:tcPr>
            <w:tcW w:w="660" w:type="dxa"/>
            <w:vAlign w:val="bottom"/>
            <w:tcBorders>
              <w:top w:val="single" w:sz="8" w:color="0000EE"/>
              <w:bottom w:val="single" w:sz="8" w:color="auto"/>
            </w:tcBorders>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120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8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10.12†</w:t>
            </w:r>
          </w:p>
        </w:tc>
        <w:tc>
          <w:tcPr>
            <w:tcW w:w="9880" w:type="dxa"/>
            <w:vAlign w:val="bottom"/>
            <w:tcBorders>
              <w:right w:val="single" w:sz="8" w:color="CCEEFF"/>
            </w:tcBorders>
            <w:gridSpan w:val="9"/>
            <w:shd w:val="clear" w:color="auto" w:fill="CCEEFF"/>
          </w:tcPr>
          <w:p>
            <w:pPr>
              <w:spacing w:after="0"/>
              <w:rPr>
                <w:rFonts w:ascii="Arial" w:cs="Arial" w:eastAsia="Arial" w:hAnsi="Arial"/>
                <w:sz w:val="18"/>
                <w:szCs w:val="18"/>
                <w:color w:val="0000EE"/>
              </w:rPr>
            </w:pPr>
            <w:hyperlink r:id="rId30">
              <w:r>
                <w:rPr>
                  <w:rFonts w:ascii="Arial" w:cs="Arial" w:eastAsia="Arial" w:hAnsi="Arial"/>
                  <w:sz w:val="18"/>
                  <w:szCs w:val="18"/>
                  <w:color w:val="0000EE"/>
                </w:rPr>
                <w:t>Employment Agreement of John C. Rood dated August 1, 2021.</w:t>
              </w:r>
            </w:hyperlink>
          </w:p>
        </w:tc>
      </w:tr>
      <w:tr>
        <w:trPr>
          <w:trHeight w:val="216"/>
        </w:trPr>
        <w:tc>
          <w:tcPr>
            <w:tcW w:w="1360" w:type="dxa"/>
            <w:vAlign w:val="bottom"/>
            <w:tcBorders>
              <w:top w:val="single" w:sz="8" w:color="CCEEFF"/>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r>
      <w:tr>
        <w:trPr>
          <w:trHeight w:val="176"/>
        </w:trPr>
        <w:tc>
          <w:tcPr>
            <w:tcW w:w="13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10.13***</w:t>
            </w:r>
          </w:p>
        </w:tc>
        <w:tc>
          <w:tcPr>
            <w:tcW w:w="9880" w:type="dxa"/>
            <w:vAlign w:val="bottom"/>
            <w:tcBorders>
              <w:bottom w:val="single" w:sz="8" w:color="0000EE"/>
              <w:right w:val="single" w:sz="8" w:color="CCEEFF"/>
            </w:tcBorders>
            <w:gridSpan w:val="9"/>
            <w:shd w:val="clear" w:color="auto" w:fill="CCEEFF"/>
          </w:tcPr>
          <w:p>
            <w:pPr>
              <w:spacing w:after="0" w:line="176" w:lineRule="exact"/>
              <w:rPr>
                <w:rFonts w:ascii="Arial" w:cs="Arial" w:eastAsia="Arial" w:hAnsi="Arial"/>
                <w:sz w:val="18"/>
                <w:szCs w:val="18"/>
                <w:color w:val="0000EE"/>
                <w:w w:val="97"/>
              </w:rPr>
            </w:pPr>
            <w:hyperlink r:id="rId31">
              <w:r>
                <w:rPr>
                  <w:rFonts w:ascii="Arial" w:cs="Arial" w:eastAsia="Arial" w:hAnsi="Arial"/>
                  <w:sz w:val="18"/>
                  <w:szCs w:val="18"/>
                  <w:color w:val="0000EE"/>
                  <w:w w:val="97"/>
                </w:rPr>
                <w:t>National Security Agreement (incorporated by reference to Exhibit 10.17 to the Company’s Registration Statement on Form S-4</w:t>
              </w:r>
            </w:hyperlink>
          </w:p>
        </w:tc>
      </w:tr>
      <w:tr>
        <w:trPr>
          <w:trHeight w:val="216"/>
        </w:trPr>
        <w:tc>
          <w:tcPr>
            <w:tcW w:w="1360" w:type="dxa"/>
            <w:vAlign w:val="bottom"/>
            <w:shd w:val="clear" w:color="auto" w:fill="CCEEFF"/>
          </w:tcPr>
          <w:p>
            <w:pPr>
              <w:spacing w:after="0"/>
              <w:rPr>
                <w:sz w:val="18"/>
                <w:szCs w:val="18"/>
                <w:color w:val="auto"/>
              </w:rPr>
            </w:pPr>
          </w:p>
        </w:tc>
        <w:tc>
          <w:tcPr>
            <w:tcW w:w="9880" w:type="dxa"/>
            <w:vAlign w:val="bottom"/>
            <w:tcBorders>
              <w:right w:val="single" w:sz="8" w:color="CCEEFF"/>
            </w:tcBorders>
            <w:gridSpan w:val="9"/>
            <w:shd w:val="clear" w:color="auto" w:fill="CCEEFF"/>
          </w:tcPr>
          <w:p>
            <w:pPr>
              <w:spacing w:after="0" w:line="196" w:lineRule="exact"/>
              <w:rPr>
                <w:rFonts w:ascii="Arial" w:cs="Arial" w:eastAsia="Arial" w:hAnsi="Arial"/>
                <w:sz w:val="18"/>
                <w:szCs w:val="18"/>
                <w:color w:val="0000EE"/>
              </w:rPr>
            </w:pPr>
            <w:hyperlink r:id="rId31">
              <w:r>
                <w:rPr>
                  <w:rFonts w:ascii="Arial" w:cs="Arial" w:eastAsia="Arial" w:hAnsi="Arial"/>
                  <w:sz w:val="18"/>
                  <w:szCs w:val="18"/>
                  <w:color w:val="0000EE"/>
                </w:rPr>
                <w:t>(Registration No. 333-249787) filed on July 16, 2021)).</w:t>
              </w:r>
            </w:hyperlink>
          </w:p>
        </w:tc>
      </w:tr>
      <w:tr>
        <w:trPr>
          <w:trHeight w:val="216"/>
        </w:trPr>
        <w:tc>
          <w:tcPr>
            <w:tcW w:w="1360" w:type="dxa"/>
            <w:vAlign w:val="bottom"/>
            <w:tcBorders>
              <w:top w:val="single" w:sz="8" w:color="CCEEFF"/>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r>
      <w:tr>
        <w:trPr>
          <w:trHeight w:val="176"/>
        </w:trPr>
        <w:tc>
          <w:tcPr>
            <w:tcW w:w="13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10.14</w:t>
            </w:r>
          </w:p>
        </w:tc>
        <w:tc>
          <w:tcPr>
            <w:tcW w:w="9880" w:type="dxa"/>
            <w:vAlign w:val="bottom"/>
            <w:tcBorders>
              <w:bottom w:val="single" w:sz="8" w:color="0000EE"/>
              <w:right w:val="single" w:sz="8" w:color="CCEEFF"/>
            </w:tcBorders>
            <w:gridSpan w:val="9"/>
            <w:shd w:val="clear" w:color="auto" w:fill="CCEEFF"/>
          </w:tcPr>
          <w:p>
            <w:pPr>
              <w:spacing w:after="0" w:line="176" w:lineRule="exact"/>
              <w:rPr>
                <w:rFonts w:ascii="Arial" w:cs="Arial" w:eastAsia="Arial" w:hAnsi="Arial"/>
                <w:sz w:val="18"/>
                <w:szCs w:val="18"/>
                <w:color w:val="0000EE"/>
                <w:w w:val="95"/>
              </w:rPr>
            </w:pPr>
            <w:hyperlink r:id="rId32">
              <w:r>
                <w:rPr>
                  <w:rFonts w:ascii="Arial" w:cs="Arial" w:eastAsia="Arial" w:hAnsi="Arial"/>
                  <w:sz w:val="18"/>
                  <w:szCs w:val="18"/>
                  <w:color w:val="0000EE"/>
                  <w:w w:val="95"/>
                </w:rPr>
                <w:t>Form of Repurchase Agreement, dated as of June 8, 2021, between the Company and each of (i) Mikhail Kokorich and Dorsey &amp;</w:t>
              </w:r>
            </w:hyperlink>
          </w:p>
        </w:tc>
      </w:tr>
      <w:tr>
        <w:trPr>
          <w:trHeight w:val="196"/>
        </w:trPr>
        <w:tc>
          <w:tcPr>
            <w:tcW w:w="1360" w:type="dxa"/>
            <w:vAlign w:val="bottom"/>
            <w:tcBorders>
              <w:bottom w:val="single" w:sz="8" w:color="CCEEFF"/>
            </w:tcBorders>
            <w:shd w:val="clear" w:color="auto" w:fill="CCEEFF"/>
          </w:tcPr>
          <w:p>
            <w:pPr>
              <w:spacing w:after="0"/>
              <w:rPr>
                <w:sz w:val="17"/>
                <w:szCs w:val="17"/>
                <w:color w:val="auto"/>
              </w:rPr>
            </w:pPr>
          </w:p>
        </w:tc>
        <w:tc>
          <w:tcPr>
            <w:tcW w:w="9880" w:type="dxa"/>
            <w:vAlign w:val="bottom"/>
            <w:tcBorders>
              <w:bottom w:val="single" w:sz="8" w:color="0000EE"/>
              <w:right w:val="single" w:sz="8" w:color="CCEEFF"/>
            </w:tcBorders>
            <w:gridSpan w:val="9"/>
            <w:shd w:val="clear" w:color="auto" w:fill="CCEEFF"/>
          </w:tcPr>
          <w:p>
            <w:pPr>
              <w:spacing w:after="0" w:line="196" w:lineRule="exact"/>
              <w:rPr>
                <w:rFonts w:ascii="Arial" w:cs="Arial" w:eastAsia="Arial" w:hAnsi="Arial"/>
                <w:sz w:val="18"/>
                <w:szCs w:val="18"/>
                <w:color w:val="0000EE"/>
                <w:w w:val="92"/>
              </w:rPr>
            </w:pPr>
            <w:hyperlink r:id="rId32">
              <w:r>
                <w:rPr>
                  <w:rFonts w:ascii="Arial" w:cs="Arial" w:eastAsia="Arial" w:hAnsi="Arial"/>
                  <w:sz w:val="18"/>
                  <w:szCs w:val="18"/>
                  <w:color w:val="0000EE"/>
                  <w:w w:val="92"/>
                </w:rPr>
                <w:t>Whitney Trust Company LLC, as trustee of the Mikhail Kokorich 2021 Irrevocable Trust u/a/d March 1, 2021, (2) Mikhail Kokorich and</w:t>
              </w:r>
            </w:hyperlink>
          </w:p>
        </w:tc>
      </w:tr>
      <w:tr>
        <w:trPr>
          <w:trHeight w:val="196"/>
        </w:trPr>
        <w:tc>
          <w:tcPr>
            <w:tcW w:w="1360" w:type="dxa"/>
            <w:vAlign w:val="bottom"/>
            <w:tcBorders>
              <w:bottom w:val="single" w:sz="8" w:color="CCEEFF"/>
            </w:tcBorders>
            <w:shd w:val="clear" w:color="auto" w:fill="CCEEFF"/>
          </w:tcPr>
          <w:p>
            <w:pPr>
              <w:spacing w:after="0"/>
              <w:rPr>
                <w:sz w:val="17"/>
                <w:szCs w:val="17"/>
                <w:color w:val="auto"/>
              </w:rPr>
            </w:pPr>
          </w:p>
        </w:tc>
        <w:tc>
          <w:tcPr>
            <w:tcW w:w="9880" w:type="dxa"/>
            <w:vAlign w:val="bottom"/>
            <w:tcBorders>
              <w:bottom w:val="single" w:sz="8" w:color="0000EE"/>
              <w:right w:val="single" w:sz="8" w:color="CCEEFF"/>
            </w:tcBorders>
            <w:gridSpan w:val="9"/>
            <w:shd w:val="clear" w:color="auto" w:fill="CCEEFF"/>
          </w:tcPr>
          <w:p>
            <w:pPr>
              <w:spacing w:after="0" w:line="196" w:lineRule="exact"/>
              <w:rPr>
                <w:rFonts w:ascii="Arial" w:cs="Arial" w:eastAsia="Arial" w:hAnsi="Arial"/>
                <w:sz w:val="18"/>
                <w:szCs w:val="18"/>
                <w:color w:val="0000EE"/>
                <w:w w:val="98"/>
              </w:rPr>
            </w:pPr>
            <w:hyperlink r:id="rId32">
              <w:r>
                <w:rPr>
                  <w:rFonts w:ascii="Arial" w:cs="Arial" w:eastAsia="Arial" w:hAnsi="Arial"/>
                  <w:sz w:val="18"/>
                  <w:szCs w:val="18"/>
                  <w:color w:val="0000EE"/>
                  <w:w w:val="98"/>
                </w:rPr>
                <w:t>Dorsey &amp; Whitney Trust Company LLC, as trustee of the Momentus Inc. Voting Trust Agreement u/a/d March 1, 2021, and (3)</w:t>
              </w:r>
            </w:hyperlink>
          </w:p>
        </w:tc>
      </w:tr>
      <w:tr>
        <w:trPr>
          <w:trHeight w:val="196"/>
        </w:trPr>
        <w:tc>
          <w:tcPr>
            <w:tcW w:w="1360" w:type="dxa"/>
            <w:vAlign w:val="bottom"/>
            <w:shd w:val="clear" w:color="auto" w:fill="CCEEFF"/>
          </w:tcPr>
          <w:p>
            <w:pPr>
              <w:spacing w:after="0"/>
              <w:rPr>
                <w:sz w:val="17"/>
                <w:szCs w:val="17"/>
                <w:color w:val="auto"/>
              </w:rPr>
            </w:pPr>
          </w:p>
        </w:tc>
        <w:tc>
          <w:tcPr>
            <w:tcW w:w="9880" w:type="dxa"/>
            <w:vAlign w:val="bottom"/>
            <w:tcBorders>
              <w:right w:val="single" w:sz="8" w:color="CCEEFF"/>
            </w:tcBorders>
            <w:gridSpan w:val="9"/>
            <w:shd w:val="clear" w:color="auto" w:fill="CCEEFF"/>
          </w:tcPr>
          <w:p>
            <w:pPr>
              <w:spacing w:after="0" w:line="196" w:lineRule="exact"/>
              <w:rPr>
                <w:rFonts w:ascii="Arial" w:cs="Arial" w:eastAsia="Arial" w:hAnsi="Arial"/>
                <w:sz w:val="18"/>
                <w:szCs w:val="18"/>
                <w:color w:val="0000EE"/>
                <w:w w:val="93"/>
              </w:rPr>
            </w:pPr>
            <w:hyperlink r:id="rId32">
              <w:r>
                <w:rPr>
                  <w:rFonts w:ascii="Arial" w:cs="Arial" w:eastAsia="Arial" w:hAnsi="Arial"/>
                  <w:sz w:val="18"/>
                  <w:szCs w:val="18"/>
                  <w:color w:val="0000EE"/>
                  <w:w w:val="93"/>
                </w:rPr>
                <w:t>Brainyspace LLC, Dorsey &amp; Whitney Trust Company LLC, as trustee of the Olga Khasis 2021 Irrevocable Trust u/a/d March 1, 2021</w:t>
              </w:r>
            </w:hyperlink>
          </w:p>
        </w:tc>
      </w:tr>
      <w:tr>
        <w:trPr>
          <w:trHeight w:val="20"/>
        </w:trPr>
        <w:tc>
          <w:tcPr>
            <w:tcW w:w="1360" w:type="dxa"/>
            <w:vAlign w:val="bottom"/>
            <w:shd w:val="clear" w:color="auto" w:fill="CCEEFF"/>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760" w:type="dxa"/>
            <w:vAlign w:val="bottom"/>
            <w:gridSpan w:val="3"/>
            <w:shd w:val="clear" w:color="auto" w:fill="0000EE"/>
          </w:tcPr>
          <w:p>
            <w:pPr>
              <w:spacing w:after="0" w:line="20" w:lineRule="exact"/>
              <w:rPr>
                <w:sz w:val="1"/>
                <w:szCs w:val="1"/>
                <w:color w:val="auto"/>
              </w:rPr>
            </w:pPr>
          </w:p>
        </w:tc>
        <w:tc>
          <w:tcPr>
            <w:tcW w:w="4200" w:type="dxa"/>
            <w:vAlign w:val="bottom"/>
            <w:shd w:val="clear" w:color="auto" w:fill="0000EE"/>
          </w:tcPr>
          <w:p>
            <w:pPr>
              <w:spacing w:after="0" w:line="20" w:lineRule="exact"/>
              <w:rPr>
                <w:sz w:val="1"/>
                <w:szCs w:val="1"/>
                <w:color w:val="auto"/>
              </w:rPr>
            </w:pPr>
          </w:p>
        </w:tc>
        <w:tc>
          <w:tcPr>
            <w:tcW w:w="360" w:type="dxa"/>
            <w:vAlign w:val="bottom"/>
            <w:tcBorders>
              <w:right w:val="single" w:sz="8" w:color="CCEEFF"/>
            </w:tcBorders>
            <w:shd w:val="clear" w:color="auto" w:fill="0000EE"/>
          </w:tcPr>
          <w:p>
            <w:pPr>
              <w:spacing w:after="0" w:line="20" w:lineRule="exact"/>
              <w:rPr>
                <w:sz w:val="1"/>
                <w:szCs w:val="1"/>
                <w:color w:val="auto"/>
              </w:rPr>
            </w:pPr>
          </w:p>
        </w:tc>
      </w:tr>
      <w:tr>
        <w:trPr>
          <w:trHeight w:val="196"/>
        </w:trPr>
        <w:tc>
          <w:tcPr>
            <w:tcW w:w="1360" w:type="dxa"/>
            <w:vAlign w:val="bottom"/>
            <w:tcBorders>
              <w:bottom w:val="single" w:sz="8" w:color="CCEEFF"/>
            </w:tcBorders>
            <w:shd w:val="clear" w:color="auto" w:fill="CCEEFF"/>
          </w:tcPr>
          <w:p>
            <w:pPr>
              <w:spacing w:after="0"/>
              <w:rPr>
                <w:sz w:val="17"/>
                <w:szCs w:val="17"/>
                <w:color w:val="auto"/>
              </w:rPr>
            </w:pPr>
          </w:p>
        </w:tc>
        <w:tc>
          <w:tcPr>
            <w:tcW w:w="9880" w:type="dxa"/>
            <w:vAlign w:val="bottom"/>
            <w:tcBorders>
              <w:bottom w:val="single" w:sz="8" w:color="0000EE"/>
              <w:right w:val="single" w:sz="8" w:color="CCEEFF"/>
            </w:tcBorders>
            <w:gridSpan w:val="9"/>
            <w:shd w:val="clear" w:color="auto" w:fill="CCEEFF"/>
          </w:tcPr>
          <w:p>
            <w:pPr>
              <w:spacing w:after="0" w:line="196" w:lineRule="exact"/>
              <w:rPr>
                <w:rFonts w:ascii="Arial" w:cs="Arial" w:eastAsia="Arial" w:hAnsi="Arial"/>
                <w:sz w:val="18"/>
                <w:szCs w:val="18"/>
                <w:color w:val="0000EE"/>
                <w:w w:val="91"/>
              </w:rPr>
            </w:pPr>
            <w:hyperlink r:id="rId32">
              <w:r>
                <w:rPr>
                  <w:rFonts w:ascii="Arial" w:cs="Arial" w:eastAsia="Arial" w:hAnsi="Arial"/>
                  <w:sz w:val="18"/>
                  <w:szCs w:val="18"/>
                  <w:color w:val="0000EE"/>
                  <w:w w:val="91"/>
                </w:rPr>
                <w:t>(incorporated by reference to Exhibit 10.4 to the Company’s Registration Statement on Form S-4 (Registration No. 333-249787) filed on</w:t>
              </w:r>
            </w:hyperlink>
          </w:p>
        </w:tc>
      </w:tr>
      <w:tr>
        <w:trPr>
          <w:trHeight w:val="217"/>
        </w:trPr>
        <w:tc>
          <w:tcPr>
            <w:tcW w:w="1360" w:type="dxa"/>
            <w:vAlign w:val="bottom"/>
            <w:shd w:val="clear" w:color="auto" w:fill="CCEEFF"/>
          </w:tcPr>
          <w:p>
            <w:pPr>
              <w:spacing w:after="0"/>
              <w:rPr>
                <w:sz w:val="18"/>
                <w:szCs w:val="18"/>
                <w:color w:val="auto"/>
              </w:rPr>
            </w:pPr>
          </w:p>
        </w:tc>
        <w:tc>
          <w:tcPr>
            <w:tcW w:w="9880" w:type="dxa"/>
            <w:vAlign w:val="bottom"/>
            <w:tcBorders>
              <w:right w:val="single" w:sz="8" w:color="CCEEFF"/>
            </w:tcBorders>
            <w:gridSpan w:val="9"/>
            <w:shd w:val="clear" w:color="auto" w:fill="CCEEFF"/>
          </w:tcPr>
          <w:p>
            <w:pPr>
              <w:spacing w:after="0" w:line="196" w:lineRule="exact"/>
              <w:rPr>
                <w:rFonts w:ascii="Arial" w:cs="Arial" w:eastAsia="Arial" w:hAnsi="Arial"/>
                <w:sz w:val="18"/>
                <w:szCs w:val="18"/>
                <w:color w:val="0000EE"/>
              </w:rPr>
            </w:pPr>
            <w:hyperlink r:id="rId32">
              <w:r>
                <w:rPr>
                  <w:rFonts w:ascii="Arial" w:cs="Arial" w:eastAsia="Arial" w:hAnsi="Arial"/>
                  <w:sz w:val="18"/>
                  <w:szCs w:val="18"/>
                  <w:color w:val="0000EE"/>
                </w:rPr>
                <w:t>June 29, 2021).</w:t>
              </w:r>
            </w:hyperlink>
          </w:p>
        </w:tc>
      </w:tr>
      <w:tr>
        <w:trPr>
          <w:trHeight w:val="216"/>
        </w:trPr>
        <w:tc>
          <w:tcPr>
            <w:tcW w:w="1360" w:type="dxa"/>
            <w:vAlign w:val="bottom"/>
            <w:tcBorders>
              <w:top w:val="single" w:sz="8" w:color="CCEEFF"/>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10.15†</w:t>
            </w:r>
          </w:p>
        </w:tc>
        <w:tc>
          <w:tcPr>
            <w:tcW w:w="9880" w:type="dxa"/>
            <w:vAlign w:val="bottom"/>
            <w:tcBorders>
              <w:right w:val="single" w:sz="8" w:color="CCEEFF"/>
            </w:tcBorders>
            <w:gridSpan w:val="9"/>
            <w:shd w:val="clear" w:color="auto" w:fill="CCEEFF"/>
          </w:tcPr>
          <w:p>
            <w:pPr>
              <w:spacing w:after="0" w:line="176" w:lineRule="exact"/>
              <w:rPr>
                <w:rFonts w:ascii="Arial" w:cs="Arial" w:eastAsia="Arial" w:hAnsi="Arial"/>
                <w:sz w:val="18"/>
                <w:szCs w:val="18"/>
                <w:color w:val="0000EE"/>
              </w:rPr>
            </w:pPr>
            <w:hyperlink r:id="rId33">
              <w:r>
                <w:rPr>
                  <w:rFonts w:ascii="Arial" w:cs="Arial" w:eastAsia="Arial" w:hAnsi="Arial"/>
                  <w:sz w:val="18"/>
                  <w:szCs w:val="18"/>
                  <w:color w:val="0000EE"/>
                </w:rPr>
                <w:t>Director Compensation Policy.</w:t>
              </w:r>
            </w:hyperlink>
          </w:p>
        </w:tc>
      </w:tr>
      <w:tr>
        <w:trPr>
          <w:trHeight w:val="216"/>
        </w:trPr>
        <w:tc>
          <w:tcPr>
            <w:tcW w:w="1360" w:type="dxa"/>
            <w:vAlign w:val="bottom"/>
            <w:tcBorders>
              <w:top w:val="single" w:sz="8" w:color="CCEEFF"/>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16.1</w:t>
            </w:r>
          </w:p>
        </w:tc>
        <w:tc>
          <w:tcPr>
            <w:tcW w:w="9880" w:type="dxa"/>
            <w:vAlign w:val="bottom"/>
            <w:tcBorders>
              <w:right w:val="single" w:sz="8" w:color="CCEEFF"/>
            </w:tcBorders>
            <w:gridSpan w:val="9"/>
            <w:shd w:val="clear" w:color="auto" w:fill="CCEEFF"/>
          </w:tcPr>
          <w:p>
            <w:pPr>
              <w:spacing w:after="0" w:line="176" w:lineRule="exact"/>
              <w:rPr>
                <w:rFonts w:ascii="Arial" w:cs="Arial" w:eastAsia="Arial" w:hAnsi="Arial"/>
                <w:sz w:val="18"/>
                <w:szCs w:val="18"/>
                <w:color w:val="0000EE"/>
              </w:rPr>
            </w:pPr>
            <w:hyperlink r:id="rId34">
              <w:r>
                <w:rPr>
                  <w:rFonts w:ascii="Arial" w:cs="Arial" w:eastAsia="Arial" w:hAnsi="Arial"/>
                  <w:sz w:val="18"/>
                  <w:szCs w:val="18"/>
                  <w:color w:val="0000EE"/>
                </w:rPr>
                <w:t>Letter to the SEC from WithumSmith+Brown, PC dated August 18, 2021.</w:t>
              </w:r>
            </w:hyperlink>
          </w:p>
        </w:tc>
      </w:tr>
      <w:tr>
        <w:trPr>
          <w:trHeight w:val="216"/>
        </w:trPr>
        <w:tc>
          <w:tcPr>
            <w:tcW w:w="1360" w:type="dxa"/>
            <w:vAlign w:val="bottom"/>
            <w:tcBorders>
              <w:top w:val="single" w:sz="8" w:color="CCEEFF"/>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4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21.1</w:t>
            </w:r>
          </w:p>
        </w:tc>
        <w:tc>
          <w:tcPr>
            <w:tcW w:w="9880" w:type="dxa"/>
            <w:vAlign w:val="bottom"/>
            <w:tcBorders>
              <w:right w:val="single" w:sz="8" w:color="CCEEFF"/>
            </w:tcBorders>
            <w:gridSpan w:val="9"/>
            <w:shd w:val="clear" w:color="auto" w:fill="CCEEFF"/>
          </w:tcPr>
          <w:p>
            <w:pPr>
              <w:spacing w:after="0" w:line="176" w:lineRule="exact"/>
              <w:rPr>
                <w:rFonts w:ascii="Arial" w:cs="Arial" w:eastAsia="Arial" w:hAnsi="Arial"/>
                <w:sz w:val="18"/>
                <w:szCs w:val="18"/>
                <w:color w:val="0000EE"/>
              </w:rPr>
            </w:pPr>
            <w:hyperlink r:id="rId35">
              <w:r>
                <w:rPr>
                  <w:rFonts w:ascii="Arial" w:cs="Arial" w:eastAsia="Arial" w:hAnsi="Arial"/>
                  <w:sz w:val="18"/>
                  <w:szCs w:val="18"/>
                  <w:color w:val="0000EE"/>
                </w:rPr>
                <w:t>List of Subsidiaries.</w:t>
              </w:r>
            </w:hyperlink>
          </w:p>
        </w:tc>
      </w:tr>
      <w:tr>
        <w:trPr>
          <w:trHeight w:val="216"/>
        </w:trPr>
        <w:tc>
          <w:tcPr>
            <w:tcW w:w="1360" w:type="dxa"/>
            <w:vAlign w:val="bottom"/>
            <w:tcBorders>
              <w:top w:val="single" w:sz="8" w:color="CCEEFF"/>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9880" w:type="dxa"/>
            <w:vAlign w:val="bottom"/>
            <w:tcBorders>
              <w:right w:val="single" w:sz="8" w:color="CCEEFF"/>
            </w:tcBorders>
            <w:gridSpan w:val="9"/>
            <w:shd w:val="clear" w:color="auto" w:fill="CCEEFF"/>
          </w:tcPr>
          <w:p>
            <w:pPr>
              <w:spacing w:after="0" w:line="176" w:lineRule="exact"/>
              <w:rPr>
                <w:rFonts w:ascii="Arial" w:cs="Arial" w:eastAsia="Arial" w:hAnsi="Arial"/>
                <w:sz w:val="18"/>
                <w:szCs w:val="18"/>
                <w:color w:val="0000EE"/>
                <w:w w:val="92"/>
              </w:rPr>
            </w:pPr>
            <w:hyperlink r:id="rId36">
              <w:r>
                <w:rPr>
                  <w:rFonts w:ascii="Arial" w:cs="Arial" w:eastAsia="Arial" w:hAnsi="Arial"/>
                  <w:sz w:val="18"/>
                  <w:szCs w:val="18"/>
                  <w:color w:val="0000EE"/>
                  <w:w w:val="92"/>
                </w:rPr>
                <w:t>Unaudited condensed consolidated financial statements of the Company for the three and six months ended June 30, 2021 and 2020.</w:t>
              </w:r>
            </w:hyperlink>
          </w:p>
        </w:tc>
      </w:tr>
      <w:tr>
        <w:trPr>
          <w:trHeight w:val="216"/>
        </w:trPr>
        <w:tc>
          <w:tcPr>
            <w:tcW w:w="1360" w:type="dxa"/>
            <w:vAlign w:val="bottom"/>
            <w:tcBorders>
              <w:top w:val="single" w:sz="8" w:color="CCEEFF"/>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420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r>
      <w:tr>
        <w:trPr>
          <w:trHeight w:val="176"/>
        </w:trPr>
        <w:tc>
          <w:tcPr>
            <w:tcW w:w="13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99.2</w:t>
            </w:r>
          </w:p>
        </w:tc>
        <w:tc>
          <w:tcPr>
            <w:tcW w:w="9880" w:type="dxa"/>
            <w:vAlign w:val="bottom"/>
            <w:tcBorders>
              <w:bottom w:val="single" w:sz="8" w:color="0000EE"/>
              <w:right w:val="single" w:sz="8" w:color="CCEEFF"/>
            </w:tcBorders>
            <w:gridSpan w:val="9"/>
            <w:shd w:val="clear" w:color="auto" w:fill="CCEEFF"/>
          </w:tcPr>
          <w:p>
            <w:pPr>
              <w:spacing w:after="0" w:line="176" w:lineRule="exact"/>
              <w:rPr>
                <w:rFonts w:ascii="Arial" w:cs="Arial" w:eastAsia="Arial" w:hAnsi="Arial"/>
                <w:sz w:val="18"/>
                <w:szCs w:val="18"/>
                <w:color w:val="0000EE"/>
                <w:w w:val="91"/>
              </w:rPr>
            </w:pPr>
            <w:hyperlink r:id="rId37">
              <w:r>
                <w:rPr>
                  <w:rFonts w:ascii="Arial" w:cs="Arial" w:eastAsia="Arial" w:hAnsi="Arial"/>
                  <w:sz w:val="18"/>
                  <w:szCs w:val="18"/>
                  <w:color w:val="0000EE"/>
                  <w:w w:val="91"/>
                </w:rPr>
                <w:t>Unaudited pro forma condensed consolidated combined financial information for the three and six months ended June 30, 2021, and for</w:t>
              </w:r>
            </w:hyperlink>
          </w:p>
        </w:tc>
      </w:tr>
      <w:tr>
        <w:trPr>
          <w:trHeight w:val="217"/>
        </w:trPr>
        <w:tc>
          <w:tcPr>
            <w:tcW w:w="1360" w:type="dxa"/>
            <w:vAlign w:val="bottom"/>
            <w:shd w:val="clear" w:color="auto" w:fill="CCEEFF"/>
          </w:tcPr>
          <w:p>
            <w:pPr>
              <w:spacing w:after="0"/>
              <w:rPr>
                <w:sz w:val="18"/>
                <w:szCs w:val="18"/>
                <w:color w:val="auto"/>
              </w:rPr>
            </w:pPr>
          </w:p>
        </w:tc>
        <w:tc>
          <w:tcPr>
            <w:tcW w:w="9880" w:type="dxa"/>
            <w:vAlign w:val="bottom"/>
            <w:tcBorders>
              <w:right w:val="single" w:sz="8" w:color="CCEEFF"/>
            </w:tcBorders>
            <w:gridSpan w:val="9"/>
            <w:shd w:val="clear" w:color="auto" w:fill="CCEEFF"/>
          </w:tcPr>
          <w:p>
            <w:pPr>
              <w:spacing w:after="0" w:line="196" w:lineRule="exact"/>
              <w:rPr>
                <w:rFonts w:ascii="Arial" w:cs="Arial" w:eastAsia="Arial" w:hAnsi="Arial"/>
                <w:sz w:val="18"/>
                <w:szCs w:val="18"/>
                <w:color w:val="0000EE"/>
              </w:rPr>
            </w:pPr>
            <w:hyperlink r:id="rId37">
              <w:r>
                <w:rPr>
                  <w:rFonts w:ascii="Arial" w:cs="Arial" w:eastAsia="Arial" w:hAnsi="Arial"/>
                  <w:sz w:val="18"/>
                  <w:szCs w:val="18"/>
                  <w:color w:val="0000EE"/>
                </w:rPr>
                <w:t>the year ended December 31, 2020.</w:t>
              </w:r>
            </w:hyperlink>
          </w:p>
        </w:tc>
      </w:tr>
      <w:tr>
        <w:trPr>
          <w:trHeight w:val="216"/>
        </w:trPr>
        <w:tc>
          <w:tcPr>
            <w:tcW w:w="1360" w:type="dxa"/>
            <w:vAlign w:val="bottom"/>
            <w:tcBorders>
              <w:top w:val="single" w:sz="8" w:color="CCEEFF"/>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9880" w:type="dxa"/>
            <w:vAlign w:val="bottom"/>
            <w:tcBorders>
              <w:right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Cover Page Interactive Data File (formatted as Inline XBRL).</w:t>
            </w:r>
          </w:p>
        </w:tc>
      </w:tr>
    </w:tbl>
    <w:p>
      <w:pPr>
        <w:spacing w:after="0" w:line="202" w:lineRule="exact"/>
        <w:rPr>
          <w:sz w:val="20"/>
          <w:szCs w:val="20"/>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schedules to this Exhibit have been omitted in accordance with Regulation S-K Item 601(b)(2). The Company agrees to furnish supplementally a copy of any omitted schedule to the Securities and Exchange Commission upon its request.</w:t>
      </w:r>
    </w:p>
    <w:p>
      <w:pPr>
        <w:spacing w:after="0" w:line="170" w:lineRule="exact"/>
        <w:rPr>
          <w:sz w:val="20"/>
          <w:szCs w:val="20"/>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Confidential portions of this exhibit were redacted pursuant to Item 601(b)(10) of Regulation S-K and will be furnished to the Securities and Exchange Commission upon request.</w:t>
      </w:r>
    </w:p>
    <w:p>
      <w:pPr>
        <w:spacing w:after="0" w:line="170" w:lineRule="exact"/>
        <w:rPr>
          <w:sz w:val="20"/>
          <w:szCs w:val="20"/>
          <w:color w:val="auto"/>
        </w:rPr>
      </w:pPr>
    </w:p>
    <w:p>
      <w:pPr>
        <w:ind w:left="5580" w:right="5080" w:hanging="5572"/>
        <w:spacing w:after="0" w:line="905" w:lineRule="auto"/>
        <w:tabs>
          <w:tab w:leader="none" w:pos="333" w:val="left"/>
        </w:tabs>
        <w:numPr>
          <w:ilvl w:val="0"/>
          <w:numId w:val="4"/>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 contract or arrangement.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640" w:type="dxa"/>
            <w:vAlign w:val="bottom"/>
            <w:gridSpan w:val="2"/>
          </w:tcPr>
          <w:p>
            <w:pPr>
              <w:ind w:left="3160"/>
              <w:spacing w:after="0"/>
              <w:rPr>
                <w:sz w:val="20"/>
                <w:szCs w:val="20"/>
                <w:color w:val="auto"/>
              </w:rPr>
            </w:pPr>
            <w:r>
              <w:rPr>
                <w:rFonts w:ascii="Arial" w:cs="Arial" w:eastAsia="Arial" w:hAnsi="Arial"/>
                <w:sz w:val="18"/>
                <w:szCs w:val="18"/>
                <w:b w:val="1"/>
                <w:bCs w:val="1"/>
                <w:color w:val="auto"/>
              </w:rPr>
              <w:t>Momentus Inc.</w:t>
            </w:r>
          </w:p>
        </w:tc>
      </w:tr>
      <w:tr>
        <w:trPr>
          <w:trHeight w:val="439"/>
        </w:trPr>
        <w:tc>
          <w:tcPr>
            <w:tcW w:w="3600" w:type="dxa"/>
            <w:vAlign w:val="bottom"/>
          </w:tcPr>
          <w:p>
            <w:pPr>
              <w:spacing w:after="0"/>
              <w:rPr>
                <w:sz w:val="20"/>
                <w:szCs w:val="20"/>
                <w:color w:val="auto"/>
              </w:rPr>
            </w:pPr>
            <w:r>
              <w:rPr>
                <w:rFonts w:ascii="Arial" w:cs="Arial" w:eastAsia="Arial" w:hAnsi="Arial"/>
                <w:sz w:val="18"/>
                <w:szCs w:val="18"/>
                <w:color w:val="auto"/>
              </w:rPr>
              <w:t>Date: August 18, 2021</w:t>
            </w:r>
          </w:p>
        </w:tc>
        <w:tc>
          <w:tcPr>
            <w:tcW w:w="3720" w:type="dxa"/>
            <w:vAlign w:val="bottom"/>
          </w:tcPr>
          <w:p>
            <w:pPr>
              <w:ind w:left="31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C. Rood</w:t>
            </w:r>
          </w:p>
        </w:tc>
      </w:tr>
      <w:tr>
        <w:trPr>
          <w:trHeight w:val="202"/>
        </w:trPr>
        <w:tc>
          <w:tcPr>
            <w:tcW w:w="3600" w:type="dxa"/>
            <w:vAlign w:val="bottom"/>
          </w:tcPr>
          <w:p>
            <w:pPr>
              <w:spacing w:after="0"/>
              <w:rPr>
                <w:sz w:val="17"/>
                <w:szCs w:val="17"/>
                <w:color w:val="auto"/>
              </w:rPr>
            </w:pPr>
          </w:p>
        </w:tc>
        <w:tc>
          <w:tcPr>
            <w:tcW w:w="3720" w:type="dxa"/>
            <w:vAlign w:val="bottom"/>
          </w:tcPr>
          <w:p>
            <w:pPr>
              <w:ind w:left="316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John C. Rood</w:t>
            </w:r>
          </w:p>
        </w:tc>
      </w:tr>
      <w:tr>
        <w:trPr>
          <w:trHeight w:val="230"/>
        </w:trPr>
        <w:tc>
          <w:tcPr>
            <w:tcW w:w="3600" w:type="dxa"/>
            <w:vAlign w:val="bottom"/>
          </w:tcPr>
          <w:p>
            <w:pPr>
              <w:spacing w:after="0"/>
              <w:rPr>
                <w:sz w:val="20"/>
                <w:szCs w:val="20"/>
                <w:color w:val="auto"/>
              </w:rPr>
            </w:pPr>
          </w:p>
        </w:tc>
        <w:tc>
          <w:tcPr>
            <w:tcW w:w="3720" w:type="dxa"/>
            <w:vAlign w:val="bottom"/>
          </w:tcPr>
          <w:p>
            <w:pPr>
              <w:ind w:left="31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55"/>
        </w:trPr>
        <w:tc>
          <w:tcPr>
            <w:tcW w:w="3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ind w:left="1980"/>
              <w:spacing w:after="0"/>
              <w:rPr>
                <w:sz w:val="20"/>
                <w:szCs w:val="20"/>
                <w:color w:val="auto"/>
              </w:rPr>
            </w:pPr>
            <w:r>
              <w:rPr>
                <w:rFonts w:ascii="Arial" w:cs="Arial" w:eastAsia="Arial" w:hAnsi="Arial"/>
                <w:sz w:val="18"/>
                <w:szCs w:val="18"/>
                <w:color w:val="auto"/>
              </w:rPr>
              <w:t>4</w:t>
            </w: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38" Type="http://schemas.openxmlformats.org/officeDocument/2006/relationships/image" Target="media/image7.png"/><Relationship Id="rId13" Type="http://schemas.openxmlformats.org/officeDocument/2006/relationships/hyperlink" Target="http://www.sec.gov/Archives/edgar/data/0001781162/000121390021038251/f424b30721_stableroadacqcorp.htm" TargetMode="External"/><Relationship Id="rId15" Type="http://schemas.openxmlformats.org/officeDocument/2006/relationships/hyperlink" Target="http://www.sec.gov/Archives/edgar/data/1781162/000121390020030403/ea127854ex2-1_stableroad.htm" TargetMode="External"/><Relationship Id="rId16" Type="http://schemas.openxmlformats.org/officeDocument/2006/relationships/hyperlink" Target="https://www.sec.gov/Archives/edgar/data/1781162/000121390021043676/ea146069ex3-1_momentusinc.htm" TargetMode="External"/><Relationship Id="rId17" Type="http://schemas.openxmlformats.org/officeDocument/2006/relationships/hyperlink" Target="https://www.sec.gov/Archives/edgar/data/1781162/000121390021043676/ea146069ex3-2_momentusinc.htm" TargetMode="External"/><Relationship Id="rId18" Type="http://schemas.openxmlformats.org/officeDocument/2006/relationships/hyperlink" Target="https://www.sec.gov/Archives/edgar/data/1781162/000121390019023186/f8k1119ex4-1_stableroad.htm" TargetMode="External"/><Relationship Id="rId19" Type="http://schemas.openxmlformats.org/officeDocument/2006/relationships/hyperlink" Target="http://www.sec.gov/Archives/edgar/data/1781162/000121390019020151/fs12019a1ex4-3_stable.htm" TargetMode="External"/><Relationship Id="rId20" Type="http://schemas.openxmlformats.org/officeDocument/2006/relationships/hyperlink" Target="https://www.sec.gov/Archives/edgar/data/1781162/000121390021043676/ea146069ex10-1_momentusinc.htm" TargetMode="External"/><Relationship Id="rId21" Type="http://schemas.openxmlformats.org/officeDocument/2006/relationships/hyperlink" Target="http://www.sec.gov/Archives/edgar/data/1781162/000121390019020151/fs12019a1ex10-1_stable.htm" TargetMode="External"/><Relationship Id="rId22" Type="http://schemas.openxmlformats.org/officeDocument/2006/relationships/hyperlink" Target="https://www.sec.gov/Archives/edgar/data/1781162/000121390021043676/ea146069ex10-4_momentusinc.htm" TargetMode="External"/><Relationship Id="rId23" Type="http://schemas.openxmlformats.org/officeDocument/2006/relationships/hyperlink" Target="https://www.sec.gov/Archives/edgar/data/1781162/000121390021043676/ea146069ex10-5_momentusinc.htm" TargetMode="External"/><Relationship Id="rId24" Type="http://schemas.openxmlformats.org/officeDocument/2006/relationships/hyperlink" Target="https://www.sec.gov/Archives/edgar/data/1781162/000121390021043676/ea146069ex10-6_momentusinc.htm" TargetMode="External"/><Relationship Id="rId25" Type="http://schemas.openxmlformats.org/officeDocument/2006/relationships/hyperlink" Target="https://www.sec.gov/Archives/edgar/data/1781162/000121390021043676/ea146069ex10-7_momentusinc.htm" TargetMode="External"/><Relationship Id="rId26" Type="http://schemas.openxmlformats.org/officeDocument/2006/relationships/hyperlink" Target="https://www.sec.gov/Archives/edgar/data/1781162/000121390021043676/ea146069ex10-8_momentusinc.htm" TargetMode="External"/><Relationship Id="rId27" Type="http://schemas.openxmlformats.org/officeDocument/2006/relationships/hyperlink" Target="https://www.sec.gov/Archives/edgar/data/1781162/000121390021043676/ea146069ex10-9_momentusinc.htm" TargetMode="External"/><Relationship Id="rId28" Type="http://schemas.openxmlformats.org/officeDocument/2006/relationships/hyperlink" Target="http://www.sec.gov/Archives/edgar/data/1781162/000121390021013894/fs42021a2ex10-12_stable.htm" TargetMode="External"/><Relationship Id="rId29" Type="http://schemas.openxmlformats.org/officeDocument/2006/relationships/hyperlink" Target="http://www.sec.gov/Archives/edgar/data/1781162/000121390020042374/fs42020ex10-13_stableroad.htm" TargetMode="External"/><Relationship Id="rId30" Type="http://schemas.openxmlformats.org/officeDocument/2006/relationships/hyperlink" Target="https://www.sec.gov/Archives/edgar/data/1781162/000121390021043676/ea146069ex10-12_momentusinc.htm" TargetMode="External"/><Relationship Id="rId31" Type="http://schemas.openxmlformats.org/officeDocument/2006/relationships/hyperlink" Target="http://www.sec.gov/Archives/edgar/data/1781162/000121390021037338/fs42021a5ex10-17_stableroad.htm" TargetMode="External"/><Relationship Id="rId32" Type="http://schemas.openxmlformats.org/officeDocument/2006/relationships/hyperlink" Target="http://www.sec.gov/Archives/edgar/data/1781162/000121390021034741/fs42021a3ex10-4_stableroad.htm" TargetMode="External"/><Relationship Id="rId33" Type="http://schemas.openxmlformats.org/officeDocument/2006/relationships/hyperlink" Target="https://www.sec.gov/Archives/edgar/data/1781162/000121390021043676/ea146069ex10-15_momentusinc.htm" TargetMode="External"/><Relationship Id="rId34" Type="http://schemas.openxmlformats.org/officeDocument/2006/relationships/hyperlink" Target="https://www.sec.gov/Archives/edgar/data/1781162/000121390021043676/ea146069ex16-1_momentusinc.htm" TargetMode="External"/><Relationship Id="rId35" Type="http://schemas.openxmlformats.org/officeDocument/2006/relationships/hyperlink" Target="https://www.sec.gov/Archives/edgar/data/1781162/000121390021043676/ea146069ex21-1_momentusinc.htm" TargetMode="External"/><Relationship Id="rId36" Type="http://schemas.openxmlformats.org/officeDocument/2006/relationships/hyperlink" Target="https://www.sec.gov/Archives/edgar/data/1781162/000121390021043676/ea146069ex99-1_momentusinc.htm" TargetMode="External"/><Relationship Id="rId37" Type="http://schemas.openxmlformats.org/officeDocument/2006/relationships/hyperlink" Target="https://www.sec.gov/Archives/edgar/data/1781162/000121390021043676/ea146069ex99-2_momentusin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2021-08-18T16:30:21Z</dcterms:created>
  <dcterms:modified xsi:type="dcterms:W3CDTF">2021-08-18T16:30:21Z</dcterms:modified>
</cp:coreProperties>
</file>