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7066" w:type="dxa"/>
        <w:jc w:val="left"/>
        <w:tblInd w:w="0" w:type="dxa"/>
        <w:tblLayout w:type="fixed"/>
        <w:tblCellMar>
          <w:top w:w="28" w:type="dxa"/>
          <w:left w:w="28" w:type="dxa"/>
          <w:bottom w:w="28" w:type="dxa"/>
          <w:right w:w="28" w:type="dxa"/>
        </w:tblCellMar>
      </w:tblPr>
      <w:tblGrid>
        <w:gridCol w:w="7066"/>
      </w:tblGrid>
      <w:tr>
        <w:trPr/>
        <w:tc>
          <w:tcPr>
            <w:tcW w:w="706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706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7066" w:type="dxa"/>
            <w:tcBorders/>
            <w:vAlign w:val="center"/>
          </w:tcPr>
          <w:p>
            <w:pPr>
              <w:pStyle w:val="TableContents"/>
              <w:bidi w:val="0"/>
              <w:spacing w:before="0" w:after="0"/>
              <w:jc w:val="left"/>
              <w:rPr/>
            </w:pPr>
            <w:r>
              <w:rPr/>
              <w:t xml:space="preserve">UNDER THE SECURITIES EXCHANGE ACT OF 1934 </w:t>
            </w:r>
          </w:p>
        </w:tc>
      </w:tr>
      <w:tr>
        <w:trPr/>
        <w:tc>
          <w:tcPr>
            <w:tcW w:w="706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7066" w:type="dxa"/>
            <w:tcBorders/>
            <w:vAlign w:val="center"/>
          </w:tcPr>
          <w:p>
            <w:pPr>
              <w:pStyle w:val="TableContents"/>
              <w:bidi w:val="0"/>
              <w:spacing w:before="0" w:after="0"/>
              <w:jc w:val="center"/>
              <w:rPr>
                <w:b/>
                <w:color w:val="0000FF"/>
              </w:rPr>
            </w:pPr>
            <w:r>
              <w:rPr>
                <w:b/>
                <w:color w:val="0000FF"/>
              </w:rPr>
              <w:t>Momentus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7066" w:type="dxa"/>
            <w:tcBorders/>
            <w:vAlign w:val="center"/>
          </w:tcPr>
          <w:p>
            <w:pPr>
              <w:pStyle w:val="TableContents"/>
              <w:bidi w:val="0"/>
              <w:spacing w:before="0" w:after="0"/>
              <w:jc w:val="center"/>
              <w:rPr>
                <w:b/>
                <w:color w:val="0000FF"/>
              </w:rPr>
            </w:pPr>
            <w:r>
              <w:rPr>
                <w:b/>
                <w:color w:val="0000FF"/>
              </w:rPr>
              <w:t>Class A common stock, par value $0.00001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706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706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248,366.00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248,366.00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248,366.00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18,835,815 Shares outstanding as of June 18, 2026 (according to the issuer's prospectus as filed with the Securities and Exchange Commission on June 18,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248,366.00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248,366.00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248,366.00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248,366.00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248,366.00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248,366.00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61,499.00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61,499.00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61,499.00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Group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61,499.00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61,499.00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61,499.00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61,499.00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61,499.00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61,499.00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Griffin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309,865.00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309,865.00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309,865.00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Momentus Inc.</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1762 Automation Parkway, San Jose, CA 95131</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2.</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held of record by Citadel Multi-Strategy Equities Master Fund Ltd., a Cayman Islands company ("CM"), Citadel CEMF Investments Ltd., a Cayman Islands limited company ("CCIL"), and Citadel Securities. Such Shares may include other instruments exercisable for or convertible into Shares. Citadel Advisors is the portfolio manager for CCIL and CM. CAH is the sole member of Citadel Advisors. CGP is the general partner of CAH. CALC4 is the non-member manager of Citadel Securities. CSGP is the general partner of CALC4. Mr. Griffin is the President and Chief Executive Officer of CGP, and owns a controlling interest in CGP and CSGP.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830 Brickell Plaza, Miami, Florida 33131.</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Citizenship: </w:t>
            </w:r>
          </w:p>
          <w:p>
            <w:pPr>
              <w:pStyle w:val="TableContents"/>
              <w:bidi w:val="0"/>
              <w:spacing w:before="0" w:after="0"/>
              <w:jc w:val="left"/>
              <w:rPr/>
            </w:pPr>
            <w:r>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(f)</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(g)</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(h)</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(j)</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(k)</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Each of Citadel Advisors LLC, Citadel Advisors Holdings LP and Citadel GP LLC may be deemed to beneficially own 248,366 Shares. 2. Citadel Securities LLC may be deemed to beneficially own 61,499 Shares. 3. Each of Citadel Securities Group LP and Citadel Securities GP LLC may be deemed to beneficially own 61,499 Shares. 4. Mr. Griffin may be deemed to beneficially own 309,865 Shares.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each of Citadel Advisors LLC, Citadel Advisors Holdings LP and Citadel GP LLC may be deemed to beneficially own constitutes 1.3% of the Shares outstanding. 2. The number of Shares that Citadel Securities LLC may be deemed to beneficially own constitutes 0.3% of the Shares outstanding. 3. The number of Shares that each of Citadel Securities Group LP and Citadel Securities GP LLC may be deemed to beneficially own constitutes 0.3% of the Shares outstanding. 4. The number of Shares that Mr. Griffin may be deemed to beneficially own constitutes 1.6%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Each of Citadel Advisors LLC, Citadel Advisors Holdings LP and Citadel GP LLC: 248,366 2. Citadel Securities LLC: 61,499 3. Each of Citadel Securities Group LP and Citadel Securities GP LLC: 61,499 4. Mr. Griffin: 309,865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Each of Citadel Advisors LLC, Citadel Advisors Holdings LP and Citadel GP LLC: 248,366 2. Citadel Securities LLC: 61,499 3. Each of Citadel Securities Group LP and Citadel Securities GP LLC: 61,499 4. Mr. Griffin: 309,865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8.</w:t>
            </w:r>
          </w:p>
        </w:tc>
        <w:tc>
          <w:tcPr>
            <w:tcW w:w="89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9.</w:t>
            </w:r>
          </w:p>
        </w:tc>
        <w:tc>
          <w:tcPr>
            <w:tcW w:w="89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Citadel Advisors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Citadel Advisors Holdings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Citadel GP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Citadel Securities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Citadel Securities Group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Citadel Securities GP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Kenneth Griffin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2132</Words>
  <Characters>10960</Characters>
  <CharactersWithSpaces>12967</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