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6" w:lineRule="exact"/>
        <w:rPr>
          <w:sz w:val="24"/>
          <w:szCs w:val="24"/>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MOMENTUS INC.</w:t>
      </w:r>
    </w:p>
    <w:p>
      <w:pPr>
        <w:spacing w:after="0" w:line="50"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44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660" w:type="dxa"/>
            <w:vAlign w:val="bottom"/>
          </w:tcPr>
          <w:p>
            <w:pPr>
              <w:spacing w:after="0"/>
              <w:rPr>
                <w:sz w:val="19"/>
                <w:szCs w:val="19"/>
                <w:color w:val="auto"/>
              </w:rPr>
            </w:pPr>
          </w:p>
        </w:tc>
      </w:tr>
      <w:tr>
        <w:trPr>
          <w:trHeight w:val="236"/>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40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3714</w:t>
            </w:r>
          </w:p>
        </w:tc>
        <w:tc>
          <w:tcPr>
            <w:tcW w:w="166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84-1905538</w:t>
            </w:r>
          </w:p>
        </w:tc>
      </w:tr>
      <w:tr>
        <w:trPr>
          <w:trHeight w:val="216"/>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40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(Primary Standard Industrial</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40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256"/>
        </w:trPr>
        <w:tc>
          <w:tcPr>
            <w:tcW w:w="2260" w:type="dxa"/>
            <w:vAlign w:val="bottom"/>
          </w:tcPr>
          <w:p>
            <w:pPr>
              <w:spacing w:after="0"/>
              <w:rPr>
                <w:sz w:val="22"/>
                <w:szCs w:val="22"/>
                <w:color w:val="auto"/>
              </w:rPr>
            </w:pPr>
          </w:p>
        </w:tc>
        <w:tc>
          <w:tcPr>
            <w:tcW w:w="440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1762 Automation Parkway</w:t>
            </w:r>
          </w:p>
        </w:tc>
        <w:tc>
          <w:tcPr>
            <w:tcW w:w="1660" w:type="dxa"/>
            <w:vAlign w:val="bottom"/>
          </w:tcPr>
          <w:p>
            <w:pPr>
              <w:spacing w:after="0"/>
              <w:rPr>
                <w:sz w:val="22"/>
                <w:szCs w:val="22"/>
                <w:color w:val="auto"/>
              </w:rPr>
            </w:pPr>
          </w:p>
        </w:tc>
      </w:tr>
      <w:tr>
        <w:trPr>
          <w:trHeight w:val="216"/>
        </w:trPr>
        <w:tc>
          <w:tcPr>
            <w:tcW w:w="2260" w:type="dxa"/>
            <w:vAlign w:val="bottom"/>
          </w:tcPr>
          <w:p>
            <w:pPr>
              <w:spacing w:after="0"/>
              <w:rPr>
                <w:sz w:val="18"/>
                <w:szCs w:val="18"/>
                <w:color w:val="auto"/>
              </w:rPr>
            </w:pPr>
          </w:p>
        </w:tc>
        <w:tc>
          <w:tcPr>
            <w:tcW w:w="440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San Jose, CA 95131</w:t>
            </w:r>
          </w:p>
        </w:tc>
        <w:tc>
          <w:tcPr>
            <w:tcW w:w="166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440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(650) 564-7820</w:t>
            </w:r>
          </w:p>
        </w:tc>
        <w:tc>
          <w:tcPr>
            <w:tcW w:w="1660" w:type="dxa"/>
            <w:vAlign w:val="bottom"/>
          </w:tcPr>
          <w:p>
            <w:pPr>
              <w:spacing w:after="0"/>
              <w:rPr>
                <w:sz w:val="19"/>
                <w:szCs w:val="19"/>
                <w:color w:val="auto"/>
              </w:rPr>
            </w:pPr>
          </w:p>
        </w:tc>
      </w:tr>
    </w:tbl>
    <w:p>
      <w:pPr>
        <w:spacing w:after="0" w:line="5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2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John C. Rood</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1762 Automation Parkway</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San Jose, California 95131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(650) 564-7820</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Stephen C. Hinton, Esq.</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Bradley Arant Boult Cummings LLP</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1221 Broadway</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Nashville, Tennessee 37203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(615) 252-3585</w:t>
      </w:r>
    </w:p>
    <w:p>
      <w:pPr>
        <w:spacing w:after="0" w:line="61"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 as determined by market conditions.</w:t>
      </w:r>
    </w:p>
    <w:p>
      <w:pPr>
        <w:spacing w:after="0" w:line="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82"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30"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2"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2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6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6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6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7"/>
          <w:szCs w:val="17"/>
          <w:color w:val="auto"/>
        </w:rPr>
        <w:t>☐</w:t>
      </w:r>
    </w:p>
    <w:p>
      <w:pPr>
        <w:spacing w:after="0" w:line="81"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198120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327025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43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b w:val="1"/>
          <w:bCs w:val="1"/>
          <w:color w:val="FC0014"/>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C0014"/>
        </w:rPr>
        <w:t>Subject to Completion, Dated May 26, 2026</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159385</wp:posOffset>
            </wp:positionV>
            <wp:extent cx="1183005" cy="108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0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MOMENTUS INC.</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 </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offer and sell up to $200,000,000 of any combination of our Class A common stock, par value $0.00001 (the “common stock” or “Common Stock”), preferred stock, par value $0.00001 (the “preferred stock”), debt securities, warrants or units described in this prospectus, either individually or in combination with other securities, at prices and on terms described in one or more supplements to this prospectus. We may also offer common stock or preferred stock upon conversion of debt securities, common stock upon conversion of preferred stock, or common stock, preferred stock, or debt securities upon the exercise of warrants.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may be sold by us to or through underwriters or dealers, directly to purchasers or through agents designated from time to time. For additional 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“MNTS.” On May 22, 2026, the last reported sale price of our common stock on Nasdaq was $7.38 per share. The applicable prospectus supplement will contain information, where applicable, as to any other listing, if any, on any securities market or other exchange of the specific security covered by such prospectus supplement.</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 aggregate market value of our outstanding common stock held by non-affiliates is approximately $79.8 million, which is calculated based on 10,457,184 shares of our outstanding common stock held by non-affiliates and a price of $7.63 per share, the closing price of our common stock on April 16, 2026, which is the highest closing price of our common stock on Nasdaq within the prior 60 days of this prospectus.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139700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843"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5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540" w:type="dxa"/>
            <w:vAlign w:val="bottom"/>
            <w:gridSpan w:val="7"/>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189"/>
        </w:trPr>
        <w:tc>
          <w:tcPr>
            <w:tcW w:w="158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540" w:type="dxa"/>
            <w:vAlign w:val="bottom"/>
            <w:tcBorders>
              <w:top w:val="single" w:sz="8" w:color="CCEEFF"/>
            </w:tcBorders>
            <w:gridSpan w:val="7"/>
          </w:tcPr>
          <w:p>
            <w:pPr>
              <w:spacing w:after="0"/>
              <w:rPr>
                <w:sz w:val="16"/>
                <w:szCs w:val="16"/>
                <w:color w:val="auto"/>
              </w:rPr>
            </w:pPr>
          </w:p>
        </w:tc>
        <w:tc>
          <w:tcPr>
            <w:tcW w:w="12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gridSpan w:val="13"/>
            <w:shd w:val="clear" w:color="auto" w:fill="CCEEFF"/>
          </w:tcPr>
          <w:p>
            <w:pPr>
              <w:spacing w:after="0"/>
              <w:rPr>
                <w:sz w:val="16"/>
                <w:szCs w:val="16"/>
                <w:color w:val="auto"/>
              </w:rPr>
            </w:pPr>
          </w:p>
        </w:tc>
        <w:tc>
          <w:tcPr>
            <w:tcW w:w="2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3"/>
            <w:shd w:val="clear" w:color="auto" w:fill="CCEEFF"/>
          </w:tcPr>
          <w:p>
            <w:pPr>
              <w:spacing w:after="0"/>
              <w:rPr>
                <w:sz w:val="16"/>
                <w:szCs w:val="16"/>
                <w:color w:val="auto"/>
              </w:rPr>
            </w:pP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3"/>
          </w:tcPr>
          <w:p>
            <w:pPr>
              <w:spacing w:after="0"/>
              <w:rPr>
                <w:sz w:val="16"/>
                <w:szCs w:val="16"/>
                <w:color w:val="auto"/>
              </w:rPr>
            </w:pPr>
          </w:p>
        </w:tc>
        <w:tc>
          <w:tcPr>
            <w:tcW w:w="300" w:type="dxa"/>
            <w:vAlign w:val="bottom"/>
            <w:gridSpan w:val="6"/>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300" w:type="dxa"/>
            <w:vAlign w:val="bottom"/>
            <w:gridSpan w:val="6"/>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700" w:type="dxa"/>
            <w:vAlign w:val="bottom"/>
            <w:gridSpan w:val="10"/>
          </w:tcPr>
          <w:p>
            <w:pPr>
              <w:spacing w:after="0"/>
              <w:rPr>
                <w:sz w:val="16"/>
                <w:szCs w:val="16"/>
                <w:color w:val="auto"/>
              </w:rPr>
            </w:pPr>
          </w:p>
        </w:tc>
        <w:tc>
          <w:tcPr>
            <w:tcW w:w="300" w:type="dxa"/>
            <w:vAlign w:val="bottom"/>
            <w:gridSpan w:val="6"/>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6"/>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6"/>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statement, we may sell from time to time in one or more offerings up to a total dollar amount of $200,000,000 of shares of common stock, preferred stock, various series of debt securities and/or warrants to purchase any of such securities, either individually or as units in combination with other securities as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spacing w:after="0" w:line="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“Momentus,” “the Company,” “we,” “us,” “our” and similar references refer to Momentus Inc., an entity incorporated under the laws of the State of Delaware, and where appropriate our consolidated subsidiaries.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spacing w:after="0" w:line="8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w:t>
      </w:r>
    </w:p>
    <w:p>
      <w:pPr>
        <w:spacing w:after="0" w:line="72"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spacing w:after="0" w:line="84"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spacing w:after="0" w:line="72" w:lineRule="exact"/>
        <w:rPr>
          <w:sz w:val="20"/>
          <w:szCs w:val="20"/>
          <w:color w:val="auto"/>
        </w:rPr>
      </w:pPr>
    </w:p>
    <w:p>
      <w:pPr>
        <w:jc w:val="both"/>
        <w:ind w:left="320" w:right="299"/>
        <w:spacing w:after="0" w:line="289"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spacing w:after="0" w:line="50"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spacing w:after="0" w:line="84"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currently plan to offer the following infrastructure services to the space economy:</w:t>
      </w:r>
    </w:p>
    <w:p>
      <w:pPr>
        <w:spacing w:after="0" w:line="113" w:lineRule="exact"/>
        <w:rPr>
          <w:sz w:val="20"/>
          <w:szCs w:val="20"/>
          <w:color w:val="auto"/>
        </w:rPr>
      </w:pPr>
    </w:p>
    <w:p>
      <w:pPr>
        <w:jc w:val="both"/>
        <w:ind w:left="1020" w:right="299" w:hanging="350"/>
        <w:spacing w:after="0" w:line="282" w:lineRule="auto"/>
        <w:tabs>
          <w:tab w:leader="none" w:pos="10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w:t>
      </w:r>
    </w:p>
    <w:p>
      <w:pPr>
        <w:spacing w:after="0" w:line="53" w:lineRule="exact"/>
        <w:rPr>
          <w:rFonts w:ascii="Times New Roman" w:cs="Times New Roman" w:eastAsia="Times New Roman" w:hAnsi="Times New Roman"/>
          <w:sz w:val="17"/>
          <w:szCs w:val="17"/>
          <w:color w:val="auto"/>
        </w:rPr>
      </w:pPr>
    </w:p>
    <w:p>
      <w:pPr>
        <w:jc w:val="both"/>
        <w:ind w:left="1020" w:right="299" w:hanging="350"/>
        <w:spacing w:after="0" w:line="25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Technologies: </w:t>
      </w:r>
      <w:r>
        <w:rPr>
          <w:rFonts w:ascii="Times New Roman" w:cs="Times New Roman" w:eastAsia="Times New Roman" w:hAnsi="Times New Roman"/>
          <w:sz w:val="18"/>
          <w:szCs w:val="18"/>
          <w:color w:val="auto"/>
        </w:rPr>
        <w:t>Momentus is developing and plans to offer satellite technologies such as our Tape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Transportation: </w:t>
      </w:r>
      <w:r>
        <w:rPr>
          <w:rFonts w:ascii="Times New Roman" w:cs="Times New Roman" w:eastAsia="Times New Roman" w:hAnsi="Times New Roman"/>
          <w:sz w:val="18"/>
          <w:szCs w:val="18"/>
          <w:color w:val="auto"/>
        </w:rPr>
        <w:t>Momentus offers a transportation service to deliver customers’ satellites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precision orbits. Under this model, our customers would deliver their payload to us a few months prior to launch for integration onto our vehicle. Once we have integrated our customers’ payloads, we would then ship 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w:t>
      </w:r>
    </w:p>
    <w:p>
      <w:pPr>
        <w:spacing w:after="0" w:line="6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w:t>
      </w:r>
    </w:p>
    <w:p>
      <w:pPr>
        <w:spacing w:after="0" w:line="64" w:lineRule="exact"/>
        <w:rPr>
          <w:sz w:val="20"/>
          <w:szCs w:val="20"/>
          <w:color w:val="auto"/>
        </w:rPr>
      </w:pPr>
    </w:p>
    <w:p>
      <w:pPr>
        <w:jc w:val="both"/>
        <w:ind w:left="1020" w:right="299" w:hanging="350"/>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Hosted Payload: </w:t>
      </w:r>
      <w:r>
        <w:rPr>
          <w:rFonts w:ascii="Times New Roman" w:cs="Times New Roman" w:eastAsia="Times New Roman" w:hAnsi="Times New Roman"/>
          <w:sz w:val="18"/>
          <w:szCs w:val="18"/>
          <w:color w:val="auto"/>
        </w:rPr>
        <w:t>There are a broad range of payloads, satellite components, and other space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customers want to operate, test, or 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77"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In-Orbit Servicing: </w:t>
      </w:r>
      <w:r>
        <w:rPr>
          <w:rFonts w:ascii="Times New Roman" w:cs="Times New Roman" w:eastAsia="Times New Roman" w:hAnsi="Times New Roman"/>
          <w:sz w:val="18"/>
          <w:szCs w:val="18"/>
          <w:color w:val="auto"/>
        </w:rPr>
        <w:t>As the number of satellites in space increases, so does their need to be serviced.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Bus: </w:t>
      </w:r>
      <w:r>
        <w:rPr>
          <w:rFonts w:ascii="Times New Roman" w:cs="Times New Roman" w:eastAsia="Times New Roman" w:hAnsi="Times New Roman"/>
          <w:sz w:val="18"/>
          <w:szCs w:val="18"/>
          <w:color w:val="auto"/>
        </w:rPr>
        <w:t>Technologies used to support the hosted payload market are directly applicable to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risks associated with our business, see “Risk Factors.” Investors are cautioned to review the following description of Momentus’ business together with the entirety of this prospectus, including the within-mentioned risk factors.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January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w:t>
      </w:r>
    </w:p>
    <w:p>
      <w:pPr>
        <w:spacing w:after="0" w:line="72"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w:t>
      </w:r>
    </w:p>
    <w:p>
      <w:pPr>
        <w:spacing w:after="0" w:line="80"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January 5, 2028,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w:t>
      </w:r>
    </w:p>
    <w:p>
      <w:pPr>
        <w:spacing w:after="0" w:line="7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610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6106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Also in connection with the private placement, the Company and the January 2026 PIPE Investor agreed to reduce the exercise price of certain warrants issued to the 2026 PIPE Investor on October 15, 2025 and December 11, 2025 from $13.74 per share to $5.40 per share.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April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As a company with less than $100 million of annual revenue in our most recently completed fiscal year and the market value of our stock held by non-affiliates as of June 30, 2024,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59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Momentus, the Momentus logo and our other registered or common law trademarks, service marks or trade names appearing in this prospectus are the property of Momentus. Other trademarks, service marks and trade names used in this prospectus are the property of their respective owners.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preferred stock, various series of debt securities and/or warrants to purchase any of such securities, either individually or as units in combination with other securities, with a total value of up to $200,000,000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9" w:lineRule="exact"/>
        <w:rPr>
          <w:sz w:val="20"/>
          <w:szCs w:val="20"/>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if any.</w:t>
      </w:r>
    </w:p>
    <w:p>
      <w:pPr>
        <w:spacing w:after="0" w:line="117"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72" w:lineRule="exact"/>
        <w:rPr>
          <w:sz w:val="20"/>
          <w:szCs w:val="20"/>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73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78733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securities we may offer with this prospectus.</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common stock from time to time. Each holder of our common stock is entitled to one vote for each share on all matters submitted to a vote of the stockholders, including the election of directors. Under our second amended and restated certificate of incorporation, as amended (the “Certificate of Incorporation”) and second amended and restated bylaws (the “Bylaws”), our stockholders do not have cumulative voting rights. Subject to preferences that may be applicable to any then-outstanding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Holders of shares of our common stock do not have preemptive, subscription, redemption, or conversion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the holder’s option and would be at prescribed conversion rates. 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w:t>
      </w:r>
    </w:p>
    <w:p>
      <w:pPr>
        <w:spacing w:after="0" w:line="82"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7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658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46589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5"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this prospectus, we have summarized certain general features of the units under “Description of Units.” We urge you, however, to read the applicable prospectus supplement (and any related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specific unit agreement that contains the terms of the particular series of units we are offering, before the issuance of such units.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“Forward-Looking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(the “Securities Act”) and Section 21E of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and our Current Reports on Form 8-K, as well as any amendments thereto.</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capital stock. This is a summary only and does not purport to be complete. It is subject to and qualified in its entirety by reference to our Second Amended and Restated Certificate of Incorporation, as amended, and our Amended and Restated Bylaws, as amended, each of which are incorporated by reference as an exhibit to the registration statement of which this prospectus forms a part. We encourage you to read our Second Amended and Restated Certificate of Incorporation, as amended, and our Amended and Restated Bylaws, as amended, and the applicable provisions of the Delaware General Corporation Law (the “DGCL”), for additional information.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terms of our Second Amended and Restated Certificate of Incorporation, as amended, our authorized capital stock consists of:</w:t>
      </w:r>
    </w:p>
    <w:p>
      <w:pPr>
        <w:spacing w:after="0" w:line="54"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the Common Stock, $0.00001 par value per share;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undesignated Preferred Stock, $0.00001 par value per share (“Preferred Stock”), of which 673,408 shares have been designated as the Series A Convertible Preferred Stock.</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May 21, 2026, there were 10,547,553 shares of the Common Stock issued and outstanding and no shares of Preferred Stock outstanding.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submitted to a vote of stockholders. The holders of Common Stock will generally vote together as a single class on all matters submitted to a vote of stockholders, unless otherwise required by Delaware law or the Second Amended and Restated Certificate of Incorporation, as amended.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as amended, and the Amended and Restated Bylaws, as amended (collectively, our “Organizational Documents”), established a classified board of directors (the “board”)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 The Second Amended and Restated Certificate of Incorporation does not provide for cumulative voting for the election of directors.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 dividends out of funds legally available if the board, in its discretion, determines to issue dividends and then only at the times and in the amounts that the board may determine.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to date and do not intend to pay cash dividends in the foreseeable future.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not entitled to preemptive rights and are not subject to conversion (except as noted above), redemption or sinking fund provisions.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Fully Paid and Non-Assessable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Delaware law, to issue Preferred Stock in one or more series, to establish from time to time the number of shares to be included in each series, and to fix the designation, vesting, powers, preferences, and rights of the shares of each series and any of its qualifications, limitations, or restrictions, in each case without further vote or action by the stockholders. Our board can also increase or decrease the number of shares of any series of Preferred Stock, but not below the number of shares of that series then outstanding, without any further vote or action by the stockholders.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Common Stock and the voting and other rights of the holders of Common Stock.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filed the Certificate of Designations, which designated 673,408 shares of our preferred stock as “Series A Convertible Preferred Stock”, none of which are issued and outstanding as of May 21, 2026.</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A Convertible Preferred Stock shall rank pari passu in priority of payment to all Parity Stock (defined below) and senior in priority of payment to all Junior Stock (defined below) in any liquidation, dissolution, winding up or distribution of the Company, and junior to any indebtedness of the Company.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and (ii) any other equity interest of the Company, in each case which by its terms ranks junior to the Series A Convertible Preferred Stock with respect to payment of dividends and/or distribution of assets.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“Parity Stock” means any equity interest of the Company hereinafter created which by its terms ranks pari passu with the Series A Convertible Preferred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Series A Convertible Preferred Stock shall participate in any dividends or distributions paid to the holders of Common Stock as if such Series A Convertible Preferred Stock had been converted into Common Stock as of the record date for such dividend or distribution.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holders of Series A Convertible Preferred Stock are not entitled to vote on any matters presented to the stockholders for their action or consideration, except as required by law or as otherwise provided in the Certificate of Designations.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Holders of Series A Convertible Preferred Stock may convert all of their respective shares of Series A Convertible Preferred Stock into shares of Common Stock at any time, subject to certain ownership limitations set forth in the Certificate of Designations.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A Convertible Preferred Stock will receive upon conversion of such holder’s shares of Series A Convertible Preferred Stock will be equal to the quotient of the stated value of the shares of Series A Convertible Preferred Stock to be converted, which is $20.80 per share divided by the Conversion Price, which is $37.13. No fractional shares of Common Stock shall be issued upon the exercise of any conversion right. Any fractional shares of Common Stock that a holder would otherwise be entitled to will be rounded up to the next whole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Holders of Series A Convertible Preferred Stock will have rights to certain adjustments for stock dividends, stock splits and other combinations or subdivisions of its outstanding shares of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Some provisions of Delaware law, the Second Amended and Restated Certificate of Incorporation, as amended, and the Amended and Restated Bylaws, as amended,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outweighs the disadvantages of discouraging these proposals because negotiation of these proposals could result in an improvement of their terms.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72"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the board does not approve in advance. We also anticipate that Section 203 may also discourage attempts that might result in a premium over the market price for the shares of common stock held by stockholders.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Documents Provisions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Provisions of our Organizational Documents could make it more difficult to acquire us by means of a tender offer, a proxy contest or otherwise, or to remove incumbent officers and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and our Amended and Restated Bylaws, as amended, provide for certain provisions that may have an anti-takeover effect:</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“blank check” preferred stock, which could be issued by our board of directors without stockholder approval and may contain voting, liquidation, dividend and other rights superior to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can be called only by our board of directors acting by a written resolution by a majority of our directors then in office, the Chairperson of our board of directors, our Chief Executive Officer, or our Lead Independent Director;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be removed only for cause and by a two-thirds (2/3) vote of the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vacancies on our board of directors may be filled only by a majority of directors then in office or by a sole remaining director (subject to limited exceptions), even though less than a quorum;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the approval of the board of directors or the holders of at least two-thirds of our outstanding shares of capital stock to amend our bylaws and certain provisions of our certificate of incorporation.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as amended, provide that we will indemnify our directors and officers, and may indemnify our employees and other agents, to the fullest extent permitted by Delaware law.</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Delaware law prohibits the Second Amended and Restated Certificate of Incorporation, as amended, from limiting the liability of our directors for the following:</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Second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as amended, we can purchase insurance on behalf of any person whom we are required or permitted to indemnify.</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Organizational Documents, we have entered into an indemnification agreement with each member of our board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us,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no indemnification will be provided for any claim where a court determines that the indemnified party is prohibited from receiving indemnification. We believe that these certificate of incorporation and bylaw provisions and indemnification agreements are necessary to attract and retain qualified persons as directors and officers.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Organizational Documents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Common Stock and Public Warrants are listed on the Nasdaq Capital Market under the symbols “MNTS” and “MNTSW,” respectively.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7"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4"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3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4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34"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2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2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1"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8"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17"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w:t>
      </w:r>
    </w:p>
    <w:p>
      <w:pPr>
        <w:spacing w:after="0" w:line="3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 to the extent applicable:</w:t>
      </w:r>
    </w:p>
    <w:p>
      <w:pPr>
        <w:spacing w:after="0" w:line="54"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consequences of holding or exercising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related free writing prospectus, summarizes the material terms and provisions of the units that we may offer under this prospectus. We may issue units consisting of any combination of the other types of securities offered under this prospectus in one or more series.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 The summary below and that contained in any prospectus supplement is qualified in its entirety by reference to all of the provisions of the unit agreement and/or unit certificate, and depositary arrangements, if applicable. We urge you to read the applicable prospectus supplements and any related free writing prospectuses related to the units that we may offer under this prospectus, as well as the complete unit agreement and/or unit certificate, and depositary arrangements, as applicable, that contain the terms of the units.</w:t>
      </w:r>
    </w:p>
    <w:p>
      <w:pPr>
        <w:spacing w:after="0" w:line="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unit agreement and/or unit certificate, and depositary arrangements, as applicable, that contain the terms of the particular series of units we are offering, and any supplemental agreements, before the issuance of such units.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8"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all securities represented by the same global securities will have the same terms.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54" w:lineRule="exact"/>
        <w:rPr>
          <w:sz w:val="20"/>
          <w:szCs w:val="20"/>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72"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54"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we will receive from the sale;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to purchase additional shares or other options under which underwriters, dealers, agents or other purchasers may purchase additional securities from us;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to be allowed or paid to the agent or underwriters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option to purchase additional shares or in the open market after the distribution is completed, to cover short positions.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Nasdaq may engage in passive market making transactions in our common stock on Nasdaq in accordance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Bradley Arant Boult Cummings LLP. Additional legal matters may be passed upon for us or any underwriters, dealers or agents, by counsel that we will name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2025 and 2024, incorporated by reference in this prospectus,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 w:cs="Times New Roman" w:eastAsia="Times New Roman" w:hAnsi="Times New Roman"/>
          <w:sz w:val="18"/>
          <w:szCs w:val="18"/>
          <w:i w:val="1"/>
          <w:iCs w:val="1"/>
          <w:color w:val="auto"/>
        </w:rPr>
        <w:t>www.momentus.space</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spacing w:after="0" w:line="1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Attn: John C. Rood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001-12584):</w:t>
      </w:r>
    </w:p>
    <w:p>
      <w:pPr>
        <w:spacing w:after="0" w:line="54" w:lineRule="exact"/>
        <w:rPr>
          <w:sz w:val="20"/>
          <w:szCs w:val="20"/>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54">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auto"/>
          </w:rPr>
          <w:t xml:space="preserve">our Quarterly Reports on Form 10-Q for the quarter ended March 31,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56">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Exhibit 4.19 to our Registration Statement on Form S-1, as filed with the SEC on </w:t>
      </w:r>
      <w:hyperlink r:id="rId57">
        <w:r>
          <w:rPr>
            <w:rFonts w:ascii="Times New Roman" w:cs="Times New Roman" w:eastAsia="Times New Roman" w:hAnsi="Times New Roman"/>
            <w:sz w:val="18"/>
            <w:szCs w:val="18"/>
            <w:u w:val="single" w:color="auto"/>
            <w:color w:val="0000EE"/>
          </w:rPr>
          <w:t>April 21, 2025</w:t>
        </w:r>
      </w:hyperlink>
      <w:r>
        <w:rPr>
          <w:rFonts w:ascii="Times New Roman" w:cs="Times New Roman" w:eastAsia="Times New Roman" w:hAnsi="Times New Roman"/>
          <w:sz w:val="18"/>
          <w:szCs w:val="18"/>
          <w:color w:val="auto"/>
        </w:rPr>
        <w:t>, and including any further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filed on Form 8-K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February 20, 2026</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April 13, 2026</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April 16, 2026</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April 20, 2026</w:t>
        </w:r>
      </w:hyperlink>
      <w:hyperlink r:id="rId5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May 5, 2026</w:t>
        </w:r>
      </w:hyperlink>
      <w:hyperlink r:id="rId58">
        <w:r>
          <w:rPr>
            <w:rFonts w:ascii="Times New Roman" w:cs="Times New Roman" w:eastAsia="Times New Roman" w:hAnsi="Times New Roman"/>
            <w:sz w:val="18"/>
            <w:szCs w:val="18"/>
            <w:color w:val="000000"/>
          </w:rPr>
          <w:t>.</w:t>
        </w:r>
      </w:hyperlink>
    </w:p>
    <w:p>
      <w:pPr>
        <w:spacing w:after="0" w:line="54" w:lineRule="exact"/>
        <w:rPr>
          <w:rFonts w:ascii="Times New Roman" w:cs="Times New Roman" w:eastAsia="Times New Roman" w:hAnsi="Times New Roman"/>
          <w:sz w:val="18"/>
          <w:szCs w:val="18"/>
          <w:color w:val="0000EE"/>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on or after the date of the filing of the registration statement of which this prospectus forms a part and prior to effectiveness of the registration statement, and on or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above.</w:t>
      </w:r>
    </w:p>
    <w:p>
      <w:pPr>
        <w:spacing w:after="0" w:line="1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350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035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1902460</wp:posOffset>
            </wp:positionV>
            <wp:extent cx="1474470" cy="1346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474470" cy="1346200"/>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22"/>
          <w:szCs w:val="22"/>
          <w:b w:val="1"/>
          <w:bCs w:val="1"/>
          <w:color w:val="auto"/>
        </w:rPr>
        <w:t>Up to $200,000,000</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 </w:t>
      </w:r>
    </w:p>
    <w:p>
      <w:pPr>
        <w:ind w:left="4660"/>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ind w:left="460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ind w:left="464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3980"/>
        <w:spacing w:after="0" w:line="230" w:lineRule="auto"/>
        <w:rPr>
          <w:sz w:val="20"/>
          <w:szCs w:val="20"/>
          <w:color w:val="auto"/>
        </w:rPr>
      </w:pPr>
      <w:r>
        <w:rPr>
          <w:rFonts w:ascii="Times New Roman" w:cs="Times New Roman" w:eastAsia="Times New Roman" w:hAnsi="Times New Roman"/>
          <w:sz w:val="22"/>
          <w:szCs w:val="22"/>
          <w:b w:val="1"/>
          <w:bCs w:val="1"/>
          <w:color w:val="auto"/>
        </w:rPr>
        <w:t>Preferred Stock</w:t>
      </w:r>
    </w:p>
    <w:p>
      <w:pPr>
        <w:ind w:left="464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4020"/>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ind w:left="464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4280"/>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ind w:left="464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450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7"/>
          <w:szCs w:val="27"/>
          <w:b w:val="1"/>
          <w:bCs w:val="1"/>
          <w:color w:val="auto"/>
        </w:rPr>
        <w:t>Prospectus</w:t>
      </w:r>
    </w:p>
    <w:p>
      <w:pPr>
        <w:sectPr>
          <w:pgSz w:w="11900" w:h="16838" w:orient="portrait"/>
          <w:cols w:equalWidth="0" w:num="1">
            <w:col w:w="9259"/>
          </w:cols>
          <w:pgMar w:left="120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035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60350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366395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type w:val="continuous"/>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sets forth the estimated costs and expenses, all of which shall be borne by Momentus Inc. (the “Registrant”), in connection with the offering of the securities pursuant to this registration statement.</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180" w:type="dxa"/>
            <w:vAlign w:val="bottom"/>
            <w:shd w:val="clear" w:color="auto" w:fill="CCEEFF"/>
          </w:tcPr>
          <w:p>
            <w:pPr>
              <w:spacing w:after="0"/>
              <w:rPr>
                <w:sz w:val="24"/>
                <w:szCs w:val="24"/>
                <w:color w:val="auto"/>
              </w:rPr>
            </w:pP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expenses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5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20" w:type="dxa"/>
            <w:vAlign w:val="bottom"/>
          </w:tcPr>
          <w:p>
            <w:pPr>
              <w:spacing w:after="0"/>
              <w:rPr>
                <w:sz w:val="21"/>
                <w:szCs w:val="21"/>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w w:val="91"/>
              </w:rPr>
              <w:t>(1)</w:t>
            </w:r>
          </w:p>
        </w:tc>
      </w:tr>
      <w:tr>
        <w:trPr>
          <w:trHeight w:val="27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1"/>
              </w:rPr>
              <w:t>(1)</w:t>
            </w: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corporation, or is or was serving at the request of the corporation as a director, officer, employee or agent of another corporation, partnership, joint venture, trust or other enterprise. The DGCL provides that Section 145 is not exclusive of other rights to which those seeking indemnification may be entitled under any bylaws, agreement, vote of stockholders or disinterested directors or otherwise. The registrant’s Second Amended and Restated Certificate of Incorporation, as amended, and Amended and Restated Bylaws, as amended, provide for indemnification by the registrant of its directors and officers to the fullest extent permitted by the DGCL.</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Second Amended and Restated Certificate of Incorporation, as amended, provides for such limitation of liability to the fullest extent permitted by the DGCL.</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has entered into, and expects to continue to enter into, indemnification agreements with each of its directors and executive officers. These agreements provide that the registrant will indemnify each of its directors and such officers to the fullest extent permitted by law.</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to its directors and officers against loss arising from claims made by reason of breach of duty or other wrongful act, while acting in their capacity as directors and officers of the registrant.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immediately precedes the Signature Page and which Exhibit Index is hereby incorporated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undertakings set forth in paragraphs (1)(i), (1)(ii) and (1)(iii) above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77" w:lineRule="exact"/>
        <w:rPr>
          <w:sz w:val="20"/>
          <w:szCs w:val="20"/>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1000" w:right="299" w:firstLine="3"/>
        <w:spacing w:after="0" w:line="260" w:lineRule="auto"/>
        <w:tabs>
          <w:tab w:leader="none" w:pos="12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in accordance with the rules and regulations prescribed by the SEC under Section 305(b)(2) of the Trust Indenture Act.</w:t>
      </w:r>
    </w:p>
    <w:p>
      <w:pPr>
        <w:spacing w:after="0" w:line="7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1"/>
        </w:trPr>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768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Sales Agreement, dated September 19, 2025, by and between Momentus Inc. and Alliance Global</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(incorporated by reference to Exhibit 1.1 to the Company’s Registration Statement on Form S-3</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 No. 333-290425) filed on September 22, 2025).</w:t>
            </w:r>
          </w:p>
        </w:tc>
        <w:tc>
          <w:tcPr>
            <w:tcW w:w="0" w:type="dxa"/>
            <w:vAlign w:val="bottom"/>
          </w:tcPr>
          <w:p>
            <w:pPr>
              <w:spacing w:after="0"/>
              <w:rPr>
                <w:sz w:val="1"/>
                <w:szCs w:val="1"/>
                <w:color w:val="auto"/>
              </w:rPr>
            </w:pPr>
          </w:p>
        </w:tc>
      </w:tr>
      <w:tr>
        <w:trPr>
          <w:trHeight w:val="23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93"/>
        </w:trPr>
        <w:tc>
          <w:tcPr>
            <w:tcW w:w="640" w:type="dxa"/>
            <w:vAlign w:val="bottom"/>
            <w:gridSpan w:val="3"/>
            <w:shd w:val="clear" w:color="auto" w:fill="CCEEFF"/>
          </w:tcPr>
          <w:p>
            <w:pPr>
              <w:spacing w:after="0" w:line="194"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6"/>
                <w:szCs w:val="16"/>
                <w:color w:val="auto"/>
              </w:rPr>
            </w:pPr>
          </w:p>
        </w:tc>
        <w:tc>
          <w:tcPr>
            <w:tcW w:w="7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Agreement and Plan of Merger, dated as of October 7, 2020, by and among Stable Road Acquisition</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 Project Marvel First Merger Sub, Inc., Project Marvel Second Merger Sub, LLC, and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Momentus Inc. (incorporated by reference to Exhibit 2.1 to the Company’s Current Report on Form 8-K</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October 7, 2020).</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No. 1 to Agreement and Plan of Merger, dated March 5, 2021, by and among Stable Road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Project Marvel First Merger Sub, Inc., Project Marvel Second Merger Sub, LLC, and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Momentus Inc. (incorporated by reference to Exhibit 2.2 to the Company’s Registration Statement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S-4 (Registration No. 333-249787) filed on March 8, 2021).</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Amendment No. 2 to Agreement and Plan of Merger, dated as of April 6,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2.1 to the Company’s Current Report on</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April 8, 2021).</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No. 3 to Agreement and Plan of Merger, dated as of June 29,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2.1 to the Company’s Current Report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June 29, 2021).</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Warrant Agreement, dated November 7, 2019, between Continental Stock Transfer &amp; Trust Company and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SRAC (incorporated by reference to the Company’s Current Report on Form 8-K filed on November 13,</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Specimen Warrant Certificate (incorporated by reference to Exhibit 4.3 to the Company’s Registration</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(Registration No. 333-233980) filed on October 10, 2019).</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Class A Warrant (incorporated by reference to Exhibit 4.2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September 16, 2024).</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Warrant (incorporated by reference to Exhibit 4.1 to the Company’s Current Report on Form 8-K</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filed on December 16, 2024).</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Common Warrant (incorporated by reference to Exhibit 4.1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December 18, 2024).</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4.3 to the Company’s Current</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December 18, 2024).</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Common Warrant (incorporated by reference to Exhibit 4.1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February 13, 2025).</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to Common Stock Purchase Warrants (incorporated by reference to Exhibit 4.3 to the</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February 13, 2025).</w:t>
            </w: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4.4 to the Company’s Current</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February 13, 2025).</w:t>
            </w:r>
          </w:p>
        </w:tc>
        <w:tc>
          <w:tcPr>
            <w:tcW w:w="0" w:type="dxa"/>
            <w:vAlign w:val="bottom"/>
          </w:tcPr>
          <w:p>
            <w:pPr>
              <w:spacing w:after="0"/>
              <w:rPr>
                <w:sz w:val="1"/>
                <w:szCs w:val="1"/>
                <w:color w:val="auto"/>
              </w:rPr>
            </w:pPr>
          </w:p>
        </w:tc>
      </w:tr>
      <w:tr>
        <w:trPr>
          <w:trHeight w:val="189"/>
        </w:trPr>
        <w:tc>
          <w:tcPr>
            <w:tcW w:w="640" w:type="dxa"/>
            <w:vAlign w:val="bottom"/>
            <w:gridSpan w:val="3"/>
          </w:tcPr>
          <w:p>
            <w:pPr>
              <w:spacing w:after="0" w:line="189"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March 21, 2025).</w:t>
            </w:r>
          </w:p>
        </w:tc>
        <w:tc>
          <w:tcPr>
            <w:tcW w:w="0" w:type="dxa"/>
            <w:vAlign w:val="bottom"/>
          </w:tcPr>
          <w:p>
            <w:pPr>
              <w:spacing w:after="0"/>
              <w:rPr>
                <w:sz w:val="1"/>
                <w:szCs w:val="1"/>
                <w:color w:val="auto"/>
              </w:rPr>
            </w:pPr>
          </w:p>
        </w:tc>
      </w:tr>
      <w:tr>
        <w:trPr>
          <w:trHeight w:val="196"/>
        </w:trPr>
        <w:tc>
          <w:tcPr>
            <w:tcW w:w="300" w:type="dxa"/>
            <w:vAlign w:val="bottom"/>
            <w:tcBorders>
              <w:bottom w:val="single" w:sz="8" w:color="0000EE"/>
            </w:tcBorders>
            <w:gridSpan w:val="2"/>
            <w:shd w:val="clear" w:color="auto" w:fill="CCEEFF"/>
          </w:tcPr>
          <w:p>
            <w:pPr>
              <w:spacing w:after="0" w:line="195" w:lineRule="exact"/>
              <w:rPr>
                <w:rFonts w:ascii="Times New Roman" w:cs="Times New Roman" w:eastAsia="Times New Roman" w:hAnsi="Times New Roman"/>
                <w:sz w:val="18"/>
                <w:szCs w:val="18"/>
                <w:color w:val="0000EE"/>
                <w:w w:val="88"/>
              </w:rPr>
            </w:pPr>
            <w:hyperlink r:id="rId5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4.19 to the Company’s Registration</w:t>
            </w:r>
          </w:p>
        </w:tc>
        <w:tc>
          <w:tcPr>
            <w:tcW w:w="0" w:type="dxa"/>
            <w:vAlign w:val="bottom"/>
          </w:tcPr>
          <w:p>
            <w:pPr>
              <w:spacing w:after="0"/>
              <w:rPr>
                <w:sz w:val="1"/>
                <w:szCs w:val="1"/>
                <w:color w:val="auto"/>
              </w:rPr>
            </w:pPr>
          </w:p>
        </w:tc>
      </w:tr>
      <w:tr>
        <w:trPr>
          <w:trHeight w:val="250"/>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filed on April 21, 2025).</w:t>
            </w:r>
          </w:p>
        </w:tc>
        <w:tc>
          <w:tcPr>
            <w:tcW w:w="0" w:type="dxa"/>
            <w:vAlign w:val="bottom"/>
          </w:tcPr>
          <w:p>
            <w:pPr>
              <w:spacing w:after="0"/>
              <w:rPr>
                <w:sz w:val="1"/>
                <w:szCs w:val="1"/>
                <w:color w:val="auto"/>
              </w:rPr>
            </w:pPr>
          </w:p>
        </w:tc>
      </w:tr>
      <w:tr>
        <w:trPr>
          <w:trHeight w:val="189"/>
        </w:trPr>
        <w:tc>
          <w:tcPr>
            <w:tcW w:w="640" w:type="dxa"/>
            <w:vAlign w:val="bottom"/>
            <w:gridSpan w:val="3"/>
          </w:tcPr>
          <w:p>
            <w:pPr>
              <w:spacing w:after="0" w:line="189"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Common Stock Purchase Warrant (incorporated by reference to Exhibit 4.12 to the Company’s</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333-287712) filed on May 30, 2025).</w:t>
            </w:r>
          </w:p>
        </w:tc>
        <w:tc>
          <w:tcPr>
            <w:tcW w:w="0" w:type="dxa"/>
            <w:vAlign w:val="bottom"/>
          </w:tcPr>
          <w:p>
            <w:pPr>
              <w:spacing w:after="0"/>
              <w:rPr>
                <w:sz w:val="1"/>
                <w:szCs w:val="1"/>
                <w:color w:val="auto"/>
              </w:rPr>
            </w:pPr>
          </w:p>
        </w:tc>
      </w:tr>
      <w:tr>
        <w:trPr>
          <w:trHeight w:val="196"/>
        </w:trPr>
        <w:tc>
          <w:tcPr>
            <w:tcW w:w="640" w:type="dxa"/>
            <w:vAlign w:val="bottom"/>
            <w:gridSpan w:val="3"/>
            <w:shd w:val="clear" w:color="auto" w:fill="CCEEFF"/>
          </w:tcPr>
          <w:p>
            <w:pPr>
              <w:spacing w:after="0" w:line="195"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Common Stock Purchase Warrant (incorporated by reference to Exhibit 4.1 to the Company’s</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 filed on July 2, 2025).</w:t>
            </w:r>
          </w:p>
        </w:tc>
        <w:tc>
          <w:tcPr>
            <w:tcW w:w="0" w:type="dxa"/>
            <w:vAlign w:val="bottom"/>
          </w:tcPr>
          <w:p>
            <w:pPr>
              <w:spacing w:after="0"/>
              <w:rPr>
                <w:sz w:val="1"/>
                <w:szCs w:val="1"/>
                <w:color w:val="auto"/>
              </w:rPr>
            </w:pPr>
          </w:p>
        </w:tc>
      </w:tr>
      <w:tr>
        <w:trPr>
          <w:trHeight w:val="189"/>
        </w:trPr>
        <w:tc>
          <w:tcPr>
            <w:tcW w:w="640" w:type="dxa"/>
            <w:vAlign w:val="bottom"/>
            <w:gridSpan w:val="3"/>
          </w:tcPr>
          <w:p>
            <w:pPr>
              <w:spacing w:after="0" w:line="18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0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Amendment to Common Stock Purchase Warrants (incorporated by reference to Exhibit 4.3 to the</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July 2, 2025).</w:t>
            </w:r>
          </w:p>
        </w:tc>
        <w:tc>
          <w:tcPr>
            <w:tcW w:w="0" w:type="dxa"/>
            <w:vAlign w:val="bottom"/>
          </w:tcPr>
          <w:p>
            <w:pPr>
              <w:spacing w:after="0"/>
              <w:rPr>
                <w:sz w:val="1"/>
                <w:szCs w:val="1"/>
                <w:color w:val="auto"/>
              </w:rPr>
            </w:pPr>
          </w:p>
        </w:tc>
      </w:tr>
      <w:tr>
        <w:trPr>
          <w:trHeight w:val="196"/>
        </w:trPr>
        <w:tc>
          <w:tcPr>
            <w:tcW w:w="640" w:type="dxa"/>
            <w:vAlign w:val="bottom"/>
            <w:gridSpan w:val="3"/>
            <w:shd w:val="clear" w:color="auto" w:fill="CCEEFF"/>
          </w:tcPr>
          <w:p>
            <w:pPr>
              <w:spacing w:after="0" w:line="195"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8-K filed on August 14, 2025).</w:t>
            </w:r>
          </w:p>
        </w:tc>
        <w:tc>
          <w:tcPr>
            <w:tcW w:w="0" w:type="dxa"/>
            <w:vAlign w:val="bottom"/>
          </w:tcPr>
          <w:p>
            <w:pPr>
              <w:spacing w:after="0"/>
              <w:rPr>
                <w:sz w:val="1"/>
                <w:szCs w:val="1"/>
                <w:color w:val="auto"/>
              </w:rPr>
            </w:pPr>
          </w:p>
        </w:tc>
      </w:tr>
      <w:tr>
        <w:trPr>
          <w:trHeight w:val="54"/>
        </w:trPr>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tbl>
      <w:tblPr>
        <w:tblLayout w:type="fixed"/>
        <w:tblInd w:w="30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26" w:lineRule="exact"/>
        <w:rPr>
          <w:sz w:val="20"/>
          <w:szCs w:val="20"/>
          <w:color w:val="auto"/>
        </w:rPr>
      </w:pPr>
    </w:p>
    <w:p>
      <w:pPr>
        <w:ind w:left="1040" w:right="299" w:hanging="755"/>
        <w:spacing w:after="0" w:line="266" w:lineRule="auto"/>
        <w:tabs>
          <w:tab w:leader="none" w:pos="1020" w:val="left"/>
        </w:tabs>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u w:val="single" w:color="auto"/>
            <w:color w:val="0000EE"/>
          </w:rPr>
          <w:t>4.16</w:t>
        </w:r>
      </w:hyperlink>
      <w:r>
        <w:rPr>
          <w:rFonts w:ascii="Times New Roman" w:cs="Times New Roman" w:eastAsia="Times New Roman" w:hAnsi="Times New Roman"/>
          <w:sz w:val="18"/>
          <w:szCs w:val="18"/>
          <w:color w:val="0000EE"/>
        </w:rPr>
        <w:tab/>
        <w:t>Form of Class A Common Stock Purchase Warrant (incorporated by reference to Exhibit C to Exhibit 10.1 to the Company’s Current Report on Form 8-K filed on September 11, 2025).</w:t>
      </w:r>
    </w:p>
    <w:p>
      <w:pPr>
        <w:ind w:left="1040" w:right="699" w:hanging="755"/>
        <w:spacing w:after="0" w:line="260" w:lineRule="auto"/>
        <w:tabs>
          <w:tab w:leader="none" w:pos="1020" w:val="left"/>
        </w:tabs>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u w:val="single" w:color="auto"/>
            <w:color w:val="0000EE"/>
          </w:rPr>
          <w:t>4.17</w:t>
        </w:r>
      </w:hyperlink>
      <w:r>
        <w:rPr>
          <w:rFonts w:ascii="Times New Roman" w:cs="Times New Roman" w:eastAsia="Times New Roman" w:hAnsi="Times New Roman"/>
          <w:sz w:val="18"/>
          <w:szCs w:val="18"/>
          <w:color w:val="0000EE"/>
        </w:rPr>
        <w:tab/>
        <w:t>Junior Secured Convertible Note Due September 25, 2026, dated September 25, 2025, between Momentus Inc. and Yield Point NY, LLC (incorporated by reference to Exhibit 4.1 to the Company’s Current Report on Form 8-K filed on September 29, 2025).</w:t>
      </w:r>
    </w:p>
    <w:p>
      <w:pPr>
        <w:spacing w:after="0" w:line="2" w:lineRule="exact"/>
        <w:rPr>
          <w:sz w:val="20"/>
          <w:szCs w:val="20"/>
          <w:color w:val="auto"/>
        </w:rPr>
      </w:pPr>
    </w:p>
    <w:p>
      <w:pPr>
        <w:jc w:val="both"/>
        <w:ind w:left="1040" w:right="519" w:hanging="755"/>
        <w:spacing w:after="0" w:line="260" w:lineRule="auto"/>
        <w:tabs>
          <w:tab w:leader="none" w:pos="1020" w:val="left"/>
        </w:tabs>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u w:val="single" w:color="auto"/>
            <w:color w:val="0000EE"/>
          </w:rPr>
          <w:t>4.18</w:t>
        </w:r>
      </w:hyperlink>
      <w:r>
        <w:rPr>
          <w:rFonts w:ascii="Times New Roman" w:cs="Times New Roman" w:eastAsia="Times New Roman" w:hAnsi="Times New Roman"/>
          <w:sz w:val="18"/>
          <w:szCs w:val="18"/>
          <w:color w:val="0000EE"/>
        </w:rPr>
        <w:tab/>
        <w:t>Common Stock Purchase Warrant, dated September 25, 2025, between Momentus Inc. and Yield Point NY, LLC (incorporated by reference to Exhibit 4.2 to the Company’s Current Report on Form 8-K filed on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040" w:right="359" w:hanging="755"/>
        <w:spacing w:after="0" w:line="281" w:lineRule="auto"/>
        <w:tabs>
          <w:tab w:leader="none" w:pos="1020" w:val="left"/>
        </w:tabs>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u w:val="single" w:color="auto"/>
            <w:color w:val="0000EE"/>
          </w:rPr>
          <w:t>4.19</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AIR Warrant, dated September 25, 2025, between Momentus Inc. and Yield Point NY, LLC (incorporated by reference to Exhibit 4.3 to the Company’s Current Report on Form 8-K filed on September 29, 2025).</w:t>
      </w:r>
    </w:p>
    <w:p>
      <w:pPr>
        <w:spacing w:after="0" w:line="1" w:lineRule="exact"/>
        <w:rPr>
          <w:sz w:val="20"/>
          <w:szCs w:val="20"/>
          <w:color w:val="auto"/>
        </w:rPr>
      </w:pPr>
    </w:p>
    <w:p>
      <w:pPr>
        <w:ind w:left="1040" w:right="559" w:hanging="755"/>
        <w:spacing w:after="0" w:line="260" w:lineRule="auto"/>
        <w:tabs>
          <w:tab w:leader="none" w:pos="1020" w:val="left"/>
        </w:tabs>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u w:val="single" w:color="auto"/>
            <w:color w:val="0000EE"/>
          </w:rPr>
          <w:t>4.20</w:t>
        </w:r>
      </w:hyperlink>
      <w:r>
        <w:rPr>
          <w:rFonts w:ascii="Times New Roman" w:cs="Times New Roman" w:eastAsia="Times New Roman" w:hAnsi="Times New Roman"/>
          <w:sz w:val="18"/>
          <w:szCs w:val="18"/>
          <w:color w:val="0000EE"/>
        </w:rPr>
        <w:tab/>
        <w:t>Pre-Funded Common Stock Purchase Warrant, dated September 25, 2025, between Momentus Inc. and Yield Point NY, LLC (incorporated by reference to Exhibit 4.4 to the Company’s Current Report on Form 8-K filed on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jc w:val="both"/>
        <w:ind w:left="1040" w:right="539" w:hanging="755"/>
        <w:spacing w:after="0" w:line="260" w:lineRule="auto"/>
        <w:tabs>
          <w:tab w:leader="none" w:pos="1020" w:val="left"/>
        </w:tabs>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u w:val="single" w:color="auto"/>
            <w:color w:val="0000EE"/>
          </w:rPr>
          <w:t>4.21</w:t>
        </w:r>
      </w:hyperlink>
      <w:r>
        <w:rPr>
          <w:rFonts w:ascii="Times New Roman" w:cs="Times New Roman" w:eastAsia="Times New Roman" w:hAnsi="Times New Roman"/>
          <w:sz w:val="18"/>
          <w:szCs w:val="18"/>
          <w:color w:val="0000EE"/>
        </w:rPr>
        <w:tab/>
        <w:t>Pre-Funded Common Stock Purchase Warrant, dated September 30, 2025, between Momentus Inc. and Baker &amp; McKenzie LLP (incorporated by reference to Exhibit 4.1 to the Company’s Current Report on Form 8-K filed on October 6, 2025).</w:t>
      </w:r>
    </w:p>
    <w:p>
      <w:pPr>
        <w:spacing w:after="0" w:line="2" w:lineRule="exact"/>
        <w:rPr>
          <w:sz w:val="20"/>
          <w:szCs w:val="20"/>
          <w:color w:val="auto"/>
        </w:rPr>
      </w:pPr>
    </w:p>
    <w:p>
      <w:pPr>
        <w:ind w:left="1040" w:right="439" w:hanging="755"/>
        <w:spacing w:after="0" w:line="266" w:lineRule="auto"/>
        <w:tabs>
          <w:tab w:leader="none" w:pos="1020" w:val="left"/>
        </w:tabs>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u w:val="single" w:color="auto"/>
            <w:color w:val="0000EE"/>
          </w:rPr>
          <w:t>4.22</w:t>
        </w:r>
      </w:hyperlink>
      <w:r>
        <w:rPr>
          <w:rFonts w:ascii="Times New Roman" w:cs="Times New Roman" w:eastAsia="Times New Roman" w:hAnsi="Times New Roman"/>
          <w:sz w:val="18"/>
          <w:szCs w:val="18"/>
          <w:color w:val="0000EE"/>
        </w:rPr>
        <w:tab/>
        <w:t>Form of Inducement Warrant (incorporated by reference to Exhibit 4.1 to the Company’s Current Report on Form 8-K filed on October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439" w:hanging="755"/>
        <w:spacing w:after="0" w:line="266" w:lineRule="auto"/>
        <w:tabs>
          <w:tab w:leader="none" w:pos="1020" w:val="left"/>
        </w:tabs>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u w:val="single" w:color="auto"/>
            <w:color w:val="0000EE"/>
          </w:rPr>
          <w:t>4.23</w:t>
        </w:r>
      </w:hyperlink>
      <w:r>
        <w:rPr>
          <w:rFonts w:ascii="Times New Roman" w:cs="Times New Roman" w:eastAsia="Times New Roman" w:hAnsi="Times New Roman"/>
          <w:sz w:val="18"/>
          <w:szCs w:val="18"/>
          <w:color w:val="0000EE"/>
        </w:rPr>
        <w:tab/>
        <w:t>Form of Inducement Warrant (incorporated by reference to Exhibit 4.1 to the Company’s Current Report on Form 8-K filed on December 12, 2025).</w:t>
      </w:r>
    </w:p>
    <w:p>
      <w:pPr>
        <w:ind w:left="1040" w:right="459" w:hanging="755"/>
        <w:spacing w:after="0" w:line="266" w:lineRule="auto"/>
        <w:tabs>
          <w:tab w:leader="none" w:pos="1020" w:val="left"/>
        </w:tabs>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u w:val="single" w:color="auto"/>
            <w:color w:val="0000EE"/>
          </w:rPr>
          <w:t>4.24</w:t>
        </w:r>
      </w:hyperlink>
      <w:r>
        <w:rPr>
          <w:rFonts w:ascii="Times New Roman" w:cs="Times New Roman" w:eastAsia="Times New Roman" w:hAnsi="Times New Roman"/>
          <w:sz w:val="18"/>
          <w:szCs w:val="18"/>
          <w:color w:val="0000EE"/>
        </w:rPr>
        <w:tab/>
        <w:t>Form of Pre-Funded Warrant (incorporated by reference to Exhibit 4.1 to the Company’s Current Report on Form 8-K filed on 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399" w:hanging="755"/>
        <w:spacing w:after="0" w:line="266" w:lineRule="auto"/>
        <w:tabs>
          <w:tab w:leader="none" w:pos="1020" w:val="left"/>
        </w:tabs>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u w:val="single" w:color="auto"/>
            <w:color w:val="0000EE"/>
          </w:rPr>
          <w:t>4.25</w:t>
        </w:r>
      </w:hyperlink>
      <w:r>
        <w:rPr>
          <w:rFonts w:ascii="Times New Roman" w:cs="Times New Roman" w:eastAsia="Times New Roman" w:hAnsi="Times New Roman"/>
          <w:sz w:val="18"/>
          <w:szCs w:val="18"/>
          <w:color w:val="0000EE"/>
        </w:rPr>
        <w:tab/>
        <w:t>Form of Common Warrant (incorporated by reference to Exhibit 4.2 to the Company’s Current Report on Form 8-K filed on January 9, 2026).</w:t>
      </w:r>
    </w:p>
    <w:p>
      <w:pPr>
        <w:ind w:left="1040" w:right="459" w:hanging="755"/>
        <w:spacing w:after="0" w:line="266" w:lineRule="auto"/>
        <w:tabs>
          <w:tab w:leader="none" w:pos="1020" w:val="left"/>
        </w:tabs>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u w:val="single" w:color="auto"/>
            <w:color w:val="0000EE"/>
          </w:rPr>
          <w:t>4.26</w:t>
        </w:r>
      </w:hyperlink>
      <w:r>
        <w:rPr>
          <w:rFonts w:ascii="Times New Roman" w:cs="Times New Roman" w:eastAsia="Times New Roman" w:hAnsi="Times New Roman"/>
          <w:sz w:val="18"/>
          <w:szCs w:val="18"/>
          <w:color w:val="0000EE"/>
        </w:rPr>
        <w:tab/>
        <w:t>Form of Pre-Funded Warrant (incorporated by reference to Exhibit 4.1 to the Company’s Current Report on Form 8-K filed on 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599" w:hanging="755"/>
        <w:spacing w:after="0" w:line="266" w:lineRule="auto"/>
        <w:tabs>
          <w:tab w:leader="none" w:pos="1020" w:val="left"/>
        </w:tabs>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u w:val="single" w:color="auto"/>
            <w:color w:val="0000EE"/>
          </w:rPr>
          <w:t>4.27</w:t>
        </w:r>
      </w:hyperlink>
      <w:r>
        <w:rPr>
          <w:rFonts w:ascii="Times New Roman" w:cs="Times New Roman" w:eastAsia="Times New Roman" w:hAnsi="Times New Roman"/>
          <w:sz w:val="18"/>
          <w:szCs w:val="18"/>
          <w:color w:val="0000EE"/>
        </w:rPr>
        <w:tab/>
        <w:t>Form of Placement Agent Warrant (incorporated by reference to Exhibit 4.2 to the Company’s Current Report on Form 8-K filed on April 16, 2026).</w:t>
      </w:r>
    </w:p>
    <w:p>
      <w:pPr>
        <w:ind w:left="1040" w:right="819" w:hanging="755"/>
        <w:spacing w:after="0" w:line="266" w:lineRule="auto"/>
        <w:tabs>
          <w:tab w:leader="none" w:pos="1020" w:val="left"/>
        </w:tabs>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u w:val="single" w:color="auto"/>
            <w:color w:val="0000EE"/>
          </w:rPr>
          <w:t>4.28</w:t>
        </w:r>
      </w:hyperlink>
      <w:r>
        <w:rPr>
          <w:rFonts w:ascii="Times New Roman" w:cs="Times New Roman" w:eastAsia="Times New Roman" w:hAnsi="Times New Roman"/>
          <w:sz w:val="18"/>
          <w:szCs w:val="18"/>
          <w:color w:val="0000EE"/>
        </w:rPr>
        <w:tab/>
        <w:t>Form of Senior Indenture (incorporated by reference to Exhibit 4.17 to the Company’s Registration Statement on Form S-3 (File No. 333-290425) filed on September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339" w:hanging="755"/>
        <w:spacing w:after="0" w:line="266" w:lineRule="auto"/>
        <w:tabs>
          <w:tab w:leader="none" w:pos="1020" w:val="left"/>
        </w:tabs>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u w:val="single" w:color="auto"/>
            <w:color w:val="0000EE"/>
          </w:rPr>
          <w:t>4.29</w:t>
        </w:r>
      </w:hyperlink>
      <w:r>
        <w:rPr>
          <w:rFonts w:ascii="Times New Roman" w:cs="Times New Roman" w:eastAsia="Times New Roman" w:hAnsi="Times New Roman"/>
          <w:sz w:val="18"/>
          <w:szCs w:val="18"/>
          <w:color w:val="0000EE"/>
        </w:rPr>
        <w:tab/>
        <w:t>Form of Subordinated Indenture (incorporated by reference to Exhibit 4.18 to the Company’s Registration Statement on Form S-3 (File No. 333-290425) filed on September 22, 2025).</w:t>
      </w: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4.30**</w:t>
        <w:tab/>
        <w:t>Form of Preferred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4.31**</w:t>
        <w:tab/>
        <w:t>Form of Senior Note</w:t>
      </w:r>
    </w:p>
    <w:p>
      <w:pPr>
        <w:spacing w:after="0" w:line="3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4.32**</w:t>
        <w:tab/>
        <w:t>Form of Subordinated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7"/>
          <w:szCs w:val="17"/>
          <w:color w:val="auto"/>
        </w:rPr>
        <w:t>Form of Warrant Agreement and Warrant Certificate</w:t>
      </w:r>
    </w:p>
    <w:p>
      <w:pPr>
        <w:spacing w:after="0" w:line="3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Frank, Rimerman + Co. LLP, independent registered public accounting firm.</w:t>
      </w:r>
    </w:p>
    <w:p>
      <w:pPr>
        <w:spacing w:after="0" w:line="3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color w:val="auto"/>
        </w:rPr>
        <w:t>Consent of Bradley Arant Boult Cummings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1040" w:right="419" w:hanging="755"/>
        <w:spacing w:after="0" w:line="266"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Power of Attorney (included on the signature page to the prospectus which forms part of this registration statement).</w:t>
      </w: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Form T-1 Statement on Eligibility of Trustee for Senior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color w:val="auto"/>
        </w:rPr>
        <w:t>Form T-1 Statement on Eligibility of Trustee for Subordinate Indenture under the Trust Indenture Act of</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1939.</w:t>
      </w:r>
    </w:p>
    <w:p>
      <w:pPr>
        <w:spacing w:after="0" w:line="1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5349240" cy="18034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40" w:right="29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640"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report on Form 8-K pursuant to Item 601 of Regulation S-K and incorporated herein by reference.</w:t>
      </w:r>
    </w:p>
    <w:p>
      <w:pPr>
        <w:spacing w:after="0" w:line="42"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incorporated herein by reference from a subsequent filing in accordance with Section 305(b)(2) of the Trust Indenture Act of 1939.</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on May 22, 2026.</w:t>
      </w:r>
    </w:p>
    <w:p>
      <w:pPr>
        <w:spacing w:after="0" w:line="19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u w:val="single" w:color="auto"/>
          <w:color w:val="auto"/>
        </w:rPr>
        <w:t>MOMENTUS INC.</w:t>
      </w:r>
    </w:p>
    <w:p>
      <w:pPr>
        <w:spacing w:after="0" w:line="256" w:lineRule="exact"/>
        <w:rPr>
          <w:sz w:val="20"/>
          <w:szCs w:val="20"/>
          <w:color w:val="auto"/>
        </w:rPr>
      </w:pPr>
    </w:p>
    <w:tbl>
      <w:tblPr>
        <w:tblLayout w:type="fixed"/>
        <w:tblInd w:w="424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 Ensler</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John C. Rood and Lon Ensler, and each and either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4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John C. Rood</w:t>
            </w:r>
          </w:p>
        </w:tc>
        <w:tc>
          <w:tcPr>
            <w:tcW w:w="2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19"/>
                <w:szCs w:val="19"/>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47"/>
        </w:trPr>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C. Rood</w:t>
            </w:r>
          </w:p>
        </w:tc>
        <w:tc>
          <w:tcPr>
            <w:tcW w:w="2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Lon Ensler</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47"/>
        </w:trPr>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Lon Ensler</w:t>
            </w:r>
          </w:p>
        </w:tc>
        <w:tc>
          <w:tcPr>
            <w:tcW w:w="2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Brian Kabot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Brian Kabot</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Chris Hadfield</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Chris Hadfield</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Victorino Mercado</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Victorino Mercado</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Kimberly A. Reed</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Kimberly A. Reed</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Linda J. Reiners</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Linda J. Reiners</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Mitchel B. Kugler</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9"/>
              </w:rPr>
              <w:t>May 22, 2026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Mitchel B. Kugler</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9019"/>
          </w:cols>
          <w:pgMar w:left="1440" w:top="26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34160" cy="514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15341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have acted as counsel to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on this date by the Company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offer and sale from time to time by the Company of up to $200,000,000 aggregate offering amount of (i) shares of the Company’s Class A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the Company’s preferred stock, par value $0.00001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one or more series of debt securities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issuable pursuant to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be entered into between the Company and a financial institution to be identified therein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(iv) warrants to purchase Common Stock, Preferred Stock and/or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and/or (v) units consisting of any combination of such foregoing securities described in clauses (i) through (iv) above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Common Stock, the Preferred Stock, the Debt Securities, the Warrants and the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which will be in a form to be filed as an exhibit to a post-effective amendment to the Registration Statement or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incorporated in such Registration Statement by reference. The Securities may be issued and sold or delivered from time to time as set forth in the Registration Statement, any amendment thereto, the prospectus contained therein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supplements to the Prospectus (each, a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This opinion is being furnished in accordance with the requirements of Item 16 of Form S-3 and Item 601(b)(5)(i)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promulgated by the SEC.</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examined the Registration Statement and the Second Amended and Restated Certificate of Incorporation, as amended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and the Amended and Restated Bylaws, as amended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each of which has been filed with the SEC. We have also examined and relied upon the originals, or copies certified or otherwise identified to our satisfaction, of such records, documents, certificates and other instruments as in our judgment are necessary or appropriate to enable us to render the opinion expressed below. In such examination, we have assumed, and express no opinion as to, the authenticity of original documents and the genuineness of all signatures, the conformity to the originals of all documents submitted to us as copies, the truth, accuracy and completeness of the information, representations and warranties contained in the instruments, documents, certificates and records we have reviewed, the legal capacity of all natural persons or entities (except for the Company),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May 21, 2026, and as to any facts material to the opinions expressed herein that were not independently established or verified, we have relied upon oral or written statements and representations of officers and other representatives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Bradley Arant Boult Cummings LLP | 1221 Broadway | Suite 2400 | Nashville, TN 37203 | 615.244.2582 | bradley.com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We also have assumed that any certificates or instruments representing the Securities will be, when issued, properly signed by authorized officers of the Company, and, in the case of Debt Securities, properly authenticated in accordance with the terms of the applicable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 the Warrant Agreement (as defined below) at the time of issuance and delivery of the Warrants will be a valid and legally binding obligation of the Company’s warrant agent and the Unit Agreement (as defined below) at the time of issuance and delivery of the Units will be a valid and legally binding obligation of the Company’s unit agent.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render this opinion with respect to the laws of the State of New York and the Delaware General Corporation Law, and we do not express any opinion with respect to the law of any other jurisdiction or to the securities or “blue sky” laws of any state or any local or regional laws. To the extent that any Warrant Agreement or Unit Agreement (each as defined below) is governed by the laws of any jurisdiction other than the State of New York, our opinion expressed below assumes that the laws of the State of New York will exclusively apply to and govern such Warrant Agreement or Unit Agreement, without regard to any interpretation or construction that might be indicated by the laws stated as governing any such Warrant Agreement or Unit Agreement.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at or prior to the time of the delivery of any Securities: (i) that the Registration Statement, and any amendments thereto (including post-effective amendments), will have become effective under the Securities Act and that no stop order shall have been issued with respect thereto; (ii) that a Prospectus Supplement will have been filed with the SEC describing the Securities offered thereby;</w:t>
      </w:r>
    </w:p>
    <w:p>
      <w:pPr>
        <w:spacing w:after="0" w:line="1" w:lineRule="exact"/>
        <w:rPr>
          <w:sz w:val="20"/>
          <w:szCs w:val="20"/>
          <w:color w:val="auto"/>
        </w:rPr>
      </w:pPr>
    </w:p>
    <w:p>
      <w:pPr>
        <w:jc w:val="both"/>
        <w:ind w:firstLine="8"/>
        <w:spacing w:after="0" w:line="251" w:lineRule="auto"/>
        <w:tabs>
          <w:tab w:leader="none" w:pos="3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Securities will be issued and sold in compliance with applicable U.S. federal and state securities laws and in the manner stated in the Registration Statement and the applicable Prospectus Supplement; (iv) that a definitive purchase, underwriting or similar agreement with respect to any Securities offered will have been duly authorized and validly executed and delivered by the Company and the other parties thereto; (v) that any Securities issuable upon conversion, exchange, redemption or exercise of any Securities being offered will be duly authorized, created and, if appropriate, reserved for issuance upon such conversion, exchange, redemption or exercise; (vi) that the applicable Indenture will be the legal, valid and binding obligation of each party thereto, other than the Company, enforceable against each such party in accordance with its terms, and will be duly qualified under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and that the applicable Trustee will be duly eligible to serve as trustee; (vii) with respect to shares of Common Stock or Preferred Stock offered or purchasable upon exercise or conversion of any Securities, that there will be sufficient shares of Common Stock or Preferred Stock authorized under the Company’s Certificate of Incorporation that are not otherwise reserved for issuance; and (viii) that no future amendments will be made to the Certificate of Incorporation or Bylaws that would be in conflict with or inconsistent with the Company’s right and ability to issue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Our opinion is qualified by and is subject to, and we render no opinion with respect to, the following limitations and exceptions to the enforceability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the Warrants and the Units:</w:t>
      </w:r>
    </w:p>
    <w:p>
      <w:pPr>
        <w:spacing w:after="0" w:line="207"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of bankruptcy, insolvency, reorganization, arrangement, fraudulent conveyance, moratorium or other laws relating to or affecting the rights of creditors generally, including the effect of statutory or other laws regarding fraudulent transfers or preferential transfers;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Debt Securities, the effect of laws relating to usury or permissible rates of interest for loans, forbearances or the use of money.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informed us that the Company intends to issue the Securities from time to time on a delayed or continuous basis. We undertake no responsibility to monitor the Company’s future compliance with applicable laws, rules or regulations of the SEC or other governmental body. In particular, we assume that the Company will obtain the requisite approval of the Board and the requisite approval of its stockholders, if required by the laws of the State of Delaware and the Certificate of Incorporation and the Bylaws,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Certificate of Incorporation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the Common Stock registered pursuant to the Registration Statement, when: (a) the issuance and the terms of the offering of the shares of Common Stock and related matters have been duly authorized by all required corporate action of the Board of Directors of the Company or a duly constituted and acting committee thereof (such Board of Directors or committee being hereinafter referred to as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if required, the stockholders of the Company in accordance with the Certificate of Incorporation and the Bylaws and applicable laws; and (b) if required,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registered pursuant to the Registration Statement, when: (a)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the filing of the Certificate with the Secretary of State of the State of Delaware, have been duly authorized by all required corporate action of the Board and, if required, the stockholders of the Company in accordance with the Certificate of Incorporation and the Bylaws and applicable laws; and (b) if required,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registered pursuant to the Registration Statement, when: (a)(i) the terms of the Debt Securities have been duly established and authorized by the Company, (ii) the Indenture has been duly executed and delivered by the Company, (iii) the issuance and sale of the Debt Securities, the terms of the offering thereof and related matters have been duly authorized by all required corporate action of the Board and, if required, the stockholders of the Company in accordance with the Certificate of Incorporation and the Bylaws and applicable laws, and (iv) the Debt Securities have been duly executed by the Company and duly authenticated by the Trustee in accordance with the terms of the Indenture, and delivered to the purchasers thereof against payment of the consideration therefor duly approved by the Company, the Debt Securities will be valid and binding obligations of the Company, and (b) when the Debt Securities to be offered and issued by the Company upon exercise of the Warrants have been issued by the Company against payment in full of the consideration and in accordance with the applicable Warrant and the Indenture, the Debt Securities will be valid and binding obligations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left="660" w:hanging="328"/>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registered pursuant to the Registration Statement, when: (a) the issuance and terms of the Warrants, the terms of the offering thereof and related matters have been duly authorized by all required corporate action of the Board and, if required, the stockholders of the Company in accordance with the Certificate of Incorporation and the Bylaws and applicable laws; and (b) the Warrants have been duly executed and delivered against payment therefor, pursuant to the applicable definitive purchase, underwriting, warrant or similar agreement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duly authorized, executed and delivered by the Company and a bank or trust company, as warrant agent (each,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any certificates for the Warrants have been duly executed and delivered by the Company and such Warrant Agent, then the Warrants will be valid and binding obligations of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registered pursuant to the Registration Statement, when: (a) the issuance and terms of the Units, the terms of the offering thereof and related matters, including the adoption of a unit agreement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as applicable, have been duly authorized by all required corporate action of the Board and, if required, the stockholders of the Company in accordance with the Certificate of Incorporation and the Bylaws and applicable laws; (b) the Units have been duly executed, authenticated, issued and delivered against payment therefor in accordance with the terms of the applicable unit agreement and in the manner contemplated by the applicable Prospectus Supplement and by such corporate action; and (c) the conditions outlined in the immediately preceding paragraphs (1) through (4) that apply to the Securities that make up such Units are all met, then the Units will be valid and binding obligations of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opinion expressed above is made as of the date hereof and is subject to, and may be limited by, future changes in the factual matters set forth herein, and we undertake no duty to advise you of the same. The opinion set forth herein is based upon the law in effect (and published or otherwise generally available) on the date hereof, and we assume no obligation to revise or supplement this opinion should such law be changed by legislative action, judicial decision or otherwise. In rendering our opinion, we have not considered, and hereby disclaim any opinion as to, the application or impact of any laws, cases, decisions, rules or regulations of any other jurisdiction, court or administrative agency.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SEC issued thereunder with respect to any part of the Registration Statement, including this opinion as an exhibit.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31, 2026, relating to the consolidated financial statements of Momentus Inc. and Subsidiaries, appearing in the Annual Report on Form 10-K of Momentus Inc. for the year ended December 31, 2025. We also consent to the reference to our Firm under the caption “Experts” in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Rimerman +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8" w:name="page49"/>
    <w:bookmarkEnd w:id="48"/>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1"/>
        </w:trPr>
        <w:tc>
          <w:tcPr>
            <w:tcW w:w="8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20" w:type="dxa"/>
            <w:vAlign w:val="bottom"/>
            <w:tcBorders>
              <w:right w:val="single" w:sz="8" w:color="auto"/>
            </w:tcBorders>
            <w:vMerge w:val="continue"/>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880" w:type="dxa"/>
            <w:vAlign w:val="bottom"/>
            <w:tcBorders>
              <w:left w:val="single" w:sz="8" w:color="auto"/>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7"/>
              </w:rPr>
              <w:t>Registered</w:t>
            </w:r>
            <w:r>
              <w:rPr>
                <w:rFonts w:ascii="Times New Roman" w:cs="Times New Roman" w:eastAsia="Times New Roman" w:hAnsi="Times New Roman"/>
                <w:sz w:val="29"/>
                <w:szCs w:val="29"/>
                <w:b w:val="1"/>
                <w:bCs w:val="1"/>
                <w:color w:val="auto"/>
                <w:w w:val="97"/>
                <w:vertAlign w:val="superscript"/>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18"/>
        </w:trPr>
        <w:tc>
          <w:tcPr>
            <w:tcW w:w="8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right w:val="single" w:sz="8" w:color="auto"/>
            </w:tcBorders>
            <w:shd w:val="clear" w:color="auto" w:fill="CCEEFF"/>
          </w:tcPr>
          <w:p>
            <w:pPr>
              <w:spacing w:after="0"/>
              <w:rPr>
                <w:sz w:val="18"/>
                <w:szCs w:val="18"/>
                <w:color w:val="auto"/>
              </w:rPr>
            </w:pPr>
          </w:p>
        </w:tc>
        <w:tc>
          <w:tcPr>
            <w:tcW w:w="2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88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$0.00001 par value per share</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 par value</w:t>
            </w: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$0.00001 per shares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right w:val="single" w:sz="8" w:color="auto"/>
            </w:tcBorders>
            <w:shd w:val="clear" w:color="auto" w:fill="CCEEFF"/>
          </w:tcPr>
          <w:p>
            <w:pPr>
              <w:spacing w:after="0"/>
              <w:rPr>
                <w:sz w:val="18"/>
                <w:szCs w:val="18"/>
                <w:color w:val="auto"/>
              </w:rPr>
            </w:pPr>
          </w:p>
        </w:tc>
        <w:tc>
          <w:tcPr>
            <w:tcW w:w="21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88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right w:val="single" w:sz="8" w:color="auto"/>
            </w:tcBorders>
            <w:shd w:val="clear" w:color="auto" w:fill="CCEEFF"/>
          </w:tcPr>
          <w:p>
            <w:pPr>
              <w:spacing w:after="0"/>
              <w:rPr>
                <w:sz w:val="18"/>
                <w:szCs w:val="18"/>
                <w:color w:val="auto"/>
              </w:rPr>
            </w:pPr>
          </w:p>
        </w:tc>
        <w:tc>
          <w:tcPr>
            <w:tcW w:w="216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88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80" w:type="dxa"/>
            <w:vAlign w:val="bottom"/>
            <w:tcBorders>
              <w:top w:val="single" w:sz="8" w:color="auto"/>
              <w:left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21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21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Paid</w:t>
            </w:r>
          </w:p>
        </w:tc>
        <w:tc>
          <w:tcPr>
            <w:tcW w:w="132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color w:val="auto"/>
                <w:w w:val="92"/>
              </w:rPr>
              <w:t>Shelf</w:t>
            </w:r>
            <w:r>
              <w:rPr>
                <w:rFonts w:ascii="Times New Roman" w:cs="Times New Roman" w:eastAsia="Times New Roman" w:hAnsi="Times New Roman"/>
                <w:sz w:val="29"/>
                <w:szCs w:val="29"/>
                <w:color w:val="auto"/>
                <w:w w:val="92"/>
                <w:vertAlign w:val="superscript"/>
              </w:rPr>
              <w:t>(2)</w:t>
            </w:r>
          </w:p>
        </w:tc>
        <w:tc>
          <w:tcPr>
            <w:tcW w:w="2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$200,000,000.00</w:t>
            </w:r>
          </w:p>
        </w:tc>
        <w:tc>
          <w:tcPr>
            <w:tcW w:w="11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0.00013810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$27,620.00</w:t>
            </w:r>
          </w:p>
        </w:tc>
        <w:tc>
          <w:tcPr>
            <w:tcW w:w="0" w:type="dxa"/>
            <w:vAlign w:val="bottom"/>
          </w:tcPr>
          <w:p>
            <w:pPr>
              <w:spacing w:after="0"/>
              <w:rPr>
                <w:sz w:val="1"/>
                <w:szCs w:val="1"/>
                <w:color w:val="auto"/>
              </w:rPr>
            </w:pPr>
          </w:p>
        </w:tc>
      </w:tr>
      <w:tr>
        <w:trPr>
          <w:trHeight w:val="269"/>
        </w:trPr>
        <w:tc>
          <w:tcPr>
            <w:tcW w:w="88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CCEEFF"/>
            </w:tcBorders>
            <w:shd w:val="clear" w:color="auto" w:fill="CCEEFF"/>
          </w:tcPr>
          <w:p>
            <w:pPr>
              <w:spacing w:after="0"/>
              <w:rPr>
                <w:sz w:val="22"/>
                <w:szCs w:val="22"/>
                <w:color w:val="auto"/>
              </w:rPr>
            </w:pPr>
          </w:p>
        </w:tc>
        <w:tc>
          <w:tcPr>
            <w:tcW w:w="2160" w:type="dxa"/>
            <w:vAlign w:val="bottom"/>
            <w:tcBorders>
              <w:bottom w:val="single" w:sz="8" w:color="CCEEFF"/>
              <w:right w:val="single" w:sz="8" w:color="CCEEFF"/>
            </w:tcBorders>
            <w:shd w:val="clear" w:color="auto" w:fill="CCEEFF"/>
          </w:tcPr>
          <w:p>
            <w:pPr>
              <w:spacing w:after="0"/>
              <w:rPr>
                <w:sz w:val="22"/>
                <w:szCs w:val="22"/>
                <w:color w:val="auto"/>
              </w:rPr>
            </w:pPr>
          </w:p>
        </w:tc>
        <w:tc>
          <w:tcPr>
            <w:tcW w:w="224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$200,000,000.00</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$27,620.00</w:t>
            </w:r>
          </w:p>
        </w:tc>
        <w:tc>
          <w:tcPr>
            <w:tcW w:w="0" w:type="dxa"/>
            <w:vAlign w:val="bottom"/>
          </w:tcPr>
          <w:p>
            <w:pPr>
              <w:spacing w:after="0"/>
              <w:rPr>
                <w:sz w:val="1"/>
                <w:szCs w:val="1"/>
                <w:color w:val="auto"/>
              </w:rPr>
            </w:pPr>
          </w:p>
        </w:tc>
      </w:tr>
      <w:tr>
        <w:trPr>
          <w:trHeight w:val="237"/>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Previously Paid</w:t>
            </w:r>
          </w:p>
        </w:tc>
        <w:tc>
          <w:tcPr>
            <w:tcW w:w="110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8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320" w:type="dxa"/>
            <w:vAlign w:val="bottom"/>
            <w:tcBorders>
              <w:bottom w:val="single" w:sz="8" w:color="CCEEFF"/>
              <w:right w:val="single" w:sz="8" w:color="CCEEFF"/>
            </w:tcBorders>
            <w:shd w:val="clear" w:color="auto" w:fill="CCEEFF"/>
          </w:tcPr>
          <w:p>
            <w:pPr>
              <w:spacing w:after="0"/>
              <w:rPr>
                <w:sz w:val="22"/>
                <w:szCs w:val="22"/>
                <w:color w:val="auto"/>
              </w:rPr>
            </w:pPr>
          </w:p>
        </w:tc>
        <w:tc>
          <w:tcPr>
            <w:tcW w:w="2160" w:type="dxa"/>
            <w:vAlign w:val="bottom"/>
            <w:tcBorders>
              <w:bottom w:val="single" w:sz="8" w:color="CCEEFF"/>
              <w:right w:val="single" w:sz="8" w:color="CCEEFF"/>
            </w:tcBorders>
            <w:shd w:val="clear" w:color="auto" w:fill="CCEEFF"/>
          </w:tcPr>
          <w:p>
            <w:pPr>
              <w:spacing w:after="0"/>
              <w:rPr>
                <w:sz w:val="22"/>
                <w:szCs w:val="22"/>
                <w:color w:val="auto"/>
              </w:rPr>
            </w:pPr>
          </w:p>
        </w:tc>
        <w:tc>
          <w:tcPr>
            <w:tcW w:w="224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880" w:type="dxa"/>
            <w:vAlign w:val="bottom"/>
            <w:tcBorders>
              <w:top w:val="single" w:sz="8" w:color="auto"/>
              <w:left w:val="single" w:sz="8" w:color="auto"/>
              <w:right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0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$27,620.00</w:t>
            </w: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20" w:right="120" w:hanging="312"/>
        <w:spacing w:after="0" w:line="261"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Class A common stock, par value $0.00001 per share (“Common Stock”), that become issuable by reason of any stock dividend, stock split, recapitalization, or other similar transaction effected without receipt of consideration that increases the number of outstanding shares of Common Stock.</w:t>
      </w:r>
    </w:p>
    <w:p>
      <w:pPr>
        <w:spacing w:after="0" w:line="58" w:lineRule="exact"/>
        <w:rPr>
          <w:rFonts w:ascii="Times New Roman" w:cs="Times New Roman" w:eastAsia="Times New Roman" w:hAnsi="Times New Roman"/>
          <w:sz w:val="18"/>
          <w:szCs w:val="18"/>
          <w:color w:val="auto"/>
        </w:rPr>
      </w:pPr>
    </w:p>
    <w:p>
      <w:pPr>
        <w:jc w:val="both"/>
        <w:ind w:left="320" w:right="120" w:hanging="312"/>
        <w:spacing w:after="0" w:line="258"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pursuant to the registration statement such indeterminate number of (a) shares of Common Stock, (b) shares of Preferred Stock, (c) warrants to purchase Common Stock or Preferred Stock of the Registrant, (d) subscription rights to purchase Common Stock, Preferred Stock, warrants or units consisting of some or all of these securities of the Registrant, and (e) units consisting of some or all of these securities, as may be offered from time to time pursuant to the prospectus contained in the Registration Statement with an aggregate initial offering price not to exceed $200,000,000, or the equivalent thereof in foreign currencies.</w:t>
      </w:r>
    </w:p>
    <w:p>
      <w:pPr>
        <w:spacing w:after="0" w:line="183" w:lineRule="exact"/>
        <w:rPr>
          <w:rFonts w:ascii="Times New Roman" w:cs="Times New Roman" w:eastAsia="Times New Roman" w:hAnsi="Times New Roman"/>
          <w:sz w:val="18"/>
          <w:szCs w:val="18"/>
          <w:color w:val="auto"/>
        </w:rPr>
      </w:pPr>
    </w:p>
    <w:p>
      <w:pPr>
        <w:jc w:val="both"/>
        <w:ind w:left="32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unit and aggregate offering prices per class of securities will be determined from time to time by the Registrant in connection with the issuance by the Registrant of the securities registered under the Registration Statement and is not specified as to each class of security pursuant to Instruction 2.A.iii.b of the Instructions to the Calculation of Filing Fee Tables and Related Disclosure of Form S-3.</w:t>
      </w:r>
    </w:p>
    <w:p>
      <w:pPr>
        <w:spacing w:after="0" w:line="17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w:t>
      </w:r>
    </w:p>
    <w:p>
      <w:pPr>
        <w:spacing w:after="0" w:line="225" w:lineRule="exact"/>
        <w:rPr>
          <w:rFonts w:ascii="Times New Roman" w:cs="Times New Roman" w:eastAsia="Times New Roman" w:hAnsi="Times New Roman"/>
          <w:sz w:val="18"/>
          <w:szCs w:val="18"/>
          <w:color w:val="auto"/>
        </w:rPr>
      </w:pPr>
    </w:p>
    <w:p>
      <w:pPr>
        <w:ind w:left="32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registered under the Registration Statement may be sold separately or as units with other securities registered under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lvl w:ilvl="1">
      <w:lvlJc w:val="left"/>
      <w:lvlText w:val="(%2)"/>
      <w:numFmt w:val="lowerRoman"/>
      <w:start w:val="1"/>
    </w:lvl>
  </w:abstractNum>
  <w:abstractNum w:abstractNumId="30">
    <w:nsid w:val="7724C67E"/>
    <w:multiLevelType w:val="hybridMultilevel"/>
    <w:lvl w:ilvl="0">
      <w:lvlJc w:val="left"/>
      <w:lvlText w:val="(%1)"/>
      <w:numFmt w:val="decimal"/>
      <w:start w:val="2"/>
    </w:lvl>
    <w:lvl w:ilvl="1">
      <w:lvlJc w:val="left"/>
      <w:lvlText w:val="(%2)"/>
      <w:numFmt w:val="lowerRoman"/>
      <w:start w:val="1"/>
    </w:lvl>
  </w:abstractNum>
  <w:abstractNum w:abstractNumId="31">
    <w:nsid w:val="5C482A97"/>
    <w:multiLevelType w:val="hybridMultilevel"/>
    <w:lvl w:ilvl="0">
      <w:lvlJc w:val="left"/>
      <w:lvlText w:val="(%1)"/>
      <w:numFmt w:val="decimal"/>
      <w:start w:val="5"/>
    </w:lvl>
    <w:lvl w:ilvl="1">
      <w:lvlJc w:val="left"/>
      <w:lvlText w:val="(%2)"/>
      <w:numFmt w:val="lowerLetter"/>
      <w:start w:val="9"/>
    </w:lvl>
    <w:lvl w:ilvl="2">
      <w:lvlJc w:val="left"/>
      <w:lvlText w:val="%3"/>
      <w:numFmt w:val="lowerRoman"/>
      <w:start w:val="1"/>
    </w:lvl>
  </w:abstractNum>
  <w:abstractNum w:abstractNumId="32">
    <w:nsid w:val="2463B9EA"/>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33">
    <w:nsid w:val="5E884ADC"/>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34">
    <w:nsid w:val="51EAD36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lowerRoman"/>
      <w:start w:val="3"/>
    </w:lvl>
  </w:abstractNum>
  <w:abstractNum w:abstractNumId="40">
    <w:nsid w:val="6A2342EC"/>
    <w:multiLevelType w:val="hybridMultilevel"/>
    <w:lvl w:ilvl="0">
      <w:lvlJc w:val="left"/>
      <w:lvlText w:val="%1."/>
      <w:numFmt w:val="lowerRoman"/>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4"/>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jpe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9" Type="http://schemas.openxmlformats.org/officeDocument/2006/relationships/image" Target="media/image60.png"/><Relationship Id="rId102" Type="http://schemas.openxmlformats.org/officeDocument/2006/relationships/image" Target="media/image61.png"/><Relationship Id="rId105" Type="http://schemas.openxmlformats.org/officeDocument/2006/relationships/image" Target="media/image62.png"/><Relationship Id="rId108" Type="http://schemas.openxmlformats.org/officeDocument/2006/relationships/image" Target="media/image63.png"/><Relationship Id="rId111" Type="http://schemas.openxmlformats.org/officeDocument/2006/relationships/image" Target="media/image64.png"/><Relationship Id="rId114"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jpe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54" Type="http://schemas.openxmlformats.org/officeDocument/2006/relationships/hyperlink" Target="https://www.sec.gov/ix?doc=/Archives/edgar/data/1781162/000162828026022291/mnts-20251231.htm" TargetMode="External"/><Relationship Id="rId55" Type="http://schemas.openxmlformats.org/officeDocument/2006/relationships/hyperlink" Target="https://www.sec.gov/ix?doc=/Archives/edgar/data/1781162/000162828026034490/mnts-20260331.htm" TargetMode="External"/><Relationship Id="rId56" Type="http://schemas.openxmlformats.org/officeDocument/2006/relationships/hyperlink" Target="https://www.sec.gov/ix?doc=/Archives/edgar/data/1781162/000114036126014277/ny20066708x1_def14a.htm" TargetMode="External"/><Relationship Id="rId57" Type="http://schemas.openxmlformats.org/officeDocument/2006/relationships/hyperlink" Target="https://www.sec.gov/Archives/edgar/data/1781162/000114036125014782/ny20047547x1_ex4-19.htm" TargetMode="External"/><Relationship Id="rId58" Type="http://schemas.openxmlformats.org/officeDocument/2006/relationships/hyperlink" Target="https://www.sec.gov/ix?doc=/Archives/edgar/data/1781162/000114036126004972/ef20065509_8k.htm" TargetMode="External"/><Relationship Id="rId59" Type="http://schemas.openxmlformats.org/officeDocument/2006/relationships/hyperlink" Target="https://www.sec.gov/ix?doc=/Archives/edgar/data/1781162/000114036126006335/ef20066258_8k.htm" TargetMode="External"/><Relationship Id="rId60" Type="http://schemas.openxmlformats.org/officeDocument/2006/relationships/hyperlink" Target="https://www.sec.gov/ix?doc=/Archives/edgar/data/1781162/000114036126014365/ef20070362_8k.htm" TargetMode="External"/><Relationship Id="rId61" Type="http://schemas.openxmlformats.org/officeDocument/2006/relationships/hyperlink" Target="https://www.sec.gov/ix?doc=/Archives/edgar/data/1781162/000114036126014988/ef20070575_8k.htm" TargetMode="External"/><Relationship Id="rId62" Type="http://schemas.openxmlformats.org/officeDocument/2006/relationships/hyperlink" Target="https://www.sec.gov/ix?doc=/Archives/edgar/data/1781162/000114036126015530/ef20070972_8k.htm" TargetMode="External"/><Relationship Id="rId63" Type="http://schemas.openxmlformats.org/officeDocument/2006/relationships/hyperlink" Target="https://www.sec.gov/ix?doc=/Archives/edgar/data/1781162/000114036126019009/ef20072374_8k.htm" TargetMode="External"/><Relationship Id="rId75" Type="http://schemas.openxmlformats.org/officeDocument/2006/relationships/hyperlink" Target="https://www.sec.gov/Archives/edgar/data/1781162/000114036125035600/ny20047547x30_ex1-1.htm" TargetMode="External"/><Relationship Id="rId76" Type="http://schemas.openxmlformats.org/officeDocument/2006/relationships/hyperlink" Target="https://www.sec.gov/Archives/edgar/data/1781162/000121390020030403/ea127854ex2-1_stableroad.htm" TargetMode="External"/><Relationship Id="rId77" Type="http://schemas.openxmlformats.org/officeDocument/2006/relationships/hyperlink" Target="https://www.sec.gov/Archives/edgar/data/1781162/000121390021013894/fs42021a2_stableroadacq.htm#T110" TargetMode="External"/><Relationship Id="rId78" Type="http://schemas.openxmlformats.org/officeDocument/2006/relationships/hyperlink" Target="https://www.sec.gov/Archives/edgar/data/1781162/000121390021020806/ea139255ex2-1_stableroad.htm" TargetMode="External"/><Relationship Id="rId79" Type="http://schemas.openxmlformats.org/officeDocument/2006/relationships/hyperlink" Target="https://www.sec.gov/Archives/edgar/data/1781162/000121390021034706/ea143483ex2-1_stableroad.htm" TargetMode="External"/><Relationship Id="rId80" Type="http://schemas.openxmlformats.org/officeDocument/2006/relationships/hyperlink" Target="https://www.sec.gov/Archives/edgar/data/1781162/000121390019023186/f8k1119ex4-1_stableroad.htm" TargetMode="External"/><Relationship Id="rId81" Type="http://schemas.openxmlformats.org/officeDocument/2006/relationships/hyperlink" Target="https://www.sec.gov/Archives/edgar/data/1781162/000121390019020151/fs12019a1ex4-3_stable.htm" TargetMode="External"/><Relationship Id="rId82" Type="http://schemas.openxmlformats.org/officeDocument/2006/relationships/hyperlink" Target="https://www.sec.gov/Archives/edgar/data/1781162/000114036124041174/ef20035903_ex4-2.htm" TargetMode="External"/><Relationship Id="rId83" Type="http://schemas.openxmlformats.org/officeDocument/2006/relationships/hyperlink" Target="https://www.sec.gov/Archives/edgar/data/1781162/000114036124049586/ny20039820x3_ex4-1.htm" TargetMode="External"/><Relationship Id="rId84" Type="http://schemas.openxmlformats.org/officeDocument/2006/relationships/hyperlink" Target="https://www.sec.gov/Archives/edgar/data/1781162/000114036124049848/ny20039383x5_ex4-1.htm" TargetMode="External"/><Relationship Id="rId85" Type="http://schemas.openxmlformats.org/officeDocument/2006/relationships/hyperlink" Target="https://www.sec.gov/Archives/edgar/data/1781162/000114036124049848/ny20039383x5_ex4-3.htm" TargetMode="External"/><Relationship Id="rId86" Type="http://schemas.openxmlformats.org/officeDocument/2006/relationships/hyperlink" Target="https://www.sec.gov/Archives/edgar/data/1781162/000114036125004114/ef20043284_ex4-1.htm" TargetMode="External"/><Relationship Id="rId87" Type="http://schemas.openxmlformats.org/officeDocument/2006/relationships/hyperlink" Target="https://www.sec.gov/Archives/edgar/data/1781162/000114036125004114/ef20043284_ex4-3.htm" TargetMode="External"/><Relationship Id="rId88" Type="http://schemas.openxmlformats.org/officeDocument/2006/relationships/hyperlink" Target="https://www.sec.gov/Archives/edgar/data/1781162/000114036125004114/ef20043284_ex4-4.htm" TargetMode="External"/><Relationship Id="rId89" Type="http://schemas.openxmlformats.org/officeDocument/2006/relationships/hyperlink" Target="https://www.sec.gov/Archives/edgar/data/1781162/000114036125009817/ef20045953_ex4-1.htm" TargetMode="External"/><Relationship Id="rId90" Type="http://schemas.openxmlformats.org/officeDocument/2006/relationships/hyperlink" Target="https://www.sec.gov/Archives/edgar/data/1781162/000114036125020988/ny20047547x5_ex4-12.htm" TargetMode="External"/><Relationship Id="rId91" Type="http://schemas.openxmlformats.org/officeDocument/2006/relationships/hyperlink" Target="https://www.sec.gov/Archives/edgar/data/1781162/000114036125024623/ny20047547x22_ex4-1.htm" TargetMode="External"/><Relationship Id="rId92" Type="http://schemas.openxmlformats.org/officeDocument/2006/relationships/hyperlink" Target="https://www.sec.gov/Archives/edgar/data/1781162/000114036125024623/ny20047547x22_ex4-3.htm" TargetMode="External"/><Relationship Id="rId93" Type="http://schemas.openxmlformats.org/officeDocument/2006/relationships/hyperlink" Target="https://www.sec.gov/Archives/edgar/data/1781162/000114036125031042/ef20053912_ex4-1.htm" TargetMode="External"/><Relationship Id="rId96" Type="http://schemas.openxmlformats.org/officeDocument/2006/relationships/hyperlink" Target="https://www.sec.gov/Archives/edgar/data/1781162/000114036125034600/ef20055431_ex10-1.htm" TargetMode="External"/><Relationship Id="rId97" Type="http://schemas.openxmlformats.org/officeDocument/2006/relationships/hyperlink" Target="https://www.sec.gov/Archives/edgar/data/1781162/000114036125036535/ny20047547x33_ex4-1.htm" TargetMode="External"/><Relationship Id="rId98" Type="http://schemas.openxmlformats.org/officeDocument/2006/relationships/hyperlink" Target="https://www.sec.gov/Archives/edgar/data/1781162/000114036125036535/ny20047547x33_ex4-2.htm" TargetMode="External"/><Relationship Id="rId100" Type="http://schemas.openxmlformats.org/officeDocument/2006/relationships/hyperlink" Target="https://www.sec.gov/Archives/edgar/data/1781162/000114036125036535/ny20047547x33_ex4-3.htm" TargetMode="External"/><Relationship Id="rId101" Type="http://schemas.openxmlformats.org/officeDocument/2006/relationships/hyperlink" Target="https://www.sec.gov/Archives/edgar/data/1781162/000114036125036535/ny20047547x33_ex4-4.htm" TargetMode="External"/><Relationship Id="rId103" Type="http://schemas.openxmlformats.org/officeDocument/2006/relationships/hyperlink" Target="https://www.sec.gov/Archives/edgar/data/1781162/000114036125037391/ny20047547x36_ex4-1.htm" TargetMode="External"/><Relationship Id="rId104" Type="http://schemas.openxmlformats.org/officeDocument/2006/relationships/hyperlink" Target="https://www.sec.gov/Archives/edgar/data/1781162/000114036125038203/ef20057132_ex4-1.htm" TargetMode="External"/><Relationship Id="rId106" Type="http://schemas.openxmlformats.org/officeDocument/2006/relationships/hyperlink" Target="https://www.sec.gov/Archives/edgar/data/1781162/000114036125045310/ef20061056_ex4-1.htm" TargetMode="External"/><Relationship Id="rId107" Type="http://schemas.openxmlformats.org/officeDocument/2006/relationships/hyperlink" Target="https://www.sec.gov/Archives/edgar/data/1781162/000114036126000853/ef20062616_ex4-1.htm" TargetMode="External"/><Relationship Id="rId109" Type="http://schemas.openxmlformats.org/officeDocument/2006/relationships/hyperlink" Target="https://www.sec.gov/Archives/edgar/data/1781162/000114036126000853/ef20062616_ex4-2.htm" TargetMode="External"/><Relationship Id="rId110" Type="http://schemas.openxmlformats.org/officeDocument/2006/relationships/hyperlink" Target="https://www.sec.gov/Archives/edgar/data/1781162/000114036126014988/ef20070575_ex4-1.htm" TargetMode="External"/><Relationship Id="rId112" Type="http://schemas.openxmlformats.org/officeDocument/2006/relationships/hyperlink" Target="https://www.sec.gov/Archives/edgar/data/1781162/000114036126014988/ef20070575_ex4-2.htm" TargetMode="External"/><Relationship Id="rId113" Type="http://schemas.openxmlformats.org/officeDocument/2006/relationships/hyperlink" Target="https://www.sec.gov/Archives/edgar/data/1781162/000114036125035600/ny20047547x30_ex4-17.htm" TargetMode="External"/><Relationship Id="rId115" Type="http://schemas.openxmlformats.org/officeDocument/2006/relationships/hyperlink" Target="https://www.sec.gov/Archives/edgar/data/1781162/000114036125035600/ny20047547x30_ex4-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2026-05-26T09:26:27Z</dcterms:created>
  <dcterms:modified xsi:type="dcterms:W3CDTF">2026-05-26T09:26:27Z</dcterms:modified>
</cp:coreProperties>
</file>