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4" w:lineRule="exact"/>
        <w:rPr>
          <w:sz w:val="24"/>
          <w:szCs w:val="24"/>
          <w:color w:val="auto"/>
        </w:rPr>
      </w:pPr>
    </w:p>
    <w:p>
      <w:pPr>
        <w:ind w:left="620" w:hanging="600"/>
        <w:spacing w:after="0"/>
        <w:tabs>
          <w:tab w:leader="none" w:pos="6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2024</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4380" w:right="1900" w:hanging="4360"/>
        <w:spacing w:after="0" w:line="395" w:lineRule="auto"/>
        <w:tabs>
          <w:tab w:leader="none" w:pos="615"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001-39128</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Momentus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5" w:lineRule="exact"/>
        <w:rPr>
          <w:sz w:val="24"/>
          <w:szCs w:val="24"/>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84-1905538</w:t>
      </w:r>
    </w:p>
    <w:p>
      <w:pPr>
        <w:spacing w:after="0" w:line="53" w:lineRule="exact"/>
        <w:rPr>
          <w:sz w:val="24"/>
          <w:szCs w:val="24"/>
          <w:color w:val="auto"/>
        </w:rPr>
      </w:pPr>
    </w:p>
    <w:p>
      <w:pPr>
        <w:ind w:left="760"/>
        <w:spacing w:after="0"/>
        <w:tabs>
          <w:tab w:leader="none" w:pos="7160" w:val="left"/>
        </w:tabs>
        <w:rPr>
          <w:sz w:val="20"/>
          <w:szCs w:val="20"/>
          <w:color w:val="auto"/>
        </w:rPr>
      </w:pPr>
      <w:r>
        <w:rPr>
          <w:rFonts w:ascii="Times New Roman" w:cs="Times New Roman" w:eastAsia="Times New Roman" w:hAnsi="Times New Roman"/>
          <w:sz w:val="17"/>
          <w:szCs w:val="17"/>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ectPr>
          <w:pgSz w:w="11900" w:h="16838" w:orient="portrait"/>
          <w:cols w:equalWidth="0" w:num="1">
            <w:col w:w="11260"/>
          </w:cols>
          <w:pgMar w:left="320" w:top="226" w:right="319" w:bottom="1440" w:gutter="0" w:footer="0" w:header="0"/>
        </w:sectPr>
      </w:pPr>
    </w:p>
    <w:p>
      <w:pPr>
        <w:spacing w:after="0" w:line="9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3901 N. First Street</w:t>
      </w:r>
    </w:p>
    <w:p>
      <w:pPr>
        <w:spacing w:after="0" w:line="2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San Jose, California</w:t>
      </w:r>
    </w:p>
    <w:p>
      <w:pPr>
        <w:spacing w:after="0" w:line="44"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303" w:lineRule="exact"/>
        <w:rPr>
          <w:sz w:val="24"/>
          <w:szCs w:val="24"/>
          <w:color w:val="auto"/>
        </w:rPr>
      </w:pPr>
    </w:p>
    <w:p>
      <w:pPr>
        <w:jc w:val="center"/>
        <w:ind w:left="3880"/>
        <w:spacing w:after="0"/>
        <w:rPr>
          <w:sz w:val="20"/>
          <w:szCs w:val="20"/>
          <w:color w:val="auto"/>
        </w:rPr>
      </w:pPr>
      <w:r>
        <w:rPr>
          <w:rFonts w:ascii="Times New Roman" w:cs="Times New Roman" w:eastAsia="Times New Roman" w:hAnsi="Times New Roman"/>
          <w:sz w:val="17"/>
          <w:szCs w:val="17"/>
          <w:b w:val="1"/>
          <w:bCs w:val="1"/>
          <w:color w:val="auto"/>
        </w:rPr>
        <w:t>(650) 564-7820</w:t>
      </w:r>
    </w:p>
    <w:p>
      <w:pPr>
        <w:spacing w:after="0" w:line="32" w:lineRule="exact"/>
        <w:rPr>
          <w:sz w:val="24"/>
          <w:szCs w:val="24"/>
          <w:color w:val="auto"/>
        </w:rPr>
      </w:pPr>
    </w:p>
    <w:p>
      <w:pPr>
        <w:jc w:val="center"/>
        <w:ind w:left="38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b w:val="1"/>
          <w:bCs w:val="1"/>
          <w:color w:val="auto"/>
        </w:rPr>
        <w:t>95134</w:t>
      </w:r>
    </w:p>
    <w:p>
      <w:pPr>
        <w:spacing w:after="0" w:line="15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1334" w:lineRule="exact"/>
        <w:rPr>
          <w:sz w:val="24"/>
          <w:szCs w:val="24"/>
          <w:color w:val="auto"/>
        </w:rPr>
      </w:pPr>
    </w:p>
    <w:p>
      <w:pPr>
        <w:sectPr>
          <w:pgSz w:w="11900" w:h="16838" w:orient="portrait"/>
          <w:cols w:equalWidth="0" w:num="2">
            <w:col w:w="7380" w:space="680"/>
            <w:col w:w="3200"/>
          </w:cols>
          <w:pgMar w:left="320" w:top="226" w:right="319" w:bottom="1440" w:gutter="0" w:footer="0" w:header="0"/>
          <w:type w:val="continuous"/>
        </w:sectPr>
      </w:pP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177"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o</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Accelerated filer</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245"/>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x</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x</w:t>
            </w:r>
          </w:p>
        </w:tc>
      </w:tr>
      <w:tr>
        <w:trPr>
          <w:trHeight w:val="245"/>
        </w:trPr>
        <w:tc>
          <w:tcPr>
            <w:tcW w:w="2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x</w:t>
            </w:r>
          </w:p>
        </w:tc>
      </w:tr>
      <w:tr>
        <w:trPr>
          <w:trHeight w:val="709"/>
        </w:trPr>
        <w:tc>
          <w:tcPr>
            <w:tcW w:w="2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jc w:val="right"/>
              <w:ind w:right="2474"/>
              <w:spacing w:after="0"/>
              <w:rPr>
                <w:sz w:val="20"/>
                <w:szCs w:val="20"/>
                <w:color w:val="auto"/>
              </w:rPr>
            </w:pPr>
            <w:r>
              <w:rPr>
                <w:rFonts w:ascii="Times New Roman" w:cs="Times New Roman" w:eastAsia="Times New Roman" w:hAnsi="Times New Roman"/>
                <w:sz w:val="17"/>
                <w:szCs w:val="17"/>
                <w:color w:val="auto"/>
              </w:rPr>
              <w:t>1</w:t>
            </w:r>
          </w:p>
        </w:tc>
        <w:tc>
          <w:tcPr>
            <w:tcW w:w="3020" w:type="dxa"/>
            <w:vAlign w:val="bottom"/>
          </w:tcPr>
          <w:p>
            <w:pPr>
              <w:spacing w:after="0"/>
              <w:rPr>
                <w:sz w:val="24"/>
                <w:szCs w:val="24"/>
                <w:color w:val="auto"/>
              </w:rPr>
            </w:pPr>
          </w:p>
        </w:tc>
      </w:tr>
      <w:tr>
        <w:trPr>
          <w:trHeight w:val="108"/>
        </w:trPr>
        <w:tc>
          <w:tcPr>
            <w:tcW w:w="24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25,540,419 shares of Class A common stock as of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920" w:type="dxa"/>
            <w:vAlign w:val="bottom"/>
          </w:tcPr>
          <w:p>
            <w:pPr>
              <w:spacing w:after="0"/>
              <w:rPr>
                <w:sz w:val="17"/>
                <w:szCs w:val="17"/>
                <w:color w:val="auto"/>
              </w:rPr>
            </w:pPr>
          </w:p>
        </w:tc>
      </w:tr>
      <w:tr>
        <w:trPr>
          <w:trHeight w:val="638"/>
        </w:trPr>
        <w:tc>
          <w:tcPr>
            <w:tcW w:w="1280" w:type="dxa"/>
            <w:vAlign w:val="bottom"/>
            <w:tcBorders>
              <w:top w:val="single" w:sz="8" w:color="3051F2"/>
            </w:tcBorders>
          </w:tcPr>
          <w:p>
            <w:pPr>
              <w:spacing w:after="0"/>
              <w:rPr>
                <w:sz w:val="24"/>
                <w:szCs w:val="24"/>
                <w:color w:val="auto"/>
              </w:rPr>
            </w:pPr>
          </w:p>
        </w:tc>
        <w:tc>
          <w:tcPr>
            <w:tcW w:w="9040" w:type="dxa"/>
            <w:vAlign w:val="bottom"/>
          </w:tcPr>
          <w:p>
            <w:pPr>
              <w:ind w:left="3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20" w:type="dxa"/>
            <w:vAlign w:val="bottom"/>
          </w:tcPr>
          <w:p>
            <w:pPr>
              <w:spacing w:after="0"/>
              <w:rPr>
                <w:sz w:val="24"/>
                <w:szCs w:val="24"/>
                <w:color w:val="auto"/>
              </w:rPr>
            </w:pPr>
          </w:p>
        </w:tc>
      </w:tr>
      <w:tr>
        <w:trPr>
          <w:trHeight w:val="245"/>
        </w:trPr>
        <w:tc>
          <w:tcPr>
            <w:tcW w:w="1280" w:type="dxa"/>
            <w:vAlign w:val="bottom"/>
            <w:tcBorders>
              <w:bottom w:val="single" w:sz="8" w:color="CCEEFF"/>
            </w:tcBorders>
          </w:tcPr>
          <w:p>
            <w:pPr>
              <w:spacing w:after="0"/>
              <w:rPr>
                <w:sz w:val="21"/>
                <w:szCs w:val="21"/>
                <w:color w:val="auto"/>
              </w:rPr>
            </w:pPr>
          </w:p>
        </w:tc>
        <w:tc>
          <w:tcPr>
            <w:tcW w:w="90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Page</w:t>
            </w:r>
          </w:p>
        </w:tc>
      </w:tr>
      <w:tr>
        <w:trPr>
          <w:trHeight w:val="212"/>
        </w:trPr>
        <w:tc>
          <w:tcPr>
            <w:tcW w:w="10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 - Financial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1. Consolidated Interim Financial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10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Condensed Consolidated Balance Sheets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103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10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103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Condensed Consolidated Statements of Cash Flows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10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Notes to the Consolidated Interim Financial Statements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10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4. Controls and Procedures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10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 - Other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1. Legal Proceedings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 1A. Risk Factors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 3. Defaults Upon Senior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 5. Other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10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Item 6. Exhibits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10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operations and business plan; the results of the Company’s evaluation of the strategic alternatives and the risks associated with any transactions pursued as a results thereof; the ability of the Company to obtain licenses and government approvals for its missions, which are essential to its operations; successful completion of our efforts to prepare our spacecraft for flight, that the vehicles that we plan to operate in future missions will be ready on time, or that they will operate as intended; the ability of the Company to effectively market and sell satellite buses;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described under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10-Q and under Part I, Item 1A. in our Annual Report on Form 10-K filed with the U.S. Securities and Exchange Commission (“SEC”) on June 6, 2024.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June 6, 2024, may not be exhaustive.</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7"/>
        </w:trPr>
        <w:tc>
          <w:tcPr>
            <w:tcW w:w="7800" w:type="dxa"/>
            <w:vAlign w:val="bottom"/>
          </w:tcPr>
          <w:p>
            <w:pPr>
              <w:jc w:val="center"/>
              <w:ind w:left="335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6"/>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3"/>
        </w:trPr>
        <w:tc>
          <w:tcPr>
            <w:tcW w:w="7800" w:type="dxa"/>
            <w:vAlign w:val="bottom"/>
          </w:tcPr>
          <w:p>
            <w:pPr>
              <w:jc w:val="center"/>
              <w:ind w:left="3354"/>
              <w:spacing w:after="0" w:line="194"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7"/>
        </w:trPr>
        <w:tc>
          <w:tcPr>
            <w:tcW w:w="7800" w:type="dxa"/>
            <w:vAlign w:val="bottom"/>
          </w:tcPr>
          <w:p>
            <w:pPr>
              <w:jc w:val="center"/>
              <w:ind w:left="3374"/>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par value)</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7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134"/>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Insurance receivable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8,513</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10,731</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non-current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14,105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20,649</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20"/>
        </w:trPr>
        <w:tc>
          <w:tcPr>
            <w:tcW w:w="7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5,677</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2,805</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4,754</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payable, 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11,109</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liabilities, non-current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1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6,353</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17,462</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68"/>
        </w:trPr>
        <w:tc>
          <w:tcPr>
            <w:tcW w:w="78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Preferred stock, $0.00001 par value; 20,000,000 shares authorized and 0 issued and outstanding as of</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2024 and December 31, 2023, respectively</w:t>
            </w:r>
          </w:p>
        </w:tc>
        <w:tc>
          <w:tcPr>
            <w:tcW w:w="2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Class A common stock, $0.00001 par value; 250,000,000 shares authorized and 21,625,778 issued and</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7"/>
        </w:trPr>
        <w:tc>
          <w:tcPr>
            <w:tcW w:w="78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outstanding as of September 30, 2024; 250,000,000 shares authorized and 8,283,865 issued and outstanding as</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December 31, 2023</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Class B common stock, $0.00001 par value; 4,312,500 shares authorized and 0 issued and outstanding as of</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2024 and December 31, 2023, respectively</w:t>
            </w:r>
          </w:p>
        </w:tc>
        <w:tc>
          <w:tcPr>
            <w:tcW w:w="2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390,730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376,234</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(396,134)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(373,047)</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3,187</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equity (deficit)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14,105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20,649</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23"/>
        </w:trPr>
        <w:tc>
          <w:tcPr>
            <w:tcW w:w="1280" w:type="dxa"/>
            <w:vAlign w:val="bottom"/>
            <w:tcBorders>
              <w:top w:val="single" w:sz="8" w:color="3051F2"/>
            </w:tcBorders>
          </w:tcPr>
          <w:p>
            <w:pPr>
              <w:spacing w:after="0"/>
              <w:rPr>
                <w:sz w:val="24"/>
                <w:szCs w:val="24"/>
                <w:color w:val="auto"/>
              </w:rPr>
            </w:pPr>
          </w:p>
        </w:tc>
        <w:tc>
          <w:tcPr>
            <w:tcW w:w="2620" w:type="dxa"/>
            <w:vAlign w:val="bottom"/>
          </w:tcPr>
          <w:p>
            <w:pPr>
              <w:spacing w:after="0"/>
              <w:rPr>
                <w:sz w:val="24"/>
                <w:szCs w:val="24"/>
                <w:color w:val="auto"/>
              </w:rPr>
            </w:pPr>
          </w:p>
        </w:tc>
        <w:tc>
          <w:tcPr>
            <w:tcW w:w="2800" w:type="dxa"/>
            <w:vAlign w:val="bottom"/>
            <w:gridSpan w:val="4"/>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3"/>
        </w:trPr>
        <w:tc>
          <w:tcPr>
            <w:tcW w:w="1280" w:type="dxa"/>
            <w:vAlign w:val="bottom"/>
          </w:tcPr>
          <w:p>
            <w:pPr>
              <w:spacing w:after="0"/>
              <w:rPr>
                <w:sz w:val="16"/>
                <w:szCs w:val="16"/>
                <w:color w:val="auto"/>
              </w:rPr>
            </w:pPr>
          </w:p>
        </w:tc>
        <w:tc>
          <w:tcPr>
            <w:tcW w:w="6960" w:type="dxa"/>
            <w:vAlign w:val="bottom"/>
            <w:gridSpan w:val="8"/>
          </w:tcPr>
          <w:p>
            <w:pPr>
              <w:jc w:val="center"/>
              <w:ind w:left="165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6"/>
        </w:trPr>
        <w:tc>
          <w:tcPr>
            <w:tcW w:w="1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0" w:type="dxa"/>
            <w:vAlign w:val="bottom"/>
            <w:gridSpan w:val="4"/>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7"/>
        </w:trPr>
        <w:tc>
          <w:tcPr>
            <w:tcW w:w="12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340" w:type="dxa"/>
            <w:vAlign w:val="bottom"/>
            <w:gridSpan w:val="7"/>
          </w:tcPr>
          <w:p>
            <w:pPr>
              <w:jc w:val="center"/>
              <w:ind w:right="900"/>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0"/>
        </w:trPr>
        <w:tc>
          <w:tcPr>
            <w:tcW w:w="1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ind w:left="400"/>
              <w:spacing w:after="0" w:line="181"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5"/>
                <w:szCs w:val="15"/>
                <w:color w:val="auto"/>
              </w:rPr>
            </w:pPr>
          </w:p>
        </w:tc>
        <w:tc>
          <w:tcPr>
            <w:tcW w:w="2660" w:type="dxa"/>
            <w:vAlign w:val="bottom"/>
            <w:gridSpan w:val="4"/>
          </w:tcPr>
          <w:p>
            <w:pPr>
              <w:jc w:val="right"/>
              <w:ind w:right="674"/>
              <w:spacing w:after="0" w:line="181" w:lineRule="exact"/>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128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5"/>
        </w:trPr>
        <w:tc>
          <w:tcPr>
            <w:tcW w:w="1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12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18"/>
                <w:szCs w:val="18"/>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80" w:type="dxa"/>
            <w:vAlign w:val="bottom"/>
          </w:tcPr>
          <w:p>
            <w:pPr>
              <w:spacing w:after="0"/>
              <w:rPr>
                <w:sz w:val="18"/>
                <w:szCs w:val="18"/>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w:t>
            </w: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r>
      <w:tr>
        <w:trPr>
          <w:trHeight w:val="212"/>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w:t>
            </w: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26,315</w:t>
            </w:r>
          </w:p>
        </w:tc>
      </w:tr>
      <w:tr>
        <w:trPr>
          <w:trHeight w:val="21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29,571</w:t>
            </w:r>
          </w:p>
        </w:tc>
      </w:tr>
      <w:tr>
        <w:trPr>
          <w:trHeight w:val="212"/>
        </w:trPr>
        <w:tc>
          <w:tcPr>
            <w:tcW w:w="3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24,647</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55,886</w:t>
            </w:r>
          </w:p>
        </w:tc>
      </w:tr>
      <w:tr>
        <w:trPr>
          <w:trHeight w:val="212"/>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(54,327)</w:t>
            </w:r>
          </w:p>
        </w:tc>
      </w:tr>
      <w:tr>
        <w:trPr>
          <w:trHeight w:val="21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219"/>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r>
      <w:tr>
        <w:trPr>
          <w:trHeight w:val="219"/>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r>
      <w:tr>
        <w:trPr>
          <w:trHeight w:val="21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2"/>
        </w:trPr>
        <w:tc>
          <w:tcPr>
            <w:tcW w:w="3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2"/>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(23,087)</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(54,819)</w:t>
            </w:r>
          </w:p>
        </w:tc>
      </w:tr>
      <w:tr>
        <w:trPr>
          <w:trHeight w:val="21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6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(15,159)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(23,087)</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(54,819)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w:t>
            </w:r>
          </w:p>
        </w:tc>
      </w:tr>
      <w:tr>
        <w:trPr>
          <w:trHeight w:val="21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per share, fully diluted</w:t>
            </w:r>
          </w:p>
        </w:tc>
        <w:tc>
          <w:tcPr>
            <w:tcW w:w="15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w:t>
            </w: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 and diluted</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17,357,896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2,106,707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15,514,688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1,927,049</w:t>
            </w:r>
          </w:p>
        </w:tc>
      </w:tr>
      <w:tr>
        <w:trPr>
          <w:trHeight w:val="22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fully diluted</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17,357,896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2,106,707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15,514,688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1,927,049</w:t>
            </w: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(DEFICIT)</w:t>
      </w: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ectPr>
          <w:pgSz w:w="11900" w:h="16838" w:orient="portrait"/>
          <w:cols w:equalWidth="0" w:num="1">
            <w:col w:w="10780"/>
          </w:cols>
          <w:pgMar w:left="320" w:top="123"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December 31, 2023</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p>
      <w:pPr>
        <w:spacing w:after="0" w:line="24" w:lineRule="exact"/>
        <w:rPr>
          <w:sz w:val="20"/>
          <w:szCs w:val="20"/>
          <w:color w:val="auto"/>
        </w:rPr>
      </w:pPr>
    </w:p>
    <w:p>
      <w:pPr>
        <w:ind w:left="700" w:right="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28" w:lineRule="exact"/>
        <w:rPr>
          <w:sz w:val="20"/>
          <w:szCs w:val="20"/>
          <w:color w:val="auto"/>
        </w:rPr>
      </w:pPr>
    </w:p>
    <w:p>
      <w:pPr>
        <w:ind w:left="700"/>
        <w:spacing w:after="0" w:line="237"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700" w:right="36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Net loss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March 31, 2024</w:t>
      </w:r>
    </w:p>
    <w:p>
      <w:pPr>
        <w:spacing w:after="0" w:line="28" w:lineRule="exact"/>
        <w:rPr>
          <w:sz w:val="20"/>
          <w:szCs w:val="20"/>
          <w:color w:val="auto"/>
        </w:rPr>
      </w:pPr>
    </w:p>
    <w:p>
      <w:pPr>
        <w:ind w:left="700" w:right="300"/>
        <w:spacing w:after="0" w:line="274" w:lineRule="auto"/>
        <w:rPr>
          <w:sz w:val="20"/>
          <w:szCs w:val="20"/>
          <w:color w:val="auto"/>
        </w:rPr>
      </w:pPr>
      <w:r>
        <w:rPr>
          <w:rFonts w:ascii="Times New Roman" w:cs="Times New Roman" w:eastAsia="Times New Roman" w:hAnsi="Times New Roman"/>
          <w:sz w:val="17"/>
          <w:szCs w:val="17"/>
          <w:color w:val="auto"/>
        </w:rPr>
        <w:t>Stock-based compensation - stock options, RSAs, RSUs Net loss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June 30, 2024</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24" w:lineRule="exact"/>
        <w:rPr>
          <w:sz w:val="20"/>
          <w:szCs w:val="20"/>
          <w:color w:val="auto"/>
        </w:rPr>
      </w:pPr>
    </w:p>
    <w:p>
      <w:pPr>
        <w:ind w:left="700" w:right="340"/>
        <w:spacing w:after="0" w:line="237" w:lineRule="auto"/>
        <w:rPr>
          <w:sz w:val="20"/>
          <w:szCs w:val="20"/>
          <w:color w:val="auto"/>
        </w:rPr>
      </w:pPr>
      <w:r>
        <w:rPr>
          <w:rFonts w:ascii="Times New Roman" w:cs="Times New Roman" w:eastAsia="Times New Roman" w:hAnsi="Times New Roman"/>
          <w:sz w:val="17"/>
          <w:szCs w:val="17"/>
          <w:color w:val="auto"/>
        </w:rPr>
        <w:t>Issuance of pre-funded warrants and warrants in private placement, net of issuance costs</w:t>
      </w:r>
    </w:p>
    <w:p>
      <w:pPr>
        <w:spacing w:after="0" w:line="10" w:lineRule="exact"/>
        <w:rPr>
          <w:sz w:val="20"/>
          <w:szCs w:val="20"/>
          <w:color w:val="auto"/>
        </w:rPr>
      </w:pPr>
    </w:p>
    <w:p>
      <w:pPr>
        <w:ind w:left="700" w:right="36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Net loss</w:t>
      </w:r>
    </w:p>
    <w:p>
      <w:pPr>
        <w:spacing w:after="0" w:line="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September 30, 2024</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20" w:type="dxa"/>
            <w:vAlign w:val="bottom"/>
            <w:gridSpan w:val="3"/>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64"/>
        </w:trPr>
        <w:tc>
          <w:tcPr>
            <w:tcW w:w="20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restart"/>
          </w:tcPr>
          <w:p>
            <w:pPr>
              <w:jc w:val="center"/>
              <w:ind w:right="200"/>
              <w:spacing w:after="0" w:line="167"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103"/>
        </w:trPr>
        <w:tc>
          <w:tcPr>
            <w:tcW w:w="2020" w:type="dxa"/>
            <w:vAlign w:val="bottom"/>
            <w:gridSpan w:val="3"/>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2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81" w:lineRule="exact"/>
              <w:rPr>
                <w:sz w:val="20"/>
                <w:szCs w:val="20"/>
                <w:color w:val="auto"/>
              </w:rPr>
            </w:pPr>
            <w:r>
              <w:rPr>
                <w:rFonts w:ascii="Times New Roman" w:cs="Times New Roman" w:eastAsia="Times New Roman" w:hAnsi="Times New Roman"/>
                <w:sz w:val="17"/>
                <w:szCs w:val="17"/>
                <w:b w:val="1"/>
                <w:bCs w:val="1"/>
                <w:color w:val="auto"/>
                <w:w w:val="99"/>
              </w:rPr>
              <w:t>paid-in</w:t>
            </w:r>
          </w:p>
        </w:tc>
        <w:tc>
          <w:tcPr>
            <w:tcW w:w="1160" w:type="dxa"/>
            <w:vAlign w:val="bottom"/>
            <w:gridSpan w:val="3"/>
            <w:vMerge w:val="restart"/>
          </w:tcPr>
          <w:p>
            <w:pPr>
              <w:ind w:left="60"/>
              <w:spacing w:after="0" w:line="181"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0"/>
                <w:szCs w:val="10"/>
                <w:color w:val="auto"/>
              </w:rPr>
            </w:pPr>
          </w:p>
        </w:tc>
        <w:tc>
          <w:tcPr>
            <w:tcW w:w="920" w:type="dxa"/>
            <w:vAlign w:val="bottom"/>
            <w:vMerge w:val="restart"/>
          </w:tcPr>
          <w:p>
            <w:pPr>
              <w:jc w:val="center"/>
              <w:ind w:right="94"/>
              <w:spacing w:after="0" w:line="181" w:lineRule="exact"/>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34"/>
        </w:trPr>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1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80" w:type="dxa"/>
            <w:vAlign w:val="bottom"/>
          </w:tcPr>
          <w:p>
            <w:pPr>
              <w:spacing w:after="0"/>
              <w:rPr>
                <w:sz w:val="19"/>
                <w:szCs w:val="19"/>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8,283,865</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376,234</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(373,047)</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(5,937)</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0" w:type="dxa"/>
            <w:vAlign w:val="bottom"/>
          </w:tcPr>
          <w:p>
            <w:pPr>
              <w:spacing w:after="0"/>
              <w:rPr>
                <w:sz w:val="1"/>
                <w:szCs w:val="1"/>
                <w:color w:val="auto"/>
              </w:rPr>
            </w:pPr>
          </w:p>
        </w:tc>
      </w:tr>
      <w:tr>
        <w:trPr>
          <w:trHeight w:val="309"/>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2,220,000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6,091,280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(8,313)</w:t>
            </w: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16,625,778</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384,845</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(381,360)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3,485</w:t>
            </w:r>
          </w:p>
        </w:tc>
        <w:tc>
          <w:tcPr>
            <w:tcW w:w="0" w:type="dxa"/>
            <w:vAlign w:val="bottom"/>
          </w:tcPr>
          <w:p>
            <w:pPr>
              <w:spacing w:after="0"/>
              <w:rPr>
                <w:sz w:val="1"/>
                <w:szCs w:val="1"/>
                <w:color w:val="auto"/>
              </w:rPr>
            </w:pPr>
          </w:p>
        </w:tc>
      </w:tr>
      <w:tr>
        <w:trPr>
          <w:trHeight w:val="21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0" w:type="dxa"/>
            <w:vAlign w:val="bottom"/>
          </w:tcPr>
          <w:p>
            <w:pPr>
              <w:spacing w:after="0"/>
              <w:rPr>
                <w:sz w:val="1"/>
                <w:szCs w:val="1"/>
                <w:color w:val="auto"/>
              </w:rPr>
            </w:pPr>
          </w:p>
        </w:tc>
      </w:tr>
      <w:tr>
        <w:trPr>
          <w:trHeight w:val="22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0" w:type="dxa"/>
            <w:vAlign w:val="bottom"/>
          </w:tcPr>
          <w:p>
            <w:pPr>
              <w:spacing w:after="0"/>
              <w:rPr>
                <w:sz w:val="1"/>
                <w:szCs w:val="1"/>
                <w:color w:val="auto"/>
              </w:rPr>
            </w:pPr>
          </w:p>
        </w:tc>
      </w:tr>
      <w:tr>
        <w:trPr>
          <w:trHeight w:val="209"/>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16,625,778</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386,580</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(388,376)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0" w:type="dxa"/>
            <w:vAlign w:val="bottom"/>
          </w:tcPr>
          <w:p>
            <w:pPr>
              <w:spacing w:after="0"/>
              <w:rPr>
                <w:sz w:val="1"/>
                <w:szCs w:val="1"/>
                <w:color w:val="auto"/>
              </w:rPr>
            </w:pPr>
          </w:p>
        </w:tc>
      </w:tr>
      <w:tr>
        <w:trPr>
          <w:trHeight w:val="22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0" w:type="dxa"/>
            <w:vAlign w:val="bottom"/>
          </w:tcPr>
          <w:p>
            <w:pPr>
              <w:spacing w:after="0"/>
              <w:rPr>
                <w:sz w:val="1"/>
                <w:szCs w:val="1"/>
                <w:color w:val="auto"/>
              </w:rPr>
            </w:pP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0" w:type="dxa"/>
            <w:vAlign w:val="bottom"/>
          </w:tcPr>
          <w:p>
            <w:pPr>
              <w:spacing w:after="0"/>
              <w:rPr>
                <w:sz w:val="1"/>
                <w:szCs w:val="1"/>
                <w:color w:val="auto"/>
              </w:rPr>
            </w:pPr>
          </w:p>
        </w:tc>
      </w:tr>
      <w:tr>
        <w:trPr>
          <w:trHeight w:val="400"/>
        </w:trPr>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3051F2"/>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3051F2"/>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0" w:type="dxa"/>
            <w:vAlign w:val="bottom"/>
          </w:tcPr>
          <w:p>
            <w:pPr>
              <w:spacing w:after="0"/>
              <w:rPr>
                <w:sz w:val="1"/>
                <w:szCs w:val="1"/>
                <w:color w:val="auto"/>
              </w:rPr>
            </w:pPr>
          </w:p>
        </w:tc>
      </w:tr>
      <w:tr>
        <w:trPr>
          <w:trHeight w:val="212"/>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21,625,778</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390,730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(396,134)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(5,404)</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-2864485</wp:posOffset>
            </wp:positionV>
            <wp:extent cx="6549390" cy="147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-2578100</wp:posOffset>
            </wp:positionV>
            <wp:extent cx="6549390" cy="254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-2185035</wp:posOffset>
            </wp:positionV>
            <wp:extent cx="6549390" cy="254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-1677670</wp:posOffset>
            </wp:positionV>
            <wp:extent cx="654939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-1391285</wp:posOffset>
            </wp:positionV>
            <wp:extent cx="654939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-1112520</wp:posOffset>
            </wp:positionV>
            <wp:extent cx="6549390" cy="14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-826135</wp:posOffset>
            </wp:positionV>
            <wp:extent cx="6549390" cy="254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-318770</wp:posOffset>
            </wp:positionV>
            <wp:extent cx="654939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9390" cy="13906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4860" w:space="140"/>
            <w:col w:w="5780"/>
          </w:cols>
          <w:pgMar w:left="320" w:top="123" w:right="799" w:bottom="1440" w:gutter="0" w:footer="0" w:header="0"/>
          <w:type w:val="continuous"/>
        </w:sectPr>
      </w:pPr>
    </w:p>
    <w:p>
      <w:pPr>
        <w:ind w:left="23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80"/>
          </w:cols>
          <w:pgMar w:left="320" w:top="123" w:right="7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(DEFICIT) - CONTINUED</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(UNAUDITED)</w:t>
      </w:r>
    </w:p>
    <w:p>
      <w:pPr>
        <w:jc w:val="center"/>
        <w:ind w:right="-479"/>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ectPr>
          <w:pgSz w:w="11900" w:h="16838" w:orient="portrait"/>
          <w:cols w:equalWidth="0" w:num="1">
            <w:col w:w="10780"/>
          </w:cols>
          <w:pgMar w:left="320" w:top="123"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December 31, 2022</w:t>
      </w:r>
    </w:p>
    <w:p>
      <w:pPr>
        <w:spacing w:after="0" w:line="28" w:lineRule="exact"/>
        <w:rPr>
          <w:sz w:val="20"/>
          <w:szCs w:val="20"/>
          <w:color w:val="auto"/>
        </w:rPr>
      </w:pPr>
    </w:p>
    <w:p>
      <w:pPr>
        <w:ind w:left="700" w:right="200"/>
        <w:spacing w:after="0" w:line="269" w:lineRule="auto"/>
        <w:rPr>
          <w:sz w:val="20"/>
          <w:szCs w:val="20"/>
          <w:color w:val="auto"/>
        </w:rPr>
      </w:pPr>
      <w:r>
        <w:rPr>
          <w:rFonts w:ascii="Times New Roman" w:cs="Times New Roman" w:eastAsia="Times New Roman" w:hAnsi="Times New Roman"/>
          <w:sz w:val="17"/>
          <w:szCs w:val="17"/>
          <w:color w:val="auto"/>
        </w:rPr>
        <w:t>Issuance of common stock upon exercise of stock options Issuance of common stock upon vesting of RSUs</w:t>
      </w:r>
    </w:p>
    <w:p>
      <w:pPr>
        <w:ind w:left="700" w:right="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Stock-based compensation - stock options, RSAs, RSUs</w:t>
      </w:r>
    </w:p>
    <w:p>
      <w:pPr>
        <w:spacing w:after="0" w:line="28" w:lineRule="exact"/>
        <w:rPr>
          <w:sz w:val="20"/>
          <w:szCs w:val="20"/>
          <w:color w:val="auto"/>
        </w:rPr>
      </w:pPr>
    </w:p>
    <w:p>
      <w:pPr>
        <w:ind w:left="700"/>
        <w:spacing w:after="0" w:line="237"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700" w:right="740"/>
        <w:spacing w:after="0" w:line="276" w:lineRule="auto"/>
        <w:rPr>
          <w:sz w:val="20"/>
          <w:szCs w:val="20"/>
          <w:color w:val="auto"/>
        </w:rPr>
      </w:pPr>
      <w:r>
        <w:rPr>
          <w:rFonts w:ascii="Times New Roman" w:cs="Times New Roman" w:eastAsia="Times New Roman" w:hAnsi="Times New Roman"/>
          <w:sz w:val="17"/>
          <w:szCs w:val="17"/>
          <w:color w:val="auto"/>
        </w:rPr>
        <w:t>Issuance of common stock for consulting services Net loss</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March 31, 2023</w:t>
      </w:r>
    </w:p>
    <w:p>
      <w:pPr>
        <w:spacing w:after="0" w:line="28" w:lineRule="exact"/>
        <w:rPr>
          <w:sz w:val="20"/>
          <w:szCs w:val="20"/>
          <w:color w:val="auto"/>
        </w:rPr>
      </w:pPr>
    </w:p>
    <w:p>
      <w:pPr>
        <w:ind w:left="700" w:right="200"/>
        <w:spacing w:after="0" w:line="269" w:lineRule="auto"/>
        <w:rPr>
          <w:sz w:val="20"/>
          <w:szCs w:val="20"/>
          <w:color w:val="auto"/>
        </w:rPr>
      </w:pPr>
      <w:r>
        <w:rPr>
          <w:rFonts w:ascii="Times New Roman" w:cs="Times New Roman" w:eastAsia="Times New Roman" w:hAnsi="Times New Roman"/>
          <w:sz w:val="17"/>
          <w:szCs w:val="17"/>
          <w:color w:val="auto"/>
        </w:rPr>
        <w:t>Issuance of common stock upon exercise of stock options Issuance of common stock upon vesting of RSUs Issuance of common stock upon purchase of ESPP</w:t>
      </w:r>
    </w:p>
    <w:p>
      <w:pPr>
        <w:ind w:left="700" w:right="360"/>
        <w:spacing w:after="0" w:line="237"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700" w:right="300"/>
        <w:spacing w:after="0" w:line="276" w:lineRule="auto"/>
        <w:rPr>
          <w:sz w:val="20"/>
          <w:szCs w:val="20"/>
          <w:color w:val="auto"/>
        </w:rPr>
      </w:pPr>
      <w:r>
        <w:rPr>
          <w:rFonts w:ascii="Times New Roman" w:cs="Times New Roman" w:eastAsia="Times New Roman" w:hAnsi="Times New Roman"/>
          <w:sz w:val="17"/>
          <w:szCs w:val="17"/>
          <w:color w:val="auto"/>
        </w:rPr>
        <w:t>Stock-based compensation - stock options, RSAs, RSUs Net loss</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June 30, 2023</w:t>
      </w:r>
    </w:p>
    <w:p>
      <w:pPr>
        <w:spacing w:after="0" w:line="28" w:lineRule="exact"/>
        <w:rPr>
          <w:sz w:val="20"/>
          <w:szCs w:val="20"/>
          <w:color w:val="auto"/>
        </w:rPr>
      </w:pPr>
    </w:p>
    <w:p>
      <w:pPr>
        <w:ind w:left="700" w:right="200"/>
        <w:spacing w:after="0" w:line="269" w:lineRule="auto"/>
        <w:rPr>
          <w:sz w:val="20"/>
          <w:szCs w:val="20"/>
          <w:color w:val="auto"/>
        </w:rPr>
      </w:pPr>
      <w:r>
        <w:rPr>
          <w:rFonts w:ascii="Times New Roman" w:cs="Times New Roman" w:eastAsia="Times New Roman" w:hAnsi="Times New Roman"/>
          <w:sz w:val="17"/>
          <w:szCs w:val="17"/>
          <w:color w:val="auto"/>
        </w:rPr>
        <w:t>Issuance of common stock upon exercise of stock options Issuance of common stock upon vesting of RSUs</w:t>
      </w:r>
    </w:p>
    <w:p>
      <w:pPr>
        <w:ind w:left="700" w:right="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700"/>
        <w:spacing w:after="0" w:line="239"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700" w:right="36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700" w:right="40"/>
        <w:spacing w:after="0" w:line="284" w:lineRule="auto"/>
        <w:rPr>
          <w:sz w:val="20"/>
          <w:szCs w:val="20"/>
          <w:color w:val="auto"/>
        </w:rPr>
      </w:pPr>
      <w:r>
        <w:rPr>
          <w:rFonts w:ascii="Times New Roman" w:cs="Times New Roman" w:eastAsia="Times New Roman" w:hAnsi="Times New Roman"/>
          <w:sz w:val="17"/>
          <w:szCs w:val="17"/>
          <w:color w:val="auto"/>
        </w:rPr>
        <w:t>Stock-based compensation - stock options, RSAs, RSUs Common stock issued in connection with reverse stock split Net loss</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Balance, September 30, 2023</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00" w:type="dxa"/>
            <w:vAlign w:val="bottom"/>
            <w:gridSpan w:val="3"/>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64"/>
        </w:trPr>
        <w:tc>
          <w:tcPr>
            <w:tcW w:w="2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ind w:left="60"/>
              <w:spacing w:after="0" w:line="173"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109"/>
        </w:trPr>
        <w:tc>
          <w:tcPr>
            <w:tcW w:w="2000" w:type="dxa"/>
            <w:vAlign w:val="bottom"/>
            <w:gridSpan w:val="3"/>
            <w:vMerge w:val="restart"/>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0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center"/>
              <w:ind w:right="94"/>
              <w:spacing w:after="0" w:line="175" w:lineRule="exact"/>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paid in capital</w:t>
            </w: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80" w:type="dxa"/>
            <w:vAlign w:val="bottom"/>
          </w:tcPr>
          <w:p>
            <w:pPr>
              <w:spacing w:after="0"/>
              <w:rPr>
                <w:sz w:val="19"/>
                <w:szCs w:val="19"/>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09"/>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1,688,824</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342,734</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(304,127)</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38,607</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3"/>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86"/>
        </w:trPr>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187,920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w:t>
            </w:r>
          </w:p>
        </w:tc>
        <w:tc>
          <w:tcPr>
            <w:tcW w:w="0" w:type="dxa"/>
            <w:vAlign w:val="bottom"/>
          </w:tcPr>
          <w:p>
            <w:pPr>
              <w:spacing w:after="0"/>
              <w:rPr>
                <w:sz w:val="1"/>
                <w:szCs w:val="1"/>
                <w:color w:val="auto"/>
              </w:rPr>
            </w:pPr>
          </w:p>
        </w:tc>
      </w:tr>
      <w:tr>
        <w:trPr>
          <w:trHeight w:val="305"/>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3"/>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(20,825)</w:t>
            </w:r>
          </w:p>
        </w:tc>
        <w:tc>
          <w:tcPr>
            <w:tcW w:w="0" w:type="dxa"/>
            <w:vAlign w:val="bottom"/>
          </w:tcPr>
          <w:p>
            <w:pPr>
              <w:spacing w:after="0"/>
              <w:rPr>
                <w:sz w:val="1"/>
                <w:szCs w:val="1"/>
                <w:color w:val="auto"/>
              </w:rPr>
            </w:pPr>
          </w:p>
        </w:tc>
      </w:tr>
      <w:tr>
        <w:trPr>
          <w:trHeight w:val="209"/>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1,899,688</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353,898</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(324,952)</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28,946</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43,401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6"/>
        </w:trPr>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0" w:type="dxa"/>
            <w:vAlign w:val="bottom"/>
          </w:tcPr>
          <w:p>
            <w:pPr>
              <w:spacing w:after="0"/>
              <w:rPr>
                <w:sz w:val="1"/>
                <w:szCs w:val="1"/>
                <w:color w:val="auto"/>
              </w:rPr>
            </w:pPr>
          </w:p>
        </w:tc>
      </w:tr>
      <w:tr>
        <w:trPr>
          <w:trHeight w:val="223"/>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(18,835)</w:t>
            </w:r>
          </w:p>
        </w:tc>
        <w:tc>
          <w:tcPr>
            <w:tcW w:w="0" w:type="dxa"/>
            <w:vAlign w:val="bottom"/>
          </w:tcPr>
          <w:p>
            <w:pPr>
              <w:spacing w:after="0"/>
              <w:rPr>
                <w:sz w:val="1"/>
                <w:szCs w:val="1"/>
                <w:color w:val="auto"/>
              </w:rPr>
            </w:pPr>
          </w:p>
        </w:tc>
      </w:tr>
      <w:tr>
        <w:trPr>
          <w:trHeight w:val="209"/>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1,957,308</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356,544</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(343,787)</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12,757</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90"/>
        </w:trPr>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4,565</w:t>
            </w:r>
          </w:p>
        </w:tc>
        <w:tc>
          <w:tcPr>
            <w:tcW w:w="0" w:type="dxa"/>
            <w:vAlign w:val="bottom"/>
          </w:tcPr>
          <w:p>
            <w:pPr>
              <w:spacing w:after="0"/>
              <w:rPr>
                <w:sz w:val="1"/>
                <w:szCs w:val="1"/>
                <w:color w:val="auto"/>
              </w:rPr>
            </w:pPr>
          </w:p>
        </w:tc>
      </w:tr>
      <w:tr>
        <w:trPr>
          <w:trHeight w:val="90"/>
        </w:trPr>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462,948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6"/>
        </w:trPr>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59,801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(15,159)</w:t>
            </w:r>
          </w:p>
        </w:tc>
        <w:tc>
          <w:tcPr>
            <w:tcW w:w="0" w:type="dxa"/>
            <w:vAlign w:val="bottom"/>
          </w:tcPr>
          <w:p>
            <w:pPr>
              <w:spacing w:after="0"/>
              <w:rPr>
                <w:sz w:val="1"/>
                <w:szCs w:val="1"/>
                <w:color w:val="auto"/>
              </w:rPr>
            </w:pPr>
          </w:p>
        </w:tc>
      </w:tr>
      <w:tr>
        <w:trPr>
          <w:trHeight w:val="212"/>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2,700,909</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363,238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(358,946)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4,292</w:t>
            </w: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-4231640</wp:posOffset>
            </wp:positionV>
            <wp:extent cx="6549390" cy="147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-3945255</wp:posOffset>
            </wp:positionV>
            <wp:extent cx="6549390"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-3552190</wp:posOffset>
            </wp:positionV>
            <wp:extent cx="654939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-3159125</wp:posOffset>
            </wp:positionV>
            <wp:extent cx="654939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-2880995</wp:posOffset>
            </wp:positionV>
            <wp:extent cx="6549390" cy="14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-2594610</wp:posOffset>
            </wp:positionV>
            <wp:extent cx="654939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-2315845</wp:posOffset>
            </wp:positionV>
            <wp:extent cx="6549390" cy="254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-1923415</wp:posOffset>
            </wp:positionV>
            <wp:extent cx="654939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-1636395</wp:posOffset>
            </wp:positionV>
            <wp:extent cx="654939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-1358265</wp:posOffset>
            </wp:positionV>
            <wp:extent cx="6549390" cy="254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-850900</wp:posOffset>
            </wp:positionV>
            <wp:extent cx="6549390" cy="2540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-457835</wp:posOffset>
            </wp:positionV>
            <wp:extent cx="6549390"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-179705</wp:posOffset>
            </wp:positionV>
            <wp:extent cx="6549390" cy="163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9390" cy="16383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4860" w:space="160"/>
            <w:col w:w="5760"/>
          </w:cols>
          <w:pgMar w:left="320" w:top="123" w:right="799" w:bottom="1440" w:gutter="0" w:footer="0" w:header="0"/>
          <w:type w:val="continuous"/>
        </w:sectPr>
      </w:pPr>
    </w:p>
    <w:p>
      <w:pPr>
        <w:ind w:left="23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pacing w:after="0" w:line="200" w:lineRule="exact"/>
        <w:rPr>
          <w:sz w:val="20"/>
          <w:szCs w:val="20"/>
          <w:color w:val="auto"/>
        </w:rPr>
      </w:pPr>
    </w:p>
    <w:p>
      <w:pPr>
        <w:spacing w:after="0" w:line="2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80"/>
          </w:cols>
          <w:pgMar w:left="320" w:top="123" w:right="7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560" w:type="dxa"/>
            <w:vAlign w:val="bottom"/>
            <w:tcBorders>
              <w:bottom w:val="single" w:sz="8" w:color="auto"/>
            </w:tcBorders>
          </w:tcPr>
          <w:p>
            <w:pPr>
              <w:spacing w:after="0"/>
              <w:rPr>
                <w:sz w:val="17"/>
                <w:szCs w:val="17"/>
                <w:color w:val="auto"/>
              </w:rPr>
            </w:pPr>
          </w:p>
        </w:tc>
      </w:tr>
      <w:tr>
        <w:trPr>
          <w:trHeight w:val="201"/>
        </w:trPr>
        <w:tc>
          <w:tcPr>
            <w:tcW w:w="78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2023</w:t>
            </w:r>
          </w:p>
        </w:tc>
        <w:tc>
          <w:tcPr>
            <w:tcW w:w="560" w:type="dxa"/>
            <w:vAlign w:val="bottom"/>
            <w:tcBorders>
              <w:bottom w:val="single" w:sz="8" w:color="auto"/>
            </w:tcBorders>
          </w:tcPr>
          <w:p>
            <w:pPr>
              <w:spacing w:after="0"/>
              <w:rPr>
                <w:sz w:val="17"/>
                <w:szCs w:val="17"/>
                <w:color w:val="auto"/>
              </w:rPr>
            </w:pPr>
          </w:p>
        </w:tc>
      </w:tr>
      <w:tr>
        <w:trPr>
          <w:trHeight w:val="18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(23,087)</w:t>
            </w:r>
          </w:p>
        </w:tc>
        <w:tc>
          <w:tcPr>
            <w:tcW w:w="80" w:type="dxa"/>
            <w:vAlign w:val="bottom"/>
          </w:tcPr>
          <w:p>
            <w:pPr>
              <w:spacing w:after="0"/>
              <w:rPr>
                <w:sz w:val="17"/>
                <w:szCs w:val="17"/>
                <w:color w:val="auto"/>
              </w:rPr>
            </w:pPr>
          </w:p>
        </w:tc>
        <w:tc>
          <w:tcPr>
            <w:tcW w:w="112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(54,819)</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debt discount and issuance costs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right-of-use asset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812</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on disposal of fixed and intangible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6,453</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Issuance of common stock for consulting services</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Prepaids and other current assets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Insurance receivable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2,644</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interest</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Contract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(1,098)</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Litigation settlement contingency</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(10,874)</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(45,987)</w:t>
            </w:r>
          </w:p>
        </w:tc>
      </w:tr>
      <w:tr>
        <w:trPr>
          <w:trHeight w:val="125"/>
        </w:trPr>
        <w:tc>
          <w:tcPr>
            <w:tcW w:w="7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205"/>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7"/>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Purchases of property, machinery and equipment</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sale of property, machinery and equipment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25"/>
        </w:trPr>
        <w:tc>
          <w:tcPr>
            <w:tcW w:w="7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205"/>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7"/>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employee stock purchase plan</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Repurchase of Section 16 Officer shares for tax coverage exchange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Principal payments on loan payable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(9,592)</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 of deferred offering costs</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 for repurchase of common shares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issuance of common stock and related warrants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for issuance costs related to common stock and related warrants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(1,137)</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(1,135)</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9,586</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(5,905)</w:t>
            </w:r>
          </w:p>
        </w:tc>
      </w:tr>
      <w:tr>
        <w:trPr>
          <w:trHeight w:val="125"/>
        </w:trPr>
        <w:tc>
          <w:tcPr>
            <w:tcW w:w="7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Decrease in cash, cash equivalents and restricted cash</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(51,899)</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2,492</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62,413</w:t>
            </w:r>
          </w:p>
        </w:tc>
      </w:tr>
      <w:tr>
        <w:trPr>
          <w:trHeight w:val="196"/>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1,298</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10,514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10"/>
        </w:trPr>
        <w:tc>
          <w:tcPr>
            <w:tcW w:w="78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r>
      <w:tr>
        <w:trPr>
          <w:trHeight w:val="205"/>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7"/>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Purchases of intangible assets in accounts payable and accrued expenses at period end</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3"/>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Issuance costs related to warrant modification</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w:t>
            </w:r>
          </w:p>
        </w:tc>
        <w:tc>
          <w:tcPr>
            <w:tcW w:w="80" w:type="dxa"/>
            <w:vAlign w:val="bottom"/>
          </w:tcPr>
          <w:p>
            <w:pPr>
              <w:spacing w:after="0"/>
              <w:rPr>
                <w:sz w:val="17"/>
                <w:szCs w:val="17"/>
                <w:color w:val="auto"/>
              </w:rPr>
            </w:pPr>
          </w:p>
        </w:tc>
        <w:tc>
          <w:tcPr>
            <w:tcW w:w="112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w:t>
            </w: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Issuance costs related to Placement Agent Warrants</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42"/>
        </w:trPr>
        <w:tc>
          <w:tcPr>
            <w:tcW w:w="7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1"/>
        </w:trPr>
        <w:tc>
          <w:tcPr>
            <w:tcW w:w="78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paid for interest</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112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w:t>
            </w: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interim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Inc. (together with its consolidated subsidiaries “Momentus” or the “Company”) is a U.S. commercial space company that offers satellites, satellite buses, satellite technologies, and 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The Company has produced its next Orbital Service Vehicle, Vigoride 7, that it intends to utilize on a future mission or for use as a satellite bus.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Vigoride Orbital Service Vehicle,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completed work in support of its Small Business Innovation Research contract from the Space Development Agency that was signed in August 2023. This project's scope involved making tailored modifications to the system underlying the M-1000 satellite bus and Vigoride OSV to support a full range of U.S. Department of Defense (DoD) payloads. Some of these areas include adding a secure payload interface, optical communications terminals, a high-volume data recorder, and improving the modularity of the propulsion system.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under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SRAC and its two wholly-owned subsidiaries. The Company received gross proceeds of $247.3 million upon the closing of the Business Combination. Public and private warrants of SRAC were assumed by the Company as a result of the Business Combination.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have been prepared assuming that the Company will continue as a going concern. The going concern basis of presentation assumes that the Company will continue in operation one year after the date these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development of its proprietary technology, and as a result, it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 of $23.1 million for the nine months ended September 30, 2024, and accumulated deficit of $396.1 million as of September 30, 2024. Additionally, the Company used net cash of $10.9 million to fund its operating activities for the nine months ended September 30, 2024, and had cash and cash equivalents of $0.8 million as of September 30, 2024.</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Pursuant to the requirements of ASC Sub-Topic 205-40, </w:t>
      </w:r>
      <w:r>
        <w:rPr>
          <w:rFonts w:ascii="Times New Roman" w:cs="Times New Roman" w:eastAsia="Times New Roman" w:hAnsi="Times New Roman"/>
          <w:sz w:val="17"/>
          <w:szCs w:val="17"/>
          <w:i w:val="1"/>
          <w:iCs w:val="1"/>
          <w:color w:val="auto"/>
        </w:rPr>
        <w:t>Disclosure of Uncertainties about an Entity’s Ability to Continue as a Going Concern</w:t>
      </w:r>
      <w:r>
        <w:rPr>
          <w:rFonts w:ascii="Times New Roman" w:cs="Times New Roman" w:eastAsia="Times New Roman" w:hAnsi="Times New Roman"/>
          <w:sz w:val="17"/>
          <w:szCs w:val="17"/>
          <w:color w:val="auto"/>
        </w:rPr>
        <w:t>, management must evaluate whether there are conditions or events, considered in the aggregate, that raise substantial doubt about the Company’s ability to continue as a going concern for one year from the date these consolidated interim financial statements are issued. This evaluation does not take into consideration the potential mitigating effect of management’s plans that have not been fully implemented or are not within control of the Company as of the date the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interim financial statements are issued, and (2) it is probable that the plans, when implemented, will mitigate the relevant conditions or events that raise substantial doubt about the Company’s ability to continue as a going concern within one year after the date that the consolidated interim financial statements are issued.</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the consolidated interim financial statements for the nine months ended September 30, 2024, management conducted an evaluation and concluded that there were conditions and events, considered in the aggregate, which raised substantial doubt as to the Company’s ability to continue as a going concern within twelve months after the date of the issuance of such consolidated interim financial statements. The Company believes that its current level of cash and cash equivalents are not sufficient to fund its regular operations, scaling of commercial production, and maintain its existing services and products. These conditions raise substantial doubt regarding its ability to continue as a going concern for a period of at least one year from the date of issuance of these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all opportunities to access additional capital through any available means.</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have been prepared on a going concern basis of accounting. The accompanying consolidated interim financial statements do not reflect any adjustments that might result if the Company is unable to continue as a going concern.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preferred stock were not affected by the reverse stock split.</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Class A common stock into which the options, warrants and other convertible securities are exercisable or convertible by 50 and multiplying the exercise or conversion price thereof by 50,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stock split. See Note 9 for additional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Interim Financial Information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have been prepared in accordance with accounting principles generally accepted in the United States of America (“GAAP”) and pursuant to the rules and regulations of the SEC. Certain information and footnote disclosures normally included in financial statements prepared in accordance with GAAP have been condensed or omitted pursuant to such rules and regulations. The consolidated balance sheet as of December 31, 2023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unaudited interim consolidated financial statements have been prepared on the same basis as the audited consolidated financial statements. The accompanying interim consolidated financial statements contain all adjustments that are necessary to present fairly the Company’s financial position as of September 30, 2024 and December 31, 2023, the results of operations for the three and nine months ended September 30, 2024 and 2023, the statement of stockholders’ equity for the three and nine months ended September 30, 2024 and 2023, and cash flows for the nine months ended September 30, 2024 and 2023. Such adjustments are of a normal and recurring nature. The results for the three and nine months ended September 30, 2024 are not necessarily indicative of the results for the year ending December 31, 2024, or for any future period. These interim consolidated financial statements should be read in conjunction with the audited financial statements as of and for the years ended December 31, 2023 and 2022, filed with the SEC in our Annual Report on Form 10-K filed by the Company on June 6, 2024 and Form 10-K/A filed on September 16,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consolidated interim financial statements include the accounts of the Company and its subsidiaries. All intercompany transactions and balances have been eliminated upon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preparation of consolidated interim financial statements in conformity with GAAP requires management to make estimates and assumptions that affect the reported amounts in the consolidated interim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consolidated interim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 Status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Act and has elected to take advantage of the benefits of the extended transition period for new or revised financial accounting standards. The Company will remain an emerging growth company until the earliest of (i) the last day of the fiscal year in which the market value of Class A common stock that is held by non-affiliates exceeds $700 million as of the end of that year’s second fiscal quarter, (ii) the last day of the fiscal year in which the Company after the consummation of the Business Combination has total annual gross revenue of $1.2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places its cash in the bank, which may at times be in excess of the Federal Deposit Insurance Corporation insurance limits of $250,000 per depositor, with high credit quality financial institutions and attempts to limit the amount of credit exposure with any one institution.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Restricted cash primarily represents deposited cash that is restricted by financial institutions. As of September 30, 2024 and December 31, 2023, the Company maintained accrued restricted cash of $0.5 million and restricted cash of $0.4 million, respectively, primarily as collateral for a letter of credit issued to the Company’s landlord in accordance with the terms of a lease agreement entered into in December 2020, which is classified as a non-current asset as it will be returned to the Company at the end of the lease which is expected to occur beyond one year from September 30, 2024. In the event of default, the landlord can take over the restricted cash from the restricted cash bank account.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cost of sales and research and development expense upon the release of our payload. The allocation is determined based on the distribution between customer and our payload weight on each launch.</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September 30, 2024, and December 31, 2023, the Company had deferred fulfillment and prepaid launch costs of $1.0 million and $1.7 million, respectively, with $0 and $1.3 million recorded within prepaids and other current assets, respectively, and $1.0 million and $0.4 million recorded within other non-current asset, respectively, in our condensed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Machinery and Equipment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Fixed Assets</w:t>
            </w:r>
          </w:p>
        </w:tc>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years</w:t>
            </w:r>
          </w:p>
        </w:tc>
      </w:tr>
      <w:tr>
        <w:trPr>
          <w:trHeight w:val="23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Five years</w:t>
            </w:r>
          </w:p>
        </w:tc>
      </w:tr>
      <w:tr>
        <w:trPr>
          <w:trHeight w:val="25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 (one year to seven years)</w:t>
            </w:r>
          </w:p>
        </w:tc>
      </w:tr>
      <w:tr>
        <w:trPr>
          <w:trHeight w:val="23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 years</w:t>
            </w:r>
          </w:p>
        </w:tc>
      </w:tr>
      <w:tr>
        <w:trPr>
          <w:trHeight w:val="851"/>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6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13</w:t>
            </w:r>
          </w:p>
        </w:tc>
      </w:tr>
      <w:tr>
        <w:trPr>
          <w:trHeight w:val="108"/>
        </w:trPr>
        <w:tc>
          <w:tcPr>
            <w:tcW w:w="2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of maintenance or repairs that do not extend the lives of the respective assets are charged to expenses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Sub-Topic 350-40,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 estimates loss contingencies in accordance with ASC Sub-Topic 450-20, </w:t>
      </w: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xml:space="preserve"> (“ASC 450-20”), which states that a loss contingency shall be accrued by a charge to income if both of the following conditions are met: (i) information available before the consolidated interim financial statements are issued or are available to be issued indicates that it is probable that a liability had been incurred at the date of the consolidated interim financial statements and</w:t>
      </w:r>
    </w:p>
    <w:p>
      <w:pPr>
        <w:spacing w:after="0" w:line="2" w:lineRule="exact"/>
        <w:rPr>
          <w:sz w:val="20"/>
          <w:szCs w:val="20"/>
          <w:color w:val="auto"/>
        </w:rPr>
      </w:pPr>
    </w:p>
    <w:p>
      <w:pPr>
        <w:ind w:firstLine="3"/>
        <w:spacing w:after="0" w:line="266" w:lineRule="auto"/>
        <w:tabs>
          <w:tab w:leader="none" w:pos="27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loss can be reasonably estimated. We regularly evaluate current information available to us to determine whether such accruals should be adjusted and whether new accruals are required. Refer to Note 12 for additional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 The Company also enters into contracts to perform analysis and provide engineering services to U.S. Government organizations.</w:t>
      </w:r>
    </w:p>
    <w:p>
      <w:pPr>
        <w:spacing w:after="0" w:line="11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Topic 606”), which includes the following five-step model:</w:t>
      </w:r>
    </w:p>
    <w:p>
      <w:pPr>
        <w:spacing w:after="0" w:line="83"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three and nine months ended September 30, 2024 the Company recorded $0.1 million and $1.8 million, respectively, of revenue from U.S. Government. The Company generated no revenue from the U.S. Government, during the three and nine months ended September 30, 2023.</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As part of its contracts with customers, the Company collects up-front non-refundable deposits prior to launch. As of September 30, 2024 and December 31, 2023, the Company had customer deposit balances of $1.6 million and $1.0 million, respectively, related to signed contracts with customers, including firm orders and options (some of which have already been exercised by customers). These deposits are recorded as contract liabilities in the Company’s condensed consolidated balance sheets. Included in the collected amount as of September 30, 2024 and December 31, 2023, are $1.1 million and $1.0 million, respectively, of non-current deposits.</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During the nine months ended September 30, 2024, the Company recognized $1.8 million of revenue, due to engineering services performed on Space Development Agency agreement, and forfeited customer deposits primarily related to expired options. Of the $1.8 million of revenue recognized, $35 thousand was derived from December 31, 2023 contract liability balance. During the nine months ended September 30, 2023, the Company recognized $2.1 million of revenue, due to transportation services performed in Vigoride 5 and Vigoride 6 spaceship launches, on-going hosting services in Vigoride 5, and forfeited customer deposits primarily related to expired options.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disaggregation of revenue by type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2940" w:type="dxa"/>
            <w:vAlign w:val="bottom"/>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60" w:type="dxa"/>
            <w:vAlign w:val="bottom"/>
          </w:tcPr>
          <w:p>
            <w:pPr>
              <w:spacing w:after="0"/>
              <w:rPr>
                <w:sz w:val="17"/>
                <w:szCs w:val="17"/>
                <w:color w:val="auto"/>
              </w:rPr>
            </w:pPr>
          </w:p>
        </w:tc>
      </w:tr>
      <w:tr>
        <w:trPr>
          <w:trHeight w:val="227"/>
        </w:trPr>
        <w:tc>
          <w:tcPr>
            <w:tcW w:w="4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19"/>
                <w:szCs w:val="19"/>
                <w:color w:val="auto"/>
              </w:rPr>
            </w:pPr>
          </w:p>
        </w:tc>
      </w:tr>
      <w:tr>
        <w:trPr>
          <w:trHeight w:val="21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Transportation services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Hosted payload services</w:t>
            </w:r>
          </w:p>
        </w:tc>
        <w:tc>
          <w:tcPr>
            <w:tcW w:w="1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customer deposits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Engineering project services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10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88" w:lineRule="exact"/>
        <w:rPr>
          <w:sz w:val="20"/>
          <w:szCs w:val="20"/>
          <w:color w:val="auto"/>
        </w:rPr>
      </w:pPr>
    </w:p>
    <w:p>
      <w:pPr>
        <w:ind w:left="460" w:hanging="147"/>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52"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 and</w:t>
      </w:r>
    </w:p>
    <w:p>
      <w:pPr>
        <w:spacing w:after="0" w:line="152" w:lineRule="exact"/>
        <w:rPr>
          <w:rFonts w:ascii="Times New Roman" w:cs="Times New Roman" w:eastAsia="Times New Roman" w:hAnsi="Times New Roman"/>
          <w:sz w:val="17"/>
          <w:szCs w:val="17"/>
          <w:color w:val="auto"/>
        </w:rPr>
      </w:pPr>
    </w:p>
    <w:p>
      <w:pPr>
        <w:ind w:left="460" w:hanging="147"/>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in which there is little or no market data, which requires that the Company develop its own assumptions.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and nine months ended September 30, 2024.</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Certain of the Company’s warrants are recorded as a derivative liability pursuant to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Topic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price of Company’s Class A common stock on the Closing, as the expected term and volatility were immaterial to the pricing model.</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stock repurchase agreements with the Co-Founders (see Note 12 for additional information) are recorded as contingent liabilities pursuant to ASC Topic 480, measured at fair value. The stock repurchase 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three and nine months ended September 30, 2024 and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The change in fair values of liabilities subject to recurring remeasurement were as follows:</w:t>
            </w:r>
          </w:p>
        </w:tc>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9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Warrant Liability (Level</w:t>
            </w:r>
          </w:p>
        </w:tc>
        <w:tc>
          <w:tcPr>
            <w:tcW w:w="0" w:type="dxa"/>
            <w:vAlign w:val="bottom"/>
          </w:tcPr>
          <w:p>
            <w:pPr>
              <w:spacing w:after="0"/>
              <w:rPr>
                <w:sz w:val="1"/>
                <w:szCs w:val="1"/>
                <w:color w:val="auto"/>
              </w:rPr>
            </w:pPr>
          </w:p>
        </w:tc>
      </w:tr>
      <w:tr>
        <w:trPr>
          <w:trHeight w:val="232"/>
        </w:trPr>
        <w:tc>
          <w:tcPr>
            <w:tcW w:w="924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3)</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9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Change in Fair Value</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September 30, 2024</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assumptions for the Black-Scholes model used to determine the fair value of warrants outstanding as of each period end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19"/>
                <w:szCs w:val="19"/>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7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2"/>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177.23 %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113.50 %</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4.05 %</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private warrants and stock purchase warrants are recorded as derivative liabilities pursuant to ASC Topic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Business Combination, SRAC issued 225,450 private placement warrants (“Private Warrants”) and 172,500 public warrants (“Public Warrants” and, collectively with the Private Warrants, the “Public and Private Warrants”). Each whole warrant entitles the holder to purchase one share of the Company’s Class A common stock at a price of $575.00 per share, subject to adjustments and will expire five years after the Business Combination or earlier upon redemption or liquidation.</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Classified Warrants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Business Combination, the Company has issued warrants in conjunction with various securities purchase agreements (See Note 9 for additional information). The warrants are freestanding equity-linked instruments that meet the indexation and equity classification criteria of ASC Sub-Topic 815-40.</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these warrants is recorded in additional paid-in capital on the condensed consolidated balance sheets. The fair value of the warrants are measured using the Black-Scholes option-pricing model on the grant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Equity Classified Warrants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Loss Per Share</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nine months ended September 30, 2024, there were no impairments of long-lived assets. See Note 4 and Note 5 for additional information. There were no impairments of long-lived assets in nine months ended September 30,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stock incentive plan under which equity awards are granted to employees, directors, and consultants. All stock-based payments are recognized in the consolidated interim financial statements based on their respective grant date fair values.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401(k) plan that it offers to its full-time employees. The Company did not contribute to the plan during the nine months ended September 30,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Operating leases are included in the accompanying condensed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 Note 6 for additional details on the Company’s leases.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(“ASC Topic 480”), we are not organized around specific services or geographic regions.</w:t>
      </w:r>
    </w:p>
    <w:p>
      <w:pPr>
        <w:spacing w:after="0" w:line="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The company recognized $1.8 million of revenue during the nine months ended September 30, 2024, of which 98.1% was derived domestically and 1.9%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November 2024, the FASB issued Accounting Standards Update (“ASU”) No. 2024-06, </w:t>
      </w:r>
      <w:r>
        <w:rPr>
          <w:rFonts w:ascii="Times New Roman" w:cs="Times New Roman" w:eastAsia="Times New Roman" w:hAnsi="Times New Roman"/>
          <w:sz w:val="17"/>
          <w:szCs w:val="17"/>
          <w:i w:val="1"/>
          <w:iCs w:val="1"/>
          <w:color w:val="auto"/>
        </w:rPr>
        <w:t>Disaggregation of Income Statement Expenses (DISE)</w:t>
      </w:r>
      <w:r>
        <w:rPr>
          <w:rFonts w:ascii="Times New Roman" w:cs="Times New Roman" w:eastAsia="Times New Roman" w:hAnsi="Times New Roman"/>
          <w:sz w:val="17"/>
          <w:szCs w:val="17"/>
          <w:color w:val="auto"/>
        </w:rPr>
        <w:t>, (“ASU 2024-06”) that requires disclosures about specific types of expenses included in the expense captions presented on the face of the income statement as well as disclosures about selling expenses. Public entities must adopt the new guidance for fiscal years beginning after December 15, 2026, and interim reporting periods beginning after December 15, 2027. The amendments in ASU 2024-06 will be applied prospectively with the option for retrospective application and early adoption is permitted. The Company is in the process of evaluating the potential impact of ASU 2024-06 will have on its consolidated interim financial statements and related disclosures.</w:t>
      </w:r>
    </w:p>
    <w:p>
      <w:pPr>
        <w:spacing w:after="0" w:line="3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July 2023, the FASB issued ASU No. 2023-03, Presentation of Financial Statements (Topic 205), Income Statement—Reporting Comprehensive Income (Topic 220), Distinguishing Liabilities from Equity (Topic 480), Equity (Topic 505), and Compensation—Stock Compensation (Topic 718) (“ASU 2023-03”). This update requires (1) disclosure and presentation of income or loss related to common stock transactions on the face of the income statement, (2) modification of the existing classification and measurement of redeemable preferred shares and redeemable equity-classified shares, and (3) modification of accounting treatment for stock-based compensation. The FASB has not set an effective date on ASU 2023-03 and adoption is permitted. The Company is currently evaluating the impact of the provisions of ASU 2024-06 on its consolidated interim financial statement disclosures.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October 2023, the FASB issued ASU No. 2023-06, Disclosure Improvements: Codification Amendments in Response to the SEC’s Disclosure Update and Simplification Initiative (“ASU 2023-06”). The amendments in this ASU are expected to clarify or improve disclosure and presentation requirements of a variety of ASC topics by aligning them with the SEC’s regulations. ASU 2023-06 will become effective for each amendment on the effective date of the SEC's corresponding disclosure rule changes. The Company is currently evaluating the impact ASU 2023-06 will have on its results of operations, financial position, or cash flows.</w:t>
      </w:r>
    </w:p>
    <w:p>
      <w:pPr>
        <w:spacing w:after="0" w:line="3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(“ASU 2023-07”) to update reportable segment disclosure requirements, primarily through enhanced disclosures about significant segment expenses and information used to assess segment performance. ASU 2023-07 requires disclosure of significant segment expenses that are regularly provided to the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The disclosures required under ASU 2023-07 are also required for public entities with a single reportable segment. ASU 2023-07 is effective for the fiscal years beginning after December 15, 2023, and for interim periods within those fiscal years beginning after December 15, 2024, with early adoption permitted. The Company does not expect the adoption of ASU 2023-07 to have a material impact on its financial position or results of operations.</w:t>
      </w: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must be applied on a retrospective basis to all prior periods presented in the financial statements and early adoption is permitted. The Company is in the process of evaluating the potential impact ASU 2023-09 will have on its results of operations, financial position, or cash flows.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21, 2024, the FASB issued ASU 2024-01 which clarifies how an entity determines whether a profits interest or similar award are within the scope of ASC Topic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or not a share-based payment arrangement and therefore within the scope of other guidance. The Company is still in the process of evaluating this standard. The amendments of ASU 2024-01 are effective for annual periods beginning after December 15, 2024, and interim periods within those annual periods. For all other entities, the amendments are effective for annual periods beginning after December 15, 2025, and interim periods within those annual periods.</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March 29, 2024, the FASB issued ASU 2024-02 which removes references to the Board’s concepts statements from the FASB Accounting Standards Codification. The ASU is part of the Board’s standing project to make “Codification updates for technical corrections such as conforming amendments, clarifications to guidance,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simplifications to wording or the structure of guidance, and other minor improvements.” ASU 2024-02 is not expected to have a material impact on the Company.</w:t>
      </w:r>
    </w:p>
    <w:p>
      <w:pPr>
        <w:sectPr>
          <w:pgSz w:w="11900" w:h="16838" w:orient="portrait"/>
          <w:cols w:equalWidth="0" w:num="1">
            <w:col w:w="11240"/>
          </w:cols>
          <w:pgMar w:left="320" w:top="123" w:right="33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Prepaids and Other Current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Prepaids and other current assets consisted of the following:</w:t>
      </w: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147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launch costs, current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insurance and other assets</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7"/>
                <w:szCs w:val="17"/>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w:t>
            </w:r>
          </w:p>
        </w:tc>
      </w:tr>
      <w:tr>
        <w:trPr>
          <w:trHeight w:val="223"/>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4,838</w:t>
            </w:r>
          </w:p>
        </w:tc>
      </w:tr>
      <w:tr>
        <w:trPr>
          <w:trHeight w:val="212"/>
        </w:trPr>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2">
            <w:col w:w="7080" w:space="720"/>
            <w:col w:w="3440"/>
          </w:cols>
          <w:pgMar w:left="320" w:top="123" w:right="339" w:bottom="1440" w:gutter="0" w:footer="0" w:header="0"/>
          <w:type w:val="continuous"/>
        </w:sect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of September 30, 2024 and December 31, 2023, the non-current portion of prepaid launch costs recorded in other non-current assets was approximately $1.0 million and $0.4 million,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Property, Machinery and Equipment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Property, machinery and equipment,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gross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Depreciation expense related to property, machinery and equipment was $0.2 million and $0.6 million for the three and nine months ended September 30, 2024, respectively and $0.2 million and $0.6 million for the three and nine months ended September 30, 2023. Depreciation expense is recorded within operating expenses. During three months ended September 30, 2024, the Company sold machinery and equipment with an original cost of $0.6 million and net book value of $0.3 million and received $0.1 million in proceed from said sale.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September 30,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5"/>
                <w:szCs w:val="15"/>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5"/>
                <w:szCs w:val="15"/>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5. Intangible Assets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Amortization expense related to intangible assets was $13 thousand and $42 thousand for the three and nine months ended September 30, 2024, respectively, and $13 thousand and $40 thousand for the three and nine months ended September 30, 2023,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As of September 30, 2024, the future estimated amortization expense related to intangible assets is as follows: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86"/>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7"/>
        </w:trPr>
        <w:tc>
          <w:tcPr>
            <w:tcW w:w="9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office space under non-cancellable operating leases. In January 2021, the Company commenced a lease in San Jose, California. The lease expires in February 2028. The Company is obligated to pay approximately $10.5 million over the term of the lease.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60" w:type="dxa"/>
            <w:vAlign w:val="bottom"/>
          </w:tcPr>
          <w:p>
            <w:pPr>
              <w:spacing w:after="0"/>
              <w:rPr>
                <w:sz w:val="17"/>
                <w:szCs w:val="17"/>
                <w:color w:val="auto"/>
              </w:rPr>
            </w:pPr>
          </w:p>
        </w:tc>
        <w:tc>
          <w:tcPr>
            <w:tcW w:w="2780" w:type="dxa"/>
            <w:vAlign w:val="bottom"/>
            <w:gridSpan w:val="4"/>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expense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4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Variable lease expense consists of the Company’s proportionate share of operating expenses, property taxes, and insurance.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5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As of September 30, 2024, the weighted-average remaining lease term was 3.4 years and the weighted-average discount rate was 5.6%.</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As of September 30, 2024, the maturities of the Company’s operating lease liabilities were as follows:</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5,722</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Accrued Liabilities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Legal and other professional services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Compensation expense</w:t>
      </w:r>
    </w:p>
    <w:p>
      <w:pPr>
        <w:spacing w:after="0" w:line="28" w:lineRule="exact"/>
        <w:rPr>
          <w:sz w:val="20"/>
          <w:szCs w:val="20"/>
          <w:color w:val="auto"/>
        </w:rPr>
      </w:pPr>
    </w:p>
    <w:p>
      <w:pPr>
        <w:ind w:left="20" w:right="660"/>
        <w:spacing w:after="0" w:line="269" w:lineRule="auto"/>
        <w:rPr>
          <w:sz w:val="20"/>
          <w:szCs w:val="20"/>
          <w:color w:val="auto"/>
        </w:rPr>
      </w:pPr>
      <w:r>
        <w:rPr>
          <w:rFonts w:ascii="Times New Roman" w:cs="Times New Roman" w:eastAsia="Times New Roman" w:hAnsi="Times New Roman"/>
          <w:sz w:val="17"/>
          <w:szCs w:val="17"/>
          <w:color w:val="auto"/>
        </w:rPr>
        <w:t>Research and development projects Other accrued liabilities</w:t>
      </w:r>
    </w:p>
    <w:p>
      <w:pPr>
        <w:ind w:left="2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7"/>
          <w:szCs w:val="17"/>
          <w:b w:val="1"/>
          <w:bCs w:val="1"/>
          <w:color w:val="auto"/>
        </w:rPr>
        <w:t>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22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7"/>
                <w:szCs w:val="17"/>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3,811</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r>
      <w:tr>
        <w:trPr>
          <w:trHeight w:val="223"/>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12"/>
        </w:trPr>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-744220</wp:posOffset>
            </wp:positionV>
            <wp:extent cx="7138670" cy="147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-457835</wp:posOffset>
            </wp:positionV>
            <wp:extent cx="7138670"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-179705</wp:posOffset>
            </wp:positionV>
            <wp:extent cx="7138670" cy="163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200"/>
            <w:col w:w="7920"/>
          </w:cols>
          <w:pgMar w:left="320" w:top="123" w:right="339" w:bottom="144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Loan Payable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22, 2021, the Company entered into a Term Loan and Security Agreement (the “Term Loan”) which provided the Company with up to $40.0 million in borrowing capacity at an annual interest rate of 12%. The company borrowed $25.0 million of the Term Loan at inception of the agreement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result of the exercised extended repayment schedule, the unamortized discount and issuance costs were recast over the updated term of the loan and resulted in a recalculated effective interest rate of 28.2%. Interest expense amortization was zero and $45.7 thousand for the three and nine months ended September 30, 2024, respectively, and $0.3 million and $1.2 million for the three and nine months ended September 30,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February, 2024, the Company repaid the remaining principal balance of the Term Loan.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Promissory Note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12, 2024, the Company and Space Infrastructure Ventures (“SIV”) entered into a secured convertible promissory note (the “July Convertible Note”) pursuant to which the Company borrowed $2.3 million as of September 26, 2024. The July Convertible Note bears an annual interest rate of 15%. Principal on the July Convertible Note is to be re-paid in four equal payments on a quarterly basis, commencing on December 1, 2024, and maturing on September 1, 2025, at which time all accrued interest is due.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July Convertible Note are secured by a lien on substantially all of the assets of the Company. In lieu of cash payments of accrued interest, SIV, in its sole discretion, may elect to receive shares of Class A common stock at a conversion price of $0.53 per share. On the maturity date, subject to the satisfaction of applicable legal and regulatory conditions, all outstanding obligations under the Convertible Note automatically convert into Class A common stock at the conversion price.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July Convertible Note requires SIV’s consent to take certain actions, such as increasing compensation, purchasing assets, extending financing, making capital expenditures, repaying debts outside the ordinary course of business or investing in any entity or enterprise.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July Convertible Note can be prepaid in full at any time, subject to a prepayment penalty fee of 10%. The July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 Contingent interest related these events of default was an embedded derivative that required bifurcation and recognition as a derivative liability (“Default Interest Derivative”). The Default Interest Derivative instrument is recorded at fair value and marked-to-market each reporting period with changes in fair value being reflected in earnings. As of both the issuance date and September 30, 2024, the Default Interest Derivative was valued at zero. During the three months ended September 30, 2024, there were no mark-to-market adjustments recorded through earnings.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 (Deficit)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 effectuate the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terms of the Second Amended and Restated Certificate of Incorporation, as amended, the Company is authorized and has available a total of 274,312,500 shares of stock, consisting of (i) 250,000,000 shares of Class A common stock, par value $0.00001 per share, (ii) 4,312,500 shares of Class B common stock, par value $0.00001 per share, and (iii) 20,000,000 shares of preferred stock, par value $0.00001 per share.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2024 Securities Purchase Agreement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15, 2024, the Company entered into a Securities Purchase Agreement with an investor, pursuant to which the Company issued and sold to an investor in a private placement transaction (the “September Offering”), (i) pre-funded warrants (the “September Pre-Funded Warrants”) to purchase 5,000,000 shares of the Company’s Class A common stock at a purchase price of $0.55 per share, (ii) Class A warrants to purchase 10,000,000 shares of Class A common stock (the “Class A Warrants”), and (iii) Class B warrants to purchase 5,000,000 shares of Class A common stock (the “Class B Warrants” and, collectively with the Class A Warrants, the “September Warrants”).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September Pre-Funded Warrants have an exercise price of $0.00001 per share and are exercisable any time after issuance, and will not expire until exercised. The September Warrants have an exercise price per share of Class A common stock equal to $0.575 per share. The Class A Warrants will expire on March 17, 2030, and the Class B Warrants will expire on March 17, 2026. The exercise price and the number of shares of Class A common stock issuable upon exercise of the September Warrants is subject to appropriate adjustments in the event of certain stock dividends and distributions, stock splits, stock combinations, reclassifications or similar events affecting the Class A common stock. The investor may not exercise the September Warrants until 6 months after the original issuance date of the September Warrants. The September Offering closed on September 17, 2024.</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Offering of approximately $2.8 million, before deducting estimated placement agent commissions and expenses of $0.3 million. Net proceeds of $2.4 million from the September Offering was recorded to additional paid-in-capital. Both the September Pre-Funded Warrants and the September Warrants meet the requirements for equity classification.</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connection with the September Offering, the Company entered into a Placement Agency Agreement on September 15, 2024, with the agency which assisted with the transaction. The Company paid a cash placement agent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commission equal to 7.0% of gross proceeds from the September Offering and issued warrants (the “Placement Agent Warrants”) to purchase 500,000 shares of Class A common stock at an exercise price of $0.6325, exercisable commencing on or after March 14, 2025. One half of the Placement Agent Warrants have a term of 18 months from the date of issuance and the other half have a term of five years from the date of issuance. The $0.1 million fair value of the Placement Agent Warrants was accounted for as an additional equity issuance cost for the September Offering, which was recorded to additional paid-in-capital.</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September Pre-Funded Warrants based on the fair value of the Company’s Class A common stock from the issuance date, less the $0.00001 exercise price. The Company estimated the fair value of the September Warrants and the Placement Agent using the Black-Scholes valuation model. The significant inputs into the Black-Scholes valuation model at the initial recognition date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0" w:type="dxa"/>
            <w:vAlign w:val="bottom"/>
          </w:tcPr>
          <w:p>
            <w:pPr>
              <w:spacing w:after="0"/>
              <w:rPr>
                <w:sz w:val="19"/>
                <w:szCs w:val="19"/>
                <w:color w:val="auto"/>
              </w:rPr>
            </w:pPr>
          </w:p>
        </w:tc>
        <w:tc>
          <w:tcPr>
            <w:tcW w:w="384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Class A Warrants</w:t>
            </w:r>
          </w:p>
        </w:tc>
        <w:tc>
          <w:tcPr>
            <w:tcW w:w="19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Class B Warrants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Placement Agent Warrants</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3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9"/>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38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97.50 %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3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3.46 %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issued 5,000,000 shares of Class A common stock as a result of the exercise of the September Pre-Funded Warrants.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4, 2024, the Company entered into a Securities Purchase Agreement, with an investor, pursuant to which the Company issued and sold to the investor in a registered direct offering (the “March Offering”), (i) an aggregate of 1,320,000 shares of the Company’s Class A common stock at a purchase price of $0.87 per share, and (ii) pre-funded warrants (the “March Pre-Funded Warrants”) to purchase 3,304,280 shares of the Company’s Class A common stock and (iii) warrants to purchase 4,624,280 shares of Class A Stock (the “March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March Pre-Funded Warrant was equal to the price per share of Class A common stock being sold in the March Offering minus $0.00001. The March Pre-Funded Warrants have an exercise price of $0.00001 per share and are exercisable any time after the issuance, and will not expire until exercised. The March Warrants have an exercise price per share of Class A common stock equal to $0.74 per share and will expire five years from the date of issuance. The March Offering closed on March 7,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March Offering of approximately $4.0 million, before deducting estimated issuance costs of $0.5 million. Net proceeds of $3.5 million from the March Offering was recorded to additional paid-in-capital. Both the March Pre-Funded Warrants and the March Warrants meet the requirements for equity classification.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March Pre-Funded Warrants based on the fair value of the Company’s Class A common stock from the issuance date, less the $0.00001 exercise price. The Company estimated the fair value of the March Warrants using the Black-Scholes valuation model. The significant inputs into the Black-Scholes valuation model at the initial recognition date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95.00 %</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4.33 %</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March Offering, the Company also agreed to amend the January Warrants to purchase up to an aggregate of 3,687,000 shares of Class A common stock at an exercise price of $0.96 per share (the “January Modified Warrants”). Prior to amendment, the January Modified Warrants had a termination date of January 17,</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2029. Upon shareholder approval of the amendment, the January Modified Warrants had a reduced exercise price of $0.74 per share and a termination date of June 28, 2029.</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estimated the fair value of the January Modified Warrants immediately before and after modification using the Black-Scholes valuation model and determined an incremental increase in fair value of approximately $0.1 million. In accordance with ASC Topic 815 guidance on equity classified warrant modifications, the incremental change in fair value of the January Modified Warrants was accounted for as an additional equity issuance cost for the January Offering, which was recorded to additional paid-in-capital. The significant inputs into the Black-Scholes valuation model before and after the modification date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488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Pre Modification</w:t>
            </w:r>
          </w:p>
        </w:tc>
        <w:tc>
          <w:tcPr>
            <w:tcW w:w="19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Post Modification</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4.87</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95.00 %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95.00 %</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4.22 %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4.21 %</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March Offering, during the nine months ended September 30, 2024, the Company issued 3,304,280 shares of Class A common stock as a result of all of the March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2024, the Company entered into a Securities Purchase Agreement, with an investor, pursuant to which the Company issued and sold to the investor in a registered direct offering (the “January Offering”), (i) an aggregate of 900,000 shares of the Company’s Class A common stock at a purchase price of $1.09 per share, (ii) pre-funded warrants (the “January Pre-Funded Warrants”) to purchase 2,787,000 shares of the Company’s Class A common stock and (iii) warrants to purchase 3,687,000 shares of Class A common stock (the “January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price of each January Pre-Funded Warrant was equal to the price per share of Class A common stock being sold in the January Offering minus $0.00001. The January Pre-Funded Warrants have an exercise price of $0.00001 per share and are exercisable any time after the issuance, and will not expire until exercised. The January Warrants have an exercise price per share of Class A common stock equal to $0.96 per share and will expire five years from the date of issuance. The January Offering closed on January 17, 2024.</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January Offering of approximately $4.0 million, before deducting estimated issuance costs of $0.4 million. Net proceeds of $3.6 million from the January Offering was recorded to additional paid-in-capital. Both the January Pre-Funded Warrants and the January Warrants meet the requirements for equity classification.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January Pre-Funded Warrants based on the fair value of the Company’s Class A common stock on the issuance date, less the $0.00001 exercise price. The Company estimated the fair value of the January Warrants using the Black-Scholes valuation model. The significant inputs into the Black-Scholes valuation model at the initial recognition date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4.02 %</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January Offering, the Company also agreed, subject to certain conditions and procedures, to amend each of the warrants issued in November 2023 to purchase up to an aggregate of 5,808,538 shares of Class A common stock at an exercise price of $3.86 per share (the “November Modified Warrants”). Prior to amendment, the November Modified Warrants had a termination date of November 9, 2028. The November Modified Warrants were amended on May 9, 2024, to have a reduced exercise price of $0.54 per share and a termination date of May 9, 2029.</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November Modified Warrants immediately before and after modification using the Black-Scholes valuation model and determined an incremental increase in fair value of approximately $1.2 million. In accordance with ASC Topic 815 guidance on equity classified warrant modifications,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incremental change in fair value of the November Modified Warrants was accounted for as an additional equity issuance cost for the January Offering, which was recorded to additional paid-in-capital. The significant inputs into the Black-Scholes valuation model before and after the modification date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488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Pre Modification</w:t>
            </w:r>
          </w:p>
        </w:tc>
        <w:tc>
          <w:tcPr>
            <w:tcW w:w="192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Post Modification</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97.50 %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3.85 %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3.84 %</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January Offering, during the nine months ended September 30, 2024, the Company issued 2,787,000 shares of Class A common stock as a result of all of the January Pre-Funded Warrants being exercised and the Company received an immaterial amount of cash proceeds.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Co-Founder Divestment and Stock Repurchase Agreements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accordance with the NSA and pursuant to stock repurchase agreements entered into with the Company, the Co-Founders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result of the February Offering on February 27, 2023, the Company raised $10.0 million of gross cash proceeds through the sale of securities which, together with the $247.3 million raised in the Business Combination and other capital raising activities, triggered the $10.0 million obligation under the stock repurchase agreements. In March 2023, the Company paid the Co-Founders $10.0 million to pay off the liability.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and Private Warrants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September 30, 2024, the Company had Public and Private Warrants outstanding to purchase 172,500 shares and 225,450 shares of Class A common stock, respectively, related to the Business Combination. The warrants entitle the registered holder to purchase stock at a price of $575.00 per share, subject to adjustment, at any time commencing on August 12, 2021. The Public and Private Warrants expire on the fifth anniversary of the Business Combination, or earlier upon redemption or liquidation.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Private Warrants assumed in connection with the Business Combination are accounted for as a derivative liability. The Public Warrants and the legacy outstanding Private Warrants were recorded as equity within the condensed consolidated statements of stockholders’ equity.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Sponsor Earnout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the Business Combination, the Company modified the terms of 28,750 shares of Class A common stock held by SRAC’s sponsor (the “Sponsor Earnout Shares”), such that all such shares will be forfeited if the share price of Class A common stock does not reach a volume-weighted average closing sale price of $625.00, two thirds of such shares will be forfeited if the share price of Class A common stock does not reach a volume-weighted average closing sale price of $750.00, and one third of such shares will be forfeited if the share price of Class A common stock does not reach a volume-weighted average closing sale price of $875.00, in each case, prior to the fifth anniversary of the Business Combination. Certain events which change the number of outstanding shares of Class A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1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Stock Plans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2021, the Company adopted the 2021 Equity Incentive Plan (the “2021 Plan”), under which 119,658 shares of Class A common stock were initially reserved for issuance. The 2021 Plan allows for the issuance of incentive stock options,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of Directors. During the nine months ended September 30, 2024, the shares available for grant under the 2021 Plan increased by 248,508 and 4,502 due to the evergreen provision and forfeitures from both the Initial Plan and the 2018 Plan, respectively. As of September 30, 2024, there were 324,302 shares remaining available for grant. Grant activity under the 2021 Plan is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Closing, the Company adopted the Employee Stock Purchase Plan (the “2021 ESPP Plan”), under which 31,909 shares of Class A common stock were initially reserved for issuance. The Plan provides a means by which eligible employees of the Company may be given an opportunity to purchase shares of Class A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31,909 shares. The 2021 ESPP Plan became effective immediately following the Closing. During the nine months ended September 30, 2024, the shares available for issuance under the 2021 ESPP Plan increased by 41,418 due to the evergreen provision. During the nine months ended September 30, 2024, there were 0 shares issued under the 2021 ESPP Plan. The Company has an outstanding liability pertaining to the ESPP of $4 thousand as of September 30, 2024, included in accrued expenses, for employee contributions to the 2021 ESPP Plan, pending issuance at the end of the offering period. As of September 30, 2024, there were 83,354 shares remaining available for issuance.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Equity Plan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2022, the Company adopted the 2022 Inducement Equity Plan (the “2022 Plan”), under which 80,000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w:t>
      </w:r>
    </w:p>
    <w:p>
      <w:pPr>
        <w:spacing w:after="0" w:line="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On March 22, 2023, the Company adopted the first amendment to the 2022 Plan to increase the number of shares of Class A common stock available for issuance under the 2022 Plan from 80,000 shares of Class A common stock to 140,000 shares of Class A common stock. All other terms of the 2022 Plan remained the same.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May 8, 2023, the Company adopted the second amendment to the 2022 Plan to increase the number of shares of Class A common stock available for issuance under the 2022 Plan from 140,000 shares of Class A common stock to 160,000 shares of Class A common stock. All other terms of the 2022 Plan remained the same.</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2024, only RSU grants have been made under the 2022 Plan and there were 115,036 shares remaining available for issuance. Grant activity under the 2022 Plan is described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Activity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options activity, under the 2018 Plan and the 2021 Plans, for the nine months ended September 30,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75"/>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share-based data)</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Total 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94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7"/>
                <w:szCs w:val="17"/>
                <w:b w:val="1"/>
                <w:bCs w:val="1"/>
                <w:color w:val="auto"/>
              </w:rPr>
              <w:t>Remaining Contractual</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8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Term (In Years)</w:t>
            </w:r>
          </w:p>
        </w:tc>
        <w:tc>
          <w:tcPr>
            <w:tcW w:w="120" w:type="dxa"/>
            <w:vAlign w:val="bottom"/>
          </w:tcPr>
          <w:p>
            <w:pPr>
              <w:spacing w:after="0"/>
              <w:rPr>
                <w:sz w:val="19"/>
                <w:szCs w:val="19"/>
                <w:color w:val="auto"/>
              </w:rPr>
            </w:pP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6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23,912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Forfeitures</w:t>
            </w:r>
          </w:p>
        </w:tc>
        <w:tc>
          <w:tcPr>
            <w:tcW w:w="16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(4,502)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2024</w:t>
            </w:r>
          </w:p>
        </w:tc>
        <w:tc>
          <w:tcPr>
            <w:tcW w:w="16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19,410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Exercisable as of September 30, 2024</w:t>
            </w:r>
          </w:p>
        </w:tc>
        <w:tc>
          <w:tcPr>
            <w:tcW w:w="1680" w:type="dxa"/>
            <w:vAlign w:val="bottom"/>
            <w:tcBorders>
              <w:bottom w:val="single" w:sz="8" w:color="auto"/>
            </w:tcBorders>
          </w:tcPr>
          <w:p>
            <w:pPr>
              <w:ind w:left="1140"/>
              <w:spacing w:after="0" w:line="191" w:lineRule="exact"/>
              <w:rPr>
                <w:sz w:val="20"/>
                <w:szCs w:val="20"/>
                <w:color w:val="auto"/>
              </w:rPr>
            </w:pPr>
            <w:r>
              <w:rPr>
                <w:rFonts w:ascii="Times New Roman" w:cs="Times New Roman" w:eastAsia="Times New Roman" w:hAnsi="Times New Roman"/>
                <w:sz w:val="17"/>
                <w:szCs w:val="17"/>
                <w:color w:val="auto"/>
              </w:rPr>
              <w:t>17,478</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76.44</w:t>
            </w:r>
          </w:p>
        </w:tc>
        <w:tc>
          <w:tcPr>
            <w:tcW w:w="80" w:type="dxa"/>
            <w:vAlign w:val="bottom"/>
          </w:tcPr>
          <w:p>
            <w:pPr>
              <w:spacing w:after="0"/>
              <w:rPr>
                <w:sz w:val="16"/>
                <w:szCs w:val="16"/>
                <w:color w:val="auto"/>
              </w:rPr>
            </w:pP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as of September 30, 2024</w:t>
            </w:r>
          </w:p>
        </w:tc>
        <w:tc>
          <w:tcPr>
            <w:tcW w:w="16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19,410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2024, there was a total of $0.1 million in unrecognized compensation cost related to unvested options, which is expected to be recognized over a weighted-average period of 0.4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and Restricted Stock Award Activity</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summary of RSU and RSA activity, under the Initial Plan, the 2018 Plan, the 2021 Plan, and the 2022 Plan, for the nine months ended September 30, 2024. RSAs were an immaterial portion of activity for the period: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1680" w:type="dxa"/>
            <w:vAlign w:val="bottom"/>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16"/>
                <w:szCs w:val="16"/>
                <w:color w:val="auto"/>
              </w:rPr>
            </w:pPr>
          </w:p>
        </w:tc>
        <w:tc>
          <w:tcPr>
            <w:tcW w:w="23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69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Fair Value (i.e. Share Price)</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6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219,720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86.78</w:t>
            </w:r>
          </w:p>
        </w:tc>
        <w:tc>
          <w:tcPr>
            <w:tcW w:w="0" w:type="dxa"/>
            <w:vAlign w:val="bottom"/>
          </w:tcPr>
          <w:p>
            <w:pPr>
              <w:spacing w:after="0"/>
              <w:rPr>
                <w:sz w:val="1"/>
                <w:szCs w:val="1"/>
                <w:color w:val="auto"/>
              </w:rPr>
            </w:pP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16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(36,570)</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6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(73,718)</w:t>
            </w:r>
          </w:p>
        </w:tc>
        <w:tc>
          <w:tcPr>
            <w:tcW w:w="1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w:t>
            </w:r>
          </w:p>
        </w:tc>
        <w:tc>
          <w:tcPr>
            <w:tcW w:w="0" w:type="dxa"/>
            <w:vAlign w:val="bottom"/>
          </w:tcPr>
          <w:p>
            <w:pPr>
              <w:spacing w:after="0"/>
              <w:rPr>
                <w:sz w:val="1"/>
                <w:szCs w:val="1"/>
                <w:color w:val="auto"/>
              </w:rPr>
            </w:pPr>
          </w:p>
        </w:tc>
      </w:tr>
      <w:tr>
        <w:trPr>
          <w:trHeight w:val="212"/>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September 30, 2024</w:t>
            </w:r>
          </w:p>
        </w:tc>
        <w:tc>
          <w:tcPr>
            <w:tcW w:w="16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109,432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September 30, 2024, there was a total of $5.9 million in unrecognized compensation cost related to unvested RSUs, which is expected to be recognized over a weighted-average period of 0.8 years. Outstanding unvested and expected to vest RSUs had an intrinsic value of $36.9 thousand.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expense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6"/>
                <w:szCs w:val="16"/>
                <w:color w:val="auto"/>
              </w:rPr>
            </w:pPr>
          </w:p>
        </w:tc>
        <w:tc>
          <w:tcPr>
            <w:tcW w:w="3060" w:type="dxa"/>
            <w:vAlign w:val="bottom"/>
            <w:gridSpan w:val="4"/>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4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w:t>
            </w:r>
          </w:p>
        </w:tc>
      </w:tr>
      <w:tr>
        <w:trPr>
          <w:trHeight w:val="21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4,824</w:t>
            </w: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10"/>
        </w:trPr>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award type: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2880" w:type="dxa"/>
            <w:vAlign w:val="bottom"/>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60" w:type="dxa"/>
            <w:vAlign w:val="bottom"/>
          </w:tcPr>
          <w:p>
            <w:pPr>
              <w:spacing w:after="0"/>
              <w:rPr>
                <w:sz w:val="17"/>
                <w:szCs w:val="17"/>
                <w:color w:val="auto"/>
              </w:rPr>
            </w:pPr>
          </w:p>
        </w:tc>
      </w:tr>
      <w:tr>
        <w:trPr>
          <w:trHeight w:val="227"/>
        </w:trPr>
        <w:tc>
          <w:tcPr>
            <w:tcW w:w="4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19"/>
                <w:szCs w:val="19"/>
                <w:color w:val="auto"/>
              </w:rPr>
            </w:pPr>
          </w:p>
        </w:tc>
      </w:tr>
      <w:tr>
        <w:trPr>
          <w:trHeight w:val="212"/>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&amp; RSAs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6,167</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4,885</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6,453</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 of Common Stock to Non-employees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nine months ended September 30, 2023, the Company issued 2,700 shares of the Company’s Class A common stock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to be recorded as consulting expense over the six-month term of the agreement. Related consulting expense of $0.1 million was recognized over the six month term of the agreement. The Company issued no shares to non-employees in the current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Earnings Per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incurred a net loss for the three and nine months ended September 30, 2024 and 2023,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potential common shares that were excluded as their effect is anti-dilutive: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780" w:type="dxa"/>
            <w:vAlign w:val="bottom"/>
            <w:gridSpan w:val="4"/>
          </w:tcPr>
          <w:p>
            <w:pPr>
              <w:jc w:val="center"/>
              <w:ind w:left="5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428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gridSpan w:val="3"/>
          </w:tcPr>
          <w:p>
            <w:pPr>
              <w:jc w:val="center"/>
              <w:ind w:left="10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gridSpan w:val="3"/>
          </w:tcPr>
          <w:p>
            <w:pPr>
              <w:jc w:val="center"/>
              <w:ind w:left="10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2"/>
        </w:trPr>
        <w:tc>
          <w:tcPr>
            <w:tcW w:w="42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and unvested stock units outstanding</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296,861</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145,073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235,736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outstanding</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30,017,768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629,271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30,017,768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629,271</w:t>
            </w: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promissory notes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4,339,623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4,339,623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Sponsor Earnout Shares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28,750</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28,750</w:t>
            </w:r>
          </w:p>
        </w:tc>
      </w:tr>
      <w:tr>
        <w:trPr>
          <w:trHeight w:val="212"/>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34,492,238</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954,882</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34,531,214</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893,757</w:t>
            </w:r>
          </w:p>
        </w:tc>
      </w:tr>
      <w:tr>
        <w:trPr>
          <w:trHeight w:val="20"/>
        </w:trPr>
        <w:tc>
          <w:tcPr>
            <w:tcW w:w="4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enters into purchase obligations in the normal course of business. These obligations include purchase orders and agreements to purchase goods or services that are enforceable, legally binding, and have significant terms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60" w:type="dxa"/>
            <w:vAlign w:val="bottom"/>
          </w:tcPr>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7"/>
        </w:trPr>
        <w:tc>
          <w:tcPr>
            <w:tcW w:w="9560" w:type="dxa"/>
            <w:vAlign w:val="bottom"/>
          </w:tcPr>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35"/>
        </w:trPr>
        <w:tc>
          <w:tcPr>
            <w:tcW w:w="9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99"/>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and minimum purchases stipulated. As of September 30, 2024, the Company’s future unconditional purchase obligations are as follows:</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3"/>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6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w:t>
            </w:r>
          </w:p>
        </w:tc>
      </w:tr>
      <w:tr>
        <w:trPr>
          <w:trHeight w:val="212"/>
        </w:trPr>
        <w:tc>
          <w:tcPr>
            <w:tcW w:w="9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5,266</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7"/>
          <w:szCs w:val="17"/>
          <w:i w:val="1"/>
          <w:iCs w:val="1"/>
          <w:color w:val="auto"/>
        </w:rPr>
        <w:t>Jensen v. Stable Road Acquisition Corp., et al.</w:t>
      </w:r>
      <w:r>
        <w:rPr>
          <w:rFonts w:ascii="Times New Roman" w:cs="Times New Roman" w:eastAsia="Times New Roman" w:hAnsi="Times New Roman"/>
          <w:sz w:val="17"/>
          <w:szCs w:val="17"/>
          <w:color w:val="auto"/>
        </w:rPr>
        <w:t>, No. 2:21-cv-05744 (the "</w:t>
      </w:r>
      <w:r>
        <w:rPr>
          <w:rFonts w:ascii="Times New Roman" w:cs="Times New Roman" w:eastAsia="Times New Roman" w:hAnsi="Times New Roman"/>
          <w:sz w:val="17"/>
          <w:szCs w:val="17"/>
          <w:i w:val="1"/>
          <w:iCs w:val="1"/>
          <w:color w:val="auto"/>
        </w:rPr>
        <w:t>Jensen</w:t>
      </w:r>
      <w:r>
        <w:rPr>
          <w:rFonts w:ascii="Times New Roman" w:cs="Times New Roman" w:eastAsia="Times New Roman" w:hAnsi="Times New Roman"/>
          <w:sz w:val="17"/>
          <w:szCs w:val="17"/>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 w:cs="Times New Roman" w:eastAsia="Times New Roman" w:hAnsi="Times New Roman"/>
          <w:sz w:val="17"/>
          <w:szCs w:val="17"/>
          <w:i w:val="1"/>
          <w:iCs w:val="1"/>
          <w:color w:val="auto"/>
        </w:rPr>
        <w:t>Hall v. Stable Road Acquisition Corp., et al.</w:t>
      </w:r>
      <w:r>
        <w:rPr>
          <w:rFonts w:ascii="Times New Roman" w:cs="Times New Roman" w:eastAsia="Times New Roman" w:hAnsi="Times New Roman"/>
          <w:sz w:val="17"/>
          <w:szCs w:val="17"/>
          <w:color w:val="auto"/>
        </w:rPr>
        <w:t xml:space="preserve">, No. 2:21-cv-05943 and </w:t>
      </w:r>
      <w:r>
        <w:rPr>
          <w:rFonts w:ascii="Times New Roman" w:cs="Times New Roman" w:eastAsia="Times New Roman" w:hAnsi="Times New Roman"/>
          <w:sz w:val="17"/>
          <w:szCs w:val="17"/>
          <w:i w:val="1"/>
          <w:iCs w:val="1"/>
          <w:color w:val="auto"/>
        </w:rPr>
        <w:t>Depoy v. Stable Road Acquisition Corp., et al.</w:t>
      </w:r>
      <w:r>
        <w:rPr>
          <w:rFonts w:ascii="Times New Roman" w:cs="Times New Roman" w:eastAsia="Times New Roman" w:hAnsi="Times New Roman"/>
          <w:sz w:val="17"/>
          <w:szCs w:val="17"/>
          <w:color w:val="auto"/>
        </w:rPr>
        <w:t>, No. 2:21-cv-06287 were consolidated in the first filed matter (collectively, referred to as the "Securities Class Actions"). An amended complaint was filed on November 12, 2021. The Company disputes the allegations in the Securities Class Actions.</w:t>
      </w:r>
    </w:p>
    <w:p>
      <w:pPr>
        <w:spacing w:after="0" w:line="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spacing w:after="0" w:line="3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on October 5, 2023, the Company paid $1.0 million into the 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 As of March 31, 2024, the contingent liability in relation to Securities Class Action has been paid in full.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CFIUS Review</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February 2021, the Company and Mikhail Kokorich submitted a joint notice to the Committee on Foreign Investment in the United States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paid-in capital within the consolidated statements of stockholders’ equity as of December 31, 2022. CFIUS terminated the NSA in January 2024 at the request of the Company, and the Company is no longer subject to the provisions of the NSA.</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incurred legal expenses related to these matters of approximately $0.2 million and $0.3 million for the three and nine months ended September 30, 2024,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Section 220 Litigation</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 and the matter was closed. The Company from time to time responds to books and records requests properly submitted pursuant to applicable Delaware law.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Litigation</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 at a later date. As noted below, Brian Lindsey re-filed a shareholder derivative action in Delaware Chancery Court on June 30, 2023.</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demand made by Ms. Hanna on the Company’s Board of Directors. The Company intends to vigorously defend the litigation.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25, 2023, a shareholder derivative action was filed by Justin Rivlin, purportedly on behalf of the Company, in the U.S. District Court for the District of California, Case No. 2:23-cv-03120, against the Company (as a nominal defendant), Brian Kabot, James Norris, Marc Lehmann, James Hofmockel, and Ann Kono. The Rivlin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Rivlin action responded to the Company’s motion to dismiss by filing an amended complaint adding new claims and new defendants, including existing Board members Chris Hadfield, Mitchel B. Kugler, Kimberly A. Reed, Linda J. Reiners and John C. Rood.</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Lindsey derivative action alleges the same core allegations as stated in the Securities Class Actions. The Company intends to vigorously defend the litigation.</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26, 2024, an unopposed motion for the preliminary approval of settlement was filed after the Company reached an agreement in principle for a proposed settlement of certain shareholder derivative litigation. The proposed settlement, as set forth more fully in the Stipulation and Agreement of Settlement filed with the court, requires the Company to adopt certain corporate governance reforms. The reforms must be maintained for a minimum period of four years.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16, 2024, the U.S. District Court for the Northern District of California issued an order primarily approving the settlement and providing for notice of the settlement to stockholders of the Company in the matters captioned Hanna v. Kabot, et al., Case No. 5:23-cv-00374 (N.D. Cal.); Rivlen v. Kabot, et al., Case No. 2:23-cv-03120 (C.D. Cal.); Lindsey v. Quiroga, et al., Case No. 20230674 (Del. Ch.); and the litigation demand made by Momentus stockholder, Kamal Qureshi (collectively, the “Derivative Matters”). The proposed settlement calls for the Company to adopt certain corporate governance reforms and pay lead plaintiffs’ attorney’s fees, litigation expenses, and lead plaintiff service awards.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order set a final approval hearing for November 21,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 Note Litigation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14,500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Founder Litigation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2023.On June 13, 2023, Kokorich filed a notice of appeal. On July 28, 2023, Kokorich filed Appellant’s Brief. The Company filed Appellee’s Answering Brief on August 28, 2023, and Kokorich filed a Reply Brief on September 15, 2023. The oral argument on Kokorich’s appeal was scheduled for November 15, 2023. On November 30, 2023, the Delaware Supreme Court affirmed the judgement of the Delaware Court of Chancery.</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Khasis has requested an expedited trial in his claim for advancement of fees. On June 23, 2023, the Court of Chancery ordered that Khasis indemnification litigation will not be stayed pending the appeal of the Kokorich claim. Moreover, the Court of Chancery further ordered the parties to prepare a scheduling order to the Court which includes all relevant deadlines to argue the Company’s motion to dismiss and Khasis’ expedited motion for advancement concurrently. The parties are currently negotiating concerning an acceptable schedule. On October 17, 2023, the parties reached an agreement to stay the proceeding until January 1, 2024. On October 18, 2023, the Company paid Mr. Khasis $0.1 million related to Mr. Khasis’ legal expenses. The Company disputes the allegations in the complaint and intends to vigorously defend the litigation.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Class Actions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“Shirley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16, 2023, purported stockholders of the Company filed a putative class action complaint against certain current and former directors and officers of the Company in the Delaware Court of Chancery, in a case captioned Lora v. Kabot, et al., Case No. 2023-0322 (the “Lora Action”). Like the Shirley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17, 2023, purported stockholders of the Company filed a putative class action complaint against certain current and former directors and officers of the Company in the Delaware Court of Chancery, in a case captioned Burk v. Kabot, et al., Case No. 2023-0334 (the “Burk Action”). Like the Lora and Shirley complaints, the Burk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26, 2023, plaintiffs filed a stipulation and proposed order for consolidation and appointment of co-lead plaintiffs and co-lead plaintiffs’ counsel designating the complaint filed in the Lora Action as the operative complaint. On June 30, 2023, the defendants each filed a motion to dismiss the complaint. On October 26, 2023, plaintiffs filed their answering briefs in opposition to the motions to dismiss, and the defendants’ reply briefs are due to be filed on or before December 14, 2023, and a hearing on the motions to dismiss was held for February 1, 2024.</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Shirley Action, the Lora Action, and the Burk Action have been consolidated under the caption, In re Momentus, Inc. Stockholders Litigation,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Threatened Claims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October 23, 2023, Stephen J. Purcell, on behalf of the law firm Purcell &amp; Lefkowitz LLP, threatened to file a legal proceeding to receive attorney’s fees in the amount of $80,000 related to a stockholder litigation demand letter submitted to Momentus, dated July 20, 2021 on behalf of Joel Zalvin, a purported stockholder of Momentus. The stockholder litigation demand letter asserted that the vote to increase the number of shares of Class A common stock of Momentus at the special meeting of stockholders on August 11, 2021 was conducted in violation of Delaware law. On March 14, 2023, the Delaware Court of Chancery granted the Company’s request pursuant to 8 Del. C. §205, or Section 205 of the Delaware General Corporation Law (the “Petition”) in order to validate and declare effective the Second Amended and Restated Certificate of Incorporation of the Company and validate and declare effective the shares of the Company’s Class A common stock issued in reliance on such provisions of the Second Amended and Restated Certificate of Incorporation of the Company as of the date of the original issuance of such shares. Further on March 14, 2023, the Court of Chancery entered an order under 8 Del. C. §205 (i) declaring the Second Amended and Restated Certificate of Incorporation of the Company, including the filing and effectiveness thereof, as validated and effective retroactive to the date of its filing with the Office of the Secretary of State of the State of Delaware on August 12, 2021, and (ii) ordering that the Company’s Class A common stock (and the issuance of the Class A common stock) described in the Petition and any other securities issued in reliance of the validity of the Second Amended and Restated Certificate of Incorporation of the Company are validated and declared effective, each as of the original issuance dates. Momentus did not take action in response to the July 20, 2021 demand letter, but rather filed the Petition over one year later, following a decision by the Delaware Chancery Court that created uncertainty as to the validity of the Company’s Second Amended and Restated Certificate of Incorporation. Accordingly, Momentus believes that the threatened claim is without merit and intends to vigorously defend any such claim if brought.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the close of the Business Combination, Alex Ciccotelli, represented by Rigrodsky Law, sent SRAC a disclosure demand letter dated November 9, 2020, and Jeffrey Justice II, represented by Grabar Law Office, sent SRAC a disclosure demand letter dated August 3, 2021. Mr. Ciccotelli then filed a civil action against SRAC. After receiving various shareholder disclosure demands, SRAC voluntarily issued certain pre-closing supplemental disclosures, without admission, as stated in its August 5, 2021 Form 8-K filing. The Ciccotelli action was thereafter dismissed as moot. On March 20, 2023, Rigrodsky Law threatened to file a fee petition seeking an award of fees and expenses if the Company does not agree to pay a mootness fee, and more recently, in October 2023, reiterated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demand on behalf of Messrs. Ciccotelli and Justice for payment of mootness fees. The Company maintains that, while certain amendments were made by SRAC to pre-closing disclosures, none of the disclosures made was material and the Company disputes that the claims for fees have merit.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Claims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31, 2024, certain former employees of the Company obtained a legal judgment in the amount of $0.5 million inclusive of interest and expenses related to claims for the advancement and reimbursement of certain legal expenses of the former employees. The Company paid the former employees $0.5 million in September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Litigation (Hanna, Lindsey, and Rivlin)</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plaintiffs have moved for final approval of the proposed settlement to resolve all three actions. This settlement approval motion is currently scheduled for a hearing on November 21, 2024, in the Hanna case (U.S.D.C., Northern District of California). To date, the parties have not received any objection to the settlement or any opposition to the motion for final settlement approval.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Litigation and Relat</w:t>
      </w:r>
      <w:r>
        <w:rPr>
          <w:rFonts w:ascii="Times New Roman" w:cs="Times New Roman" w:eastAsia="Times New Roman" w:hAnsi="Times New Roman"/>
          <w:sz w:val="17"/>
          <w:szCs w:val="17"/>
          <w:color w:val="auto"/>
        </w:rPr>
        <w:t>ed</w:t>
      </w:r>
      <w:r>
        <w:rPr>
          <w:rFonts w:ascii="Times New Roman" w:cs="Times New Roman" w:eastAsia="Times New Roman" w:hAnsi="Times New Roman"/>
          <w:sz w:val="17"/>
          <w:szCs w:val="17"/>
          <w:i w:val="1"/>
          <w:iCs w:val="1"/>
          <w:color w:val="auto"/>
        </w:rPr>
        <w:t xml:space="preserve"> Matters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Sub-Topic 450-20. Legal fees are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effective tax rate for the three and nine months ended September 30, 2024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Related Party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Promissory Notes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21, 2024, the Company issued six promissory notes for an aggregate amount of $0.5 million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the Internal Revenue Service for June 2024. Each note held a maturity date of September 30, 2024 and was secured by the Company’s assets. Principal and interest payments were due by the maturity date and the notes would have become immediately due upon the occurrence of certain customary event of default, including failure to pay amounts owing when due and/or certain events involving a discontinuation of our business or certain types of proceedings involving insolvency, bankruptcy, receivership and the like. On September 12, 2024, the six promissory notes were repaid in full to the participating directors and officer of the Company.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6" w:name="page37"/>
    <w:bookmarkEnd w:id="36"/>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Subsequent Events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Promissory Note</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October 24, 2024, the Company and SIV, entered into a secured convertible promissory note (the “October Convertible Note”) pursuant to which the Company may borrow up to $3.0 million in two tranches, consisting of (i) an initial loan in the principal amount of $2.0 million, and (ii) up to an additional $1.0 million in principal amount which may be borrowed from December 22, 2024 through February 14, 2025. Borrowings under the October Convertible Note bear interest at 15% per annum. The October Convertible Note has a maturity date of October 24, 2025, at which time all principal and accrued interest is due.</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Amounts borrowed under the October Convertible Note are secured by a lien on substantially all of the assets of the Company. At any time after the date that is six months after the original issuance date of the October Convertible Note, SIV, in its sole discretion, may convert some or all of the outstanding obligations under the October Convertible Note into shares of Class A common stock at a conversion price of $0.53 per share.</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to the October Convertible Note, the Company agreed to issue to SIV warrants to purchase up to 5,668,934 shares of common stock with an exercise price of $0.53 per share (the “SIV Warrants”). SIV may not exercise the SIV Warrants prior to April 24, 2025, and the SIV Warrants will expire April 24, 2030.</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Neither the October Convertible Note nor the SIV Warrants can be converted or exercised if it would cause the aggregate number of shares of common stock beneficially owned by SIV to exceed 9.99% of the number of shares of common stock outstanding immediately after giving effect to the conversion or exercise, as applicable. Conversion of the October Convertible Note and exercise of the SIV Warrants is also subject to compliance with applicable Nasdaq rules, and if shareholder approval is required the Company will use commercially reasonable efforts to obtain such approval.</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October Convertible Note requires SIV’s consent to take certain actions, such as purchasing assets outside the ordinary course of business, extending financing, making capital expenditures in excess of $0.1 million, repaying debts outside the ordinary course of business or investing in any entity or enterprise.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October Convertible Note can be prepaid in full at any time, subject to a prepayment fee of 10%. The October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the Company.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our Annual Report on Form 10-K filed with the SEC on June 6, 2024. This discussion and analysis should also be read together with our financial information for the period ended as of September 30, 2024.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June 6, 2024, and “Cautionary Statement Regarding Forward-Looking Statements” elsewhere in this Form 10-Q, our actual results may differ materially from those anticipated in these forward-looking statements.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Momentus offers or plans to offer satellites, satellite buses, satellite technologies including solar arrays, and transportation and infrastructure services to help enable the commercialization of space for commercial companies and to support the missions of U.S. and friendly governments missions. Satellite operators are our target commercial customers. Momentus is also seeking business in support of U.S. Government missions for Departments and Agencies like NASA and the Department of Defense.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Products and services that we plan to provide include provision of satellites, satellite buses, satellite technologies including solar arrays, integration of payload instruments, “last mile” satellite transportation, payload-hosting, on-orbit satellite refueling, on-orbit inspection, on-orbit satellite maintenance, de-orbiting, debris removal, and other satellite-to-satellite service offerings.</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Momentus’ founding in 2017, we have been working to develop, test and enhance our vehicles and supporting technologies, particularly our water plasma propulsion technology.</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spacing w:after="0" w:line="8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these missions were rapidly incorporated. As a result of these three missions, the Vigoride OSV has been successfully demonstrated in space and accumulated significant flight heritage.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3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quarter ended September 30, 2024, the Company recognized $0.1 million of revenue, primarily from the completion of performance obligations on engineering services performed for U.S. government and engineering project services.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2024 we have signed contracts with customers and have collected approximately $1.6 million in customer deposits, $1.1 million of which are recorded as non-current contract liabilities in our condensed consolidated balance sheets.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third-party launch costs and direct headcount cost related to the engineering project. Development of the orbital service vehicles is part of the Company’s technology roadmap. Therefore, to date, the cost of these orbital service vehicles has been expensed as research and development costs as materials and services are received. The current design and technology allow for a single use of the orbital service vehicle.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expenditures consist primarily of the cost of the following activities for developing existing and future technologies for our satellites, satellite technologies, and our Orbital Service Vehicles. Research and development activities include basic research, applied research, design, development, and related test program activities. Costs incurred for developing our technologies primarily include equipment, material, and labor hours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right="560"/>
        <w:spacing w:after="0" w:line="422" w:lineRule="auto"/>
        <w:rPr>
          <w:sz w:val="20"/>
          <w:szCs w:val="20"/>
          <w:color w:val="auto"/>
        </w:rPr>
      </w:pPr>
      <w:r>
        <w:rPr>
          <w:rFonts w:ascii="Times New Roman" w:cs="Times New Roman" w:eastAsia="Times New Roman" w:hAnsi="Times New Roman"/>
          <w:sz w:val="17"/>
          <w:szCs w:val="17"/>
          <w:color w:val="auto"/>
        </w:rPr>
        <w:t xml:space="preserve">(both internal and subcontractors). The Company also records launch costs related to the testing of its Vigoride vehicles as research and development costs. As of September 30, 2024, we have expensed all research and development costs associated with developing and building our vehicles. </w:t>
      </w:r>
      <w:r>
        <w:rPr>
          <w:rFonts w:ascii="Times New Roman" w:cs="Times New Roman" w:eastAsia="Times New Roman" w:hAnsi="Times New Roman"/>
          <w:sz w:val="17"/>
          <w:szCs w:val="17"/>
          <w:b w:val="1"/>
          <w:bCs w:val="1"/>
          <w:i w:val="1"/>
          <w:iCs w:val="1"/>
          <w:color w:val="auto"/>
        </w:rPr>
        <w:t>Selling, General and Administrative</w:t>
      </w: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fair value of warrants consists of changes in the estimated fair value of our warrant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consists of disposals of machinery and equipment with carrying values in excess of proceeds received, if 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by the Company on investment holdings in interest bearing bank accounts.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interest incurred by the Company related to our loan payables as well as the amortization of warrant discount and debt issuance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primarily relates to non-recurring fees incurred in conjunction with the Term Loan financing, SEC settlement cost, and other immaterial items.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The period-to-period comparisons of financial results are not necessarily indicative of future results.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780"/>
        </w:trPr>
        <w:tc>
          <w:tcPr>
            <w:tcW w:w="766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Three Months Ended September 30, 2024 and 2023</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7"/>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7"/>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(68 %)</w:t>
            </w:r>
          </w:p>
        </w:tc>
      </w:tr>
      <w:tr>
        <w:trPr>
          <w:trHeight w:val="245"/>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(45 %)</w:t>
            </w:r>
          </w:p>
        </w:tc>
      </w:tr>
      <w:tr>
        <w:trPr>
          <w:trHeight w:val="238"/>
        </w:trPr>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06"/>
        </w:trPr>
        <w:tc>
          <w:tcPr>
            <w:tcW w:w="42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(63 %)</w:t>
            </w: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(3,865)</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38"/>
        </w:trPr>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7,634</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(7,652)</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44"/>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7,473</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06"/>
        </w:trPr>
        <w:tc>
          <w:tcPr>
            <w:tcW w:w="42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51"/>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(99 %)</w:t>
            </w:r>
          </w:p>
        </w:tc>
      </w:tr>
      <w:tr>
        <w:trPr>
          <w:trHeight w:val="251"/>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38"/>
        </w:trPr>
        <w:tc>
          <w:tcPr>
            <w:tcW w:w="420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r>
      <w:tr>
        <w:trPr>
          <w:trHeight w:val="24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(15,159)</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7,401</w:t>
            </w:r>
          </w:p>
        </w:tc>
        <w:tc>
          <w:tcPr>
            <w:tcW w:w="8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0"/>
        </w:trPr>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2024 The Company recognized $0.1 million of revenue, primarily driven by engineering services in relation to the fulfillment of performance obligations in the Defense Advanced Research Project Agency agreement (“DARPA Agreement”).</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2023, the Company recognized $0.3 million of revenue, primarily from the completion of performance obligation in connection with the Vigoride 5 and Vigoride 6 missions as well as some forfeited customer deposits upon contract expiration.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costs associated with performing engineering service in relation to the DARPA Agreement were capitalized in cost of revenue. We tracked the individual hours worked in the project and allocated the portion of headcount cost from research and development operating expenses to cost of revenue during the three months ended September 30, 2024.</w:t>
      </w:r>
    </w:p>
    <w:p>
      <w:pPr>
        <w:spacing w:after="0" w:line="1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cost of revenue during the three months ended September 30, 2023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Research and development expenses decreased from $6.0 million in the three months ended September 30, 2023 to $2.2 million in the three months ended September 30, 2024. The decrease was mostly headcount driven whereas payroll related cost went down by a $2.5 million including a decrease of $0.2 million in non-cash stock based compensation. Subcontractor costs decreased by $1.0 million. Additionally, there was a $0.1 million decrease in spending on materials and a $0.1 million decrease in information technology and facilities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$9.3 million in the three months ended September 30, 2023 to $5.4 million in the three months ended September 30, 2024. Payroll costs decreased by $1.2 million inclusive of a decrease of $0.3 million in non-cash stock based compensation. NSA compliance spending decreased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by $0.2 million and SEC and legal services expenses decreased by $1.7 million. Consulting and other professional services and other general corporate expenses decreased by $0.7 million and $0.1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both the three months ended September 30, 2024 and 2023, the decrease of $0.2 million in the calculated fair value of the Company’s outstanding warrants, which were assumed from the Business Combination, was primarily driven by the observable market price of the publicly listed warrants to purchase the Company’s stock under comparable terms. See Note 9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in the three months ended September 30, 2024 was $0.1 million while in 2023, was zero.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decreased from $0.2 million for three months ended September 30, 2023 to $2 thousand for the three months ended September 30, 2024 as the Company invested less money market funds given liquidity constrains.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decreased from $0.5 million of cash and amortization interest for the three months ended September 30, 2023 to $42,500 interest for the three months ended September 30, 2024 due to the application of the effective interest method which results in less cash and amortization interest as the Term Loan approaches maturity. See Note 8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during the three months ended September 30, 2024 and 2023, was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Nine Months Ended September 30, 2024 and 2023</w:t>
      </w:r>
    </w:p>
    <w:p>
      <w:pPr>
        <w:spacing w:after="0" w:line="20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22225</wp:posOffset>
            </wp:positionV>
            <wp:extent cx="21532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20"/>
                <w:szCs w:val="20"/>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45"/>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(87 %)</w:t>
            </w:r>
          </w:p>
        </w:tc>
      </w:tr>
      <w:tr>
        <w:trPr>
          <w:trHeight w:val="238"/>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06"/>
        </w:trPr>
        <w:tc>
          <w:tcPr>
            <w:tcW w:w="4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(18,584)</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(71 %)</w:t>
            </w:r>
          </w:p>
        </w:tc>
      </w:tr>
      <w:tr>
        <w:trPr>
          <w:trHeight w:val="245"/>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(12,655)</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238"/>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55,886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(31,239)</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4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31,443</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r>
      <w:tr>
        <w:trPr>
          <w:trHeight w:val="206"/>
        </w:trPr>
        <w:tc>
          <w:tcPr>
            <w:tcW w:w="4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1006 %</w:t>
            </w: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39"/>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205 %</w:t>
            </w:r>
          </w:p>
        </w:tc>
      </w:tr>
      <w:tr>
        <w:trPr>
          <w:trHeight w:val="23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r>
      <w:tr>
        <w:trPr>
          <w:trHeight w:val="244"/>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(23,087)</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(54,819)</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31,732</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(58 %)</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Revenue recognized during the nine months ended September 30, 2024 was primarily driven by engineering services performed for the Space Development Agency agreement, resulting in $1.8 million of revenue recognition.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revenue recognized during the nine months ended September 30, 2023 was primarily driven by fulfillment of performance obligations for Vigoride 5 and Vigoride 6 customers, resulting in $1.6 million of revenue recognition. The remaining $0.5 million of revenue recognized was a combination of customer deposit forfeiture upon contract expiration and the launch of one customer payload through another supplier on the SpaceX Transporter 8 mission.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costs associated with performing engineering service were expensed in research and development operating expenses during nine months ended September 30, 2024 except for the cost associated with the on-going DARPA Agreement of $0.1 million were classed to cost of revenue.</w:t>
      </w:r>
    </w:p>
    <w:p>
      <w:pPr>
        <w:spacing w:after="0" w:line="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cost of revenue during the nine months ended September 30, 2023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decreased from $26.3 million in the nine months ended September 30, 2023 to $7.7 million in the nine months ended September 30, 2024. The decrease was primarily due to (i) a $8.6 million reduction in payroll costs due to decreased headcount and related decreases in signing bonuses (ii) a $4.8 million reduction on subcontractor cost, (iii) a $2.1 million reduction in spending on materials and components, (iv) decreases in launch costs of $1.9 million associated with impairment of our Space X and ABL deposits, and amortization of the Vigoride 5 and Vigoride 6 missions, (v) a $0.6 million reduction in allocated information technology and facilities expenses, and (vi) a $0.5 million decrease in other overhead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$29.6 million in the nine months ended September 30, 2023 to $16.9 million in the nine months ended September 30, 2024. The decrease is primarily due to (i) a $3.8 million decrease in payroll related expenses inclusive $0.4 million of stock based compensation. Factors contributing to the decrease was primarily due to prior year one-time bonuses and executive departures temporarily replaced by consultants (ii) a $3.2 million decrease in legal services expenses followed by (iii) a $1.1 million decrease in NSA compliance spending and (iv) a $1.2 million decrease in SEC compliance spending as the Company’s activity related to the NSA and SEC topics discussed in Note 12 shifted from legal proceedings to compliance. (v) Non legal professional fees decreased by $2.3 million and other general corporate office expenses (including insurance costs) decreased by $1.3 million partially offset by a $0.2 million increase in IT overhead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2023,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in the nine months ended September 30, 2024 was $0.2 million while 2023, was immaterial.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decreased from $1.1 million for nine months ended September 30, 2023 to $24 thousand for the nine months ended September 30, 2024 as the Company invested less in money market funds due to liquidity constrains.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decreased from $2.2 million of cash and amortization interest for the nine months ended September 30, 2023 to $0.1 million of cash and amortization interest for the nine months ended September 30, 2024 due to the application of the effective interest method which results in less cash and amortization interest as the Term Loan approaches maturity. See Note 8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increased from $20 thousand for the nine months ended September 30, 2023 to $0.1 million nine months ended September 30, 2024. The increase was related to the release of interest accrued in relation to the loan during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$23.1 million for the nine months ended September 30, 2024 and had an accumulated deficit of $396.1 million as of September 30, 2024. Additionally, the Company used net cash of $10.9 million to fund its operating activities for the nine months ended September 30, 2024, and had cash and cash equivalents of $0.8 million as of September 30, 2024.</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In connection with the preparation of the consolidated interim financial statements for the nine months ended September 30, 2024,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3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have been prepared on a going concern basis of accounting. The accompanying consolidated interim financial statements do not reflect any adjustments that might result if the Company is unable to continue as a going concern.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7"/>
        </w:trPr>
        <w:tc>
          <w:tcPr>
            <w:tcW w:w="7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(10,874)</w:t>
            </w:r>
          </w:p>
        </w:tc>
        <w:tc>
          <w:tcPr>
            <w:tcW w:w="80" w:type="dxa"/>
            <w:vAlign w:val="bottom"/>
          </w:tcPr>
          <w:p>
            <w:pPr>
              <w:spacing w:after="0"/>
              <w:rPr>
                <w:sz w:val="20"/>
                <w:szCs w:val="20"/>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(45,987)</w:t>
            </w:r>
          </w:p>
        </w:tc>
        <w:tc>
          <w:tcPr>
            <w:tcW w:w="0" w:type="dxa"/>
            <w:vAlign w:val="bottom"/>
          </w:tcPr>
          <w:p>
            <w:pPr>
              <w:spacing w:after="0"/>
              <w:rPr>
                <w:sz w:val="1"/>
                <w:szCs w:val="1"/>
                <w:color w:val="auto"/>
              </w:rPr>
            </w:pPr>
          </w:p>
        </w:tc>
      </w:tr>
      <w:tr>
        <w:trPr>
          <w:trHeight w:val="25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9,586</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(5,905)</w:t>
            </w: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(51,899)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nine months ended September 30, 2024 was $10.9 million, driven primarily by headcount costs, research and development activities, legal expenses, and professional fees, as well as net cash changes in operating assets and liabilities.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$4.9 million, were $7.3 million. Professional fees of $5.1 million included $2.6 million in legal fees discussed in Note 12. Office overheads and other general corporate expenses were $4.4 million, which includes insurance costs of $1.3 million. Research and Development activity expenses, including materials, components, and subcontractor costs were $1.5 million. These cash outflows were partially offset by gross profit of $1.8 million primarily related to the fulfillment of performance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for Vigoride 5 and Vigoride 6 customers during the nine months ended September 30, 2024. Additionally, the Company had a change in operating assets and liabilities of $5.6 million during the nine months ended September 30,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for the nine months ended September 30, 2023 was $46.0 million, driven primarily by headcount costs, research and development activities, legal expenses, and professional fees, as well as net cash changes in operating assets and liabilities. Headcount related payroll costs, excluding accrued bonus of $2.6 million and stock-based compensation of $6.5 million, were $5.5 million. Research and development activity expenses, including materials, components, and subcontractor costs were $3.6 million. Professional fees of $4.9 million included $0.6 million of costs related to the SEC and NSA topics discussed in Note 12 and legal fees of $2.4 million. Office overheads, other general corporate expenses, and cash interest were $1.5 million, which includes insurance costs of $0.8 million. The Company also incurred launch costs of $0.5 million during the nine months ended September 30, 2023, that were amortized in connection with its first launch. The Company additionally had change in cash from changes in operating assets and liabilities of $0.9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$94 thousand and $7 thousand for the nine months ended September 30, 2024 and 2023, respectively, which consisted of purchases of machinery and equipment and intangible assets and proceeds received on the sale of machinery and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$9.6 million for the nine months ended September 30, 2024, primarily due to gross proceeds of approximately $10.8 million received from the January Offering and March Offering, and $$2.3 million received from SIV partially offset by principal repayments of $2.3 million under the Term Loan and $1.1 million in issuance costs related to common stock and related warrants.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used in financing activities was $5.9 million for the nine months ended September 30, 2023, primarily due to principal repayment under the Term Loan.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consumption to continue in connection with our ongoing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our operating expenses will continue as we:</w:t>
      </w:r>
    </w:p>
    <w:p>
      <w:pPr>
        <w:spacing w:after="0" w:line="160"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continue to refine and operate our corporate infrastructure, people, processes and systems;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pursue sales and marketing activities for our product and services;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pursue further research and development related to developing our satellites, satellite technology, and Orbital Service Vehicles;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seek regulatory approvals for operation of our satellites and vehicles;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actively manage our workforce, including right sizing in personnel;</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comply with public company reporting requirements; and</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defend against litigation.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9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Some of these risks and uncertainties are described in more detail under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10-Q under the heading “</w:t>
      </w:r>
      <w:r>
        <w:rPr>
          <w:rFonts w:ascii="Times New Roman" w:cs="Times New Roman" w:eastAsia="Times New Roman" w:hAnsi="Times New Roman"/>
          <w:sz w:val="17"/>
          <w:szCs w:val="17"/>
          <w:i w:val="1"/>
          <w:iCs w:val="1"/>
          <w:color w:val="auto"/>
        </w:rPr>
        <w:t>Risk Factors —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may not be able to continue as a going concern.”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a party to operating leases primarily for facilities (e.g., office buildings, warehouses and spaceport) under non-cancellable operating leases. We lease office space under a non-cancellable operating lease which expires February 2028. Refer to Note 6.</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interim financial statements, which have been prepared in accordance with GAAP. The preparation of our consolidated interim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consolidated interim financial statements included elsewhere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 account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which includes the following five-step model:</w:t>
      </w:r>
    </w:p>
    <w:p>
      <w:pPr>
        <w:spacing w:after="0" w:line="157"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estimate the delivery date for each customer’s payload based on the relative weight of payloads released to determine the point in time to recognize revenue for each payload release.</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periods in which we recognize revenue, we will disclose the amounts of revenue recognized that was included as a contract liability balance at the beginning of the reporting period in accordance with ASC 606-10-50-8(b).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consolidated interim financial statements based on their respective grant date fair values.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consolidated interim financial statements is based on awards that are expected to vest. We account for forfeitures as they occur.</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ASC Topic 740-10 requires companies to determine whether it is “more likely than not” that a tax position will be sustained upon examination by the appropriate taxing authorities before any tax benefit can be recorded in the consolidated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refer to Note 2 in the notes to our consolidated interim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risk inherent in our financial instruments and our financial position represents the potential loss arising from adverse changes in interest rates. As of September 30, 2024, we had cash and cash equivalents of $0.8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foreign currency transactions for the three and nine months ended September 30, 2024. Currently, a significant portion of our cash receipts and expenses are generated in U.S. dollars.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3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that are designed to provide reasonable assurance that the information that we are required to disclose in the reports we file or submit under the Exchange Act is recorded, processed, summarized and reported within the time periods specified in the SEC’s rules and forms, and such information is accumulated and communicated to our management, including our Chief Executive Officer and Chief Financial Officer, as appropriate, to allow timely decisions regarding required disclosure.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jc w:val="both"/>
        <w:spacing w:after="0" w:line="27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September 30, 2024. Based on this evaluation, our Chief Executive Officer and Chief Financial Officer concluded that, as of such date, our disclosure controls and procedures were effective at the reasonable assurance level.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fiscal quarter ended September 30, 2024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the disclosures under the caption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in Note 12 in the notes to our consolidated interim financial statements included elsewhere in this Form 10-Q for disclosures related to our legal proceedings, which disclosures are incorporated herein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risk factors discussed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most recent Annual Report on Form 10-K filed by the Company on June 6, 2024, which could materially affect our business, financial condition or future results. The risks described below and in our Annual Report on Form 10-K filed by the Company on June 6, 2024,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6240" w:type="dxa"/>
            <w:vAlign w:val="bottom"/>
            <w:tcBorders>
              <w:bottom w:val="single" w:sz="8" w:color="CCEEFF"/>
            </w:tcBorders>
            <w:gridSpan w:val="9"/>
          </w:tcPr>
          <w:p>
            <w:pPr>
              <w:ind w:left="600"/>
              <w:spacing w:after="0"/>
              <w:rPr>
                <w:sz w:val="20"/>
                <w:szCs w:val="20"/>
                <w:color w:val="auto"/>
              </w:rPr>
            </w:pPr>
            <w:r>
              <w:rPr>
                <w:rFonts w:ascii="Times New Roman" w:cs="Times New Roman" w:eastAsia="Times New Roman" w:hAnsi="Times New Roman"/>
                <w:sz w:val="15"/>
                <w:szCs w:val="15"/>
                <w:b w:val="1"/>
                <w:bCs w:val="1"/>
                <w:color w:val="auto"/>
              </w:rPr>
              <w:t>Description of Exhibit</w:t>
            </w:r>
          </w:p>
        </w:tc>
      </w:tr>
      <w:tr>
        <w:trPr>
          <w:trHeight w:val="163"/>
        </w:trPr>
        <w:tc>
          <w:tcPr>
            <w:tcW w:w="130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right w:val="single" w:sz="8" w:color="CCEEFF"/>
            </w:tcBorders>
            <w:shd w:val="clear" w:color="auto" w:fill="CCEEFF"/>
          </w:tcPr>
          <w:p>
            <w:pPr>
              <w:spacing w:after="0"/>
              <w:rPr>
                <w:sz w:val="14"/>
                <w:szCs w:val="14"/>
                <w:color w:val="auto"/>
              </w:rPr>
            </w:pPr>
          </w:p>
        </w:tc>
        <w:tc>
          <w:tcPr>
            <w:tcW w:w="9720" w:type="dxa"/>
            <w:vAlign w:val="bottom"/>
            <w:gridSpan w:val="14"/>
            <w:shd w:val="clear" w:color="auto" w:fill="CCEEFF"/>
          </w:tcPr>
          <w:p>
            <w:pPr>
              <w:spacing w:after="0" w:line="143"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Form of Pre-Funded Warrant (incorporated by reference to Exhibit 4.1 to the Company's Current Report on Form 8-K filed on September</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460" w:type="dxa"/>
            <w:vAlign w:val="bottom"/>
            <w:tcBorders>
              <w:top w:val="single" w:sz="8" w:color="0000FF"/>
            </w:tcBorders>
            <w:gridSpan w:val="3"/>
            <w:shd w:val="clear" w:color="auto" w:fill="CCEEFF"/>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16, 2024).</w:t>
              </w:r>
            </w:hyperlink>
          </w:p>
        </w:tc>
        <w:tc>
          <w:tcPr>
            <w:tcW w:w="480" w:type="dxa"/>
            <w:vAlign w:val="bottom"/>
            <w:tcBorders>
              <w:top w:val="single" w:sz="8" w:color="0000FF"/>
            </w:tcBorders>
            <w:shd w:val="clear" w:color="auto" w:fill="CCEEFF"/>
          </w:tcPr>
          <w:p>
            <w:pPr>
              <w:spacing w:after="0"/>
              <w:rPr>
                <w:sz w:val="12"/>
                <w:szCs w:val="12"/>
                <w:color w:val="auto"/>
              </w:rPr>
            </w:pPr>
          </w:p>
        </w:tc>
        <w:tc>
          <w:tcPr>
            <w:tcW w:w="1540" w:type="dxa"/>
            <w:vAlign w:val="bottom"/>
            <w:tcBorders>
              <w:top w:val="single" w:sz="8" w:color="0000FF"/>
            </w:tcBorders>
            <w:shd w:val="clear" w:color="auto" w:fill="CCEEFF"/>
          </w:tcPr>
          <w:p>
            <w:pPr>
              <w:spacing w:after="0"/>
              <w:rPr>
                <w:sz w:val="12"/>
                <w:szCs w:val="12"/>
                <w:color w:val="auto"/>
              </w:rPr>
            </w:pPr>
          </w:p>
        </w:tc>
        <w:tc>
          <w:tcPr>
            <w:tcW w:w="488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0000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496"/>
        </w:trPr>
        <w:tc>
          <w:tcPr>
            <w:tcW w:w="13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420" w:type="dxa"/>
            <w:vAlign w:val="bottom"/>
            <w:tcBorders>
              <w:top w:val="single" w:sz="8" w:color="0000FF"/>
            </w:tcBorders>
            <w:shd w:val="clear" w:color="auto" w:fill="CCEEFF"/>
          </w:tcPr>
          <w:p>
            <w:pPr>
              <w:spacing w:after="0"/>
              <w:rPr>
                <w:sz w:val="24"/>
                <w:szCs w:val="24"/>
                <w:color w:val="auto"/>
              </w:rPr>
            </w:pPr>
          </w:p>
        </w:tc>
        <w:tc>
          <w:tcPr>
            <w:tcW w:w="260" w:type="dxa"/>
            <w:vAlign w:val="bottom"/>
            <w:tcBorders>
              <w:top w:val="single" w:sz="8" w:color="0000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540" w:type="dxa"/>
            <w:vAlign w:val="bottom"/>
            <w:tcBorders>
              <w:top w:val="single" w:sz="8" w:color="CCEEFF"/>
            </w:tcBorders>
            <w:shd w:val="clear" w:color="auto" w:fill="CCEEFF"/>
          </w:tcPr>
          <w:p>
            <w:pPr>
              <w:spacing w:after="0"/>
              <w:rPr>
                <w:sz w:val="24"/>
                <w:szCs w:val="24"/>
                <w:color w:val="auto"/>
              </w:rPr>
            </w:pPr>
          </w:p>
        </w:tc>
        <w:tc>
          <w:tcPr>
            <w:tcW w:w="4880" w:type="dxa"/>
            <w:vAlign w:val="bottom"/>
            <w:tcBorders>
              <w:top w:val="single" w:sz="8" w:color="CCEEFF"/>
            </w:tcBorders>
            <w:shd w:val="clear" w:color="auto" w:fill="CCEEFF"/>
          </w:tcPr>
          <w:p>
            <w:pPr>
              <w:spacing w:after="0"/>
              <w:rPr>
                <w:sz w:val="24"/>
                <w:szCs w:val="24"/>
                <w:color w:val="auto"/>
              </w:rPr>
            </w:pPr>
          </w:p>
        </w:tc>
        <w:tc>
          <w:tcPr>
            <w:tcW w:w="76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5"/>
                <w:szCs w:val="15"/>
                <w:color w:val="auto"/>
              </w:rPr>
            </w:pPr>
          </w:p>
        </w:tc>
        <w:tc>
          <w:tcPr>
            <w:tcW w:w="9720" w:type="dxa"/>
            <w:vAlign w:val="bottom"/>
            <w:gridSpan w:val="14"/>
          </w:tcPr>
          <w:p>
            <w:pPr>
              <w:spacing w:after="0" w:line="181"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of Class A Warrant (incorporated by reference to Exhibit 4.2 to the Company's Current Report on Form 8-K filed on September 16,</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0000FF"/>
            </w:tcBorders>
            <w:gridSpan w:val="2"/>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2024).</w:t>
              </w:r>
            </w:hyperlink>
          </w:p>
        </w:tc>
        <w:tc>
          <w:tcPr>
            <w:tcW w:w="7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8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right w:val="single" w:sz="8" w:color="CCEEFF"/>
            </w:tcBorders>
            <w:shd w:val="clear" w:color="auto" w:fill="CCEEFF"/>
          </w:tcPr>
          <w:p>
            <w:pPr>
              <w:spacing w:after="0"/>
              <w:rPr>
                <w:sz w:val="15"/>
                <w:szCs w:val="15"/>
                <w:color w:val="auto"/>
              </w:rPr>
            </w:pPr>
          </w:p>
        </w:tc>
        <w:tc>
          <w:tcPr>
            <w:tcW w:w="9720" w:type="dxa"/>
            <w:vAlign w:val="bottom"/>
            <w:gridSpan w:val="14"/>
            <w:shd w:val="clear" w:color="auto" w:fill="CCEEFF"/>
          </w:tcPr>
          <w:p>
            <w:pPr>
              <w:spacing w:after="0" w:line="181"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of Class B Warrant (incorporated by reference to Exhibit 4.3 to the Company’s Current Report on Form 8-K filed on September 16,</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0000FF"/>
            </w:tcBorders>
            <w:gridSpan w:val="2"/>
            <w:shd w:val="clear" w:color="auto" w:fill="CCEEFF"/>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2024).</w:t>
              </w:r>
            </w:hyperlink>
          </w:p>
        </w:tc>
        <w:tc>
          <w:tcPr>
            <w:tcW w:w="78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1540" w:type="dxa"/>
            <w:vAlign w:val="bottom"/>
            <w:tcBorders>
              <w:top w:val="single" w:sz="8" w:color="0000FF"/>
            </w:tcBorders>
            <w:shd w:val="clear" w:color="auto" w:fill="CCEEFF"/>
          </w:tcPr>
          <w:p>
            <w:pPr>
              <w:spacing w:after="0"/>
              <w:rPr>
                <w:sz w:val="12"/>
                <w:szCs w:val="12"/>
                <w:color w:val="auto"/>
              </w:rPr>
            </w:pPr>
          </w:p>
        </w:tc>
        <w:tc>
          <w:tcPr>
            <w:tcW w:w="488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0000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496"/>
        </w:trPr>
        <w:tc>
          <w:tcPr>
            <w:tcW w:w="13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420" w:type="dxa"/>
            <w:vAlign w:val="bottom"/>
            <w:tcBorders>
              <w:top w:val="single" w:sz="8" w:color="0000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540" w:type="dxa"/>
            <w:vAlign w:val="bottom"/>
            <w:tcBorders>
              <w:top w:val="single" w:sz="8" w:color="CCEEFF"/>
            </w:tcBorders>
            <w:shd w:val="clear" w:color="auto" w:fill="CCEEFF"/>
          </w:tcPr>
          <w:p>
            <w:pPr>
              <w:spacing w:after="0"/>
              <w:rPr>
                <w:sz w:val="24"/>
                <w:szCs w:val="24"/>
                <w:color w:val="auto"/>
              </w:rPr>
            </w:pPr>
          </w:p>
        </w:tc>
        <w:tc>
          <w:tcPr>
            <w:tcW w:w="4880" w:type="dxa"/>
            <w:vAlign w:val="bottom"/>
            <w:tcBorders>
              <w:top w:val="single" w:sz="8" w:color="CCEEFF"/>
            </w:tcBorders>
            <w:shd w:val="clear" w:color="auto" w:fill="CCEEFF"/>
          </w:tcPr>
          <w:p>
            <w:pPr>
              <w:spacing w:after="0"/>
              <w:rPr>
                <w:sz w:val="24"/>
                <w:szCs w:val="24"/>
                <w:color w:val="auto"/>
              </w:rPr>
            </w:pPr>
          </w:p>
        </w:tc>
        <w:tc>
          <w:tcPr>
            <w:tcW w:w="76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5"/>
                <w:szCs w:val="15"/>
                <w:color w:val="auto"/>
              </w:rPr>
            </w:pPr>
          </w:p>
        </w:tc>
        <w:tc>
          <w:tcPr>
            <w:tcW w:w="972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Secured Convertible Promissory Note, dated July 12, 2024, by and between Space Infrastructures Ventures, LLC and Momentus Inc.</w:t>
            </w: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48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Borders>
              <w:right w:val="single" w:sz="8" w:color="CCEEFF"/>
            </w:tcBorders>
            <w:shd w:val="clear" w:color="auto" w:fill="CCEEFF"/>
          </w:tcPr>
          <w:p>
            <w:pPr>
              <w:spacing w:after="0"/>
              <w:rPr>
                <w:sz w:val="16"/>
                <w:szCs w:val="16"/>
                <w:color w:val="auto"/>
              </w:rPr>
            </w:pPr>
          </w:p>
        </w:tc>
        <w:tc>
          <w:tcPr>
            <w:tcW w:w="9720" w:type="dxa"/>
            <w:vAlign w:val="bottom"/>
            <w:gridSpan w:val="14"/>
            <w:shd w:val="clear" w:color="auto" w:fill="CCEEFF"/>
          </w:tcPr>
          <w:p>
            <w:pPr>
              <w:spacing w:after="0" w:line="190"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640" w:type="dxa"/>
            <w:vAlign w:val="bottom"/>
            <w:tcBorders>
              <w:top w:val="single" w:sz="8" w:color="0000FF"/>
            </w:tcBorders>
            <w:gridSpan w:val="10"/>
            <w:shd w:val="clear" w:color="auto" w:fill="CCEEFF"/>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September 16, 2024).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48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5"/>
                <w:szCs w:val="15"/>
                <w:color w:val="auto"/>
              </w:rPr>
            </w:pPr>
          </w:p>
        </w:tc>
        <w:tc>
          <w:tcPr>
            <w:tcW w:w="9720" w:type="dxa"/>
            <w:vAlign w:val="bottom"/>
            <w:gridSpan w:val="14"/>
          </w:tcPr>
          <w:p>
            <w:pPr>
              <w:spacing w:after="0" w:line="181"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of Registration Rights Agreement (incorporated by reference to Exhibit 10.2 to the Company’s Current Report on Form 8-K filed on</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2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September 16, 2024).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120" w:type="dxa"/>
            <w:vAlign w:val="bottom"/>
            <w:tcBorders>
              <w:right w:val="single" w:sz="8" w:color="CCEEFF"/>
            </w:tcBorders>
            <w:shd w:val="clear" w:color="auto" w:fill="CCEEFF"/>
          </w:tcPr>
          <w:p>
            <w:pPr>
              <w:spacing w:after="0"/>
              <w:rPr>
                <w:sz w:val="15"/>
                <w:szCs w:val="15"/>
                <w:color w:val="auto"/>
              </w:rPr>
            </w:pPr>
          </w:p>
        </w:tc>
        <w:tc>
          <w:tcPr>
            <w:tcW w:w="9720" w:type="dxa"/>
            <w:vAlign w:val="bottom"/>
            <w:gridSpan w:val="1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660" w:type="dxa"/>
            <w:vAlign w:val="bottom"/>
            <w:tcBorders>
              <w:top w:val="single" w:sz="8" w:color="0000FF"/>
            </w:tcBorders>
            <w:gridSpan w:val="11"/>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48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15"/>
                <w:szCs w:val="15"/>
                <w:color w:val="auto"/>
              </w:rPr>
            </w:pPr>
          </w:p>
        </w:tc>
        <w:tc>
          <w:tcPr>
            <w:tcW w:w="972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60" w:type="dxa"/>
            <w:vAlign w:val="bottom"/>
            <w:tcBorders>
              <w:top w:val="single" w:sz="8" w:color="0000FF"/>
            </w:tcBorders>
            <w:gridSpan w:val="11"/>
          </w:tcPr>
          <w:p>
            <w:pPr>
              <w:spacing w:after="0" w:line="148"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3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right w:val="single" w:sz="8" w:color="CCEEFF"/>
            </w:tcBorders>
            <w:shd w:val="clear" w:color="auto" w:fill="CCEEFF"/>
          </w:tcPr>
          <w:p>
            <w:pPr>
              <w:spacing w:after="0"/>
              <w:rPr>
                <w:sz w:val="15"/>
                <w:szCs w:val="15"/>
                <w:color w:val="auto"/>
              </w:rPr>
            </w:pPr>
          </w:p>
        </w:tc>
        <w:tc>
          <w:tcPr>
            <w:tcW w:w="9720" w:type="dxa"/>
            <w:vAlign w:val="bottom"/>
            <w:gridSpan w:val="14"/>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48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15"/>
                <w:szCs w:val="15"/>
                <w:color w:val="auto"/>
              </w:rPr>
            </w:pPr>
          </w:p>
        </w:tc>
        <w:tc>
          <w:tcPr>
            <w:tcW w:w="972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488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99.1</w:t>
            </w:r>
          </w:p>
        </w:tc>
        <w:tc>
          <w:tcPr>
            <w:tcW w:w="120" w:type="dxa"/>
            <w:vAlign w:val="bottom"/>
            <w:tcBorders>
              <w:right w:val="single" w:sz="8" w:color="CCEEFF"/>
            </w:tcBorders>
            <w:shd w:val="clear" w:color="auto" w:fill="CCEEFF"/>
          </w:tcPr>
          <w:p>
            <w:pPr>
              <w:spacing w:after="0"/>
              <w:rPr>
                <w:sz w:val="16"/>
                <w:szCs w:val="16"/>
                <w:color w:val="auto"/>
              </w:rPr>
            </w:pPr>
          </w:p>
        </w:tc>
        <w:tc>
          <w:tcPr>
            <w:tcW w:w="9720" w:type="dxa"/>
            <w:vAlign w:val="bottom"/>
            <w:gridSpan w:val="14"/>
            <w:shd w:val="clear" w:color="auto" w:fill="CCEEFF"/>
          </w:tcPr>
          <w:p>
            <w:pPr>
              <w:spacing w:after="0" w:line="190" w:lineRule="exact"/>
              <w:rPr>
                <w:rFonts w:ascii="Times New Roman" w:cs="Times New Roman" w:eastAsia="Times New Roman" w:hAnsi="Times New Roman"/>
                <w:sz w:val="17"/>
                <w:szCs w:val="17"/>
                <w:color w:val="auto"/>
              </w:rPr>
            </w:pPr>
            <w:hyperlink r:id="rId93">
              <w:r>
                <w:rPr>
                  <w:rFonts w:ascii="Times New Roman" w:cs="Times New Roman" w:eastAsia="Times New Roman" w:hAnsi="Times New Roman"/>
                  <w:sz w:val="17"/>
                  <w:szCs w:val="17"/>
                  <w:color w:val="auto"/>
                </w:rPr>
                <w:t>Notice of Pendency and Proposed Settlement of Derivative Matters (incorporated by reference to Exhibit 99.1 to the Company’s Current</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680" w:type="dxa"/>
            <w:vAlign w:val="bottom"/>
            <w:tcBorders>
              <w:top w:val="single" w:sz="8" w:color="auto"/>
            </w:tcBorders>
            <w:gridSpan w:val="12"/>
            <w:shd w:val="clear" w:color="auto" w:fill="CCEEFF"/>
          </w:tcPr>
          <w:p>
            <w:pPr>
              <w:spacing w:after="0" w:line="148" w:lineRule="exact"/>
              <w:rPr>
                <w:rFonts w:ascii="Times New Roman" w:cs="Times New Roman" w:eastAsia="Times New Roman" w:hAnsi="Times New Roman"/>
                <w:sz w:val="17"/>
                <w:szCs w:val="17"/>
                <w:color w:val="auto"/>
              </w:rPr>
            </w:pPr>
            <w:hyperlink r:id="rId93">
              <w:r>
                <w:rPr>
                  <w:rFonts w:ascii="Times New Roman" w:cs="Times New Roman" w:eastAsia="Times New Roman" w:hAnsi="Times New Roman"/>
                  <w:sz w:val="17"/>
                  <w:szCs w:val="17"/>
                  <w:color w:val="auto"/>
                </w:rPr>
                <w:t>Report on Form 8-K filed on September 26, 2024).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780" w:type="dxa"/>
            <w:vAlign w:val="bottom"/>
            <w:tcBorders>
              <w:top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1540" w:type="dxa"/>
            <w:vAlign w:val="bottom"/>
            <w:tcBorders>
              <w:top w:val="single" w:sz="8" w:color="auto"/>
            </w:tcBorders>
            <w:shd w:val="clear" w:color="auto" w:fill="CCEEFF"/>
          </w:tcPr>
          <w:p>
            <w:pPr>
              <w:spacing w:after="0"/>
              <w:rPr>
                <w:sz w:val="2"/>
                <w:szCs w:val="2"/>
                <w:color w:val="auto"/>
              </w:rPr>
            </w:pPr>
          </w:p>
        </w:tc>
        <w:tc>
          <w:tcPr>
            <w:tcW w:w="48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99.2</w:t>
            </w:r>
          </w:p>
        </w:tc>
        <w:tc>
          <w:tcPr>
            <w:tcW w:w="120" w:type="dxa"/>
            <w:vAlign w:val="bottom"/>
          </w:tcPr>
          <w:p>
            <w:pPr>
              <w:spacing w:after="0"/>
              <w:rPr>
                <w:sz w:val="15"/>
                <w:szCs w:val="15"/>
                <w:color w:val="auto"/>
              </w:rPr>
            </w:pPr>
          </w:p>
        </w:tc>
        <w:tc>
          <w:tcPr>
            <w:tcW w:w="9720" w:type="dxa"/>
            <w:vAlign w:val="bottom"/>
            <w:gridSpan w:val="14"/>
          </w:tcPr>
          <w:p>
            <w:pPr>
              <w:spacing w:after="0" w:line="181" w:lineRule="exact"/>
              <w:rPr>
                <w:rFonts w:ascii="Times New Roman" w:cs="Times New Roman" w:eastAsia="Times New Roman" w:hAnsi="Times New Roman"/>
                <w:sz w:val="17"/>
                <w:szCs w:val="17"/>
                <w:color w:val="auto"/>
              </w:rPr>
            </w:pPr>
            <w:hyperlink r:id="rId94">
              <w:r>
                <w:rPr>
                  <w:rFonts w:ascii="Times New Roman" w:cs="Times New Roman" w:eastAsia="Times New Roman" w:hAnsi="Times New Roman"/>
                  <w:sz w:val="17"/>
                  <w:szCs w:val="17"/>
                  <w:color w:val="auto"/>
                </w:rPr>
                <w:t>Stipulation and Agreement of Settlement (incorporated by reference to Exhibit 99.2 to the Company’s Current Report on Form 8-K filed on</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00" w:type="dxa"/>
            <w:vAlign w:val="bottom"/>
            <w:tcBorders>
              <w:top w:val="single" w:sz="8" w:color="auto"/>
            </w:tcBorders>
            <w:gridSpan w:val="13"/>
          </w:tcPr>
          <w:p>
            <w:pPr>
              <w:spacing w:after="0" w:line="148" w:lineRule="exact"/>
              <w:rPr>
                <w:rFonts w:ascii="Times New Roman" w:cs="Times New Roman" w:eastAsia="Times New Roman" w:hAnsi="Times New Roman"/>
                <w:sz w:val="17"/>
                <w:szCs w:val="17"/>
                <w:color w:val="auto"/>
              </w:rPr>
            </w:pPr>
            <w:hyperlink r:id="rId94">
              <w:r>
                <w:rPr>
                  <w:rFonts w:ascii="Times New Roman" w:cs="Times New Roman" w:eastAsia="Times New Roman" w:hAnsi="Times New Roman"/>
                  <w:sz w:val="17"/>
                  <w:szCs w:val="17"/>
                  <w:color w:val="auto"/>
                </w:rPr>
                <w:t>September 26, 2024).</w:t>
              </w:r>
            </w:hyperlink>
          </w:p>
        </w:tc>
        <w:tc>
          <w:tcPr>
            <w:tcW w:w="20" w:type="dxa"/>
            <w:vAlign w:val="bottom"/>
          </w:tcPr>
          <w:p>
            <w:pPr>
              <w:spacing w:after="0"/>
              <w:rPr>
                <w:sz w:val="12"/>
                <w:szCs w:val="12"/>
                <w:color w:val="auto"/>
              </w:rPr>
            </w:pPr>
          </w:p>
        </w:tc>
      </w:tr>
      <w:tr>
        <w:trPr>
          <w:trHeight w:val="32"/>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8"/>
        </w:trPr>
        <w:tc>
          <w:tcPr>
            <w:tcW w:w="13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101.INS*</w:t>
            </w:r>
          </w:p>
        </w:tc>
        <w:tc>
          <w:tcPr>
            <w:tcW w:w="120" w:type="dxa"/>
            <w:vAlign w:val="bottom"/>
            <w:tcBorders>
              <w:right w:val="single" w:sz="8" w:color="CCEEFF"/>
            </w:tcBorders>
            <w:shd w:val="clear" w:color="auto" w:fill="CCEEFF"/>
          </w:tcPr>
          <w:p>
            <w:pPr>
              <w:spacing w:after="0"/>
              <w:rPr>
                <w:sz w:val="14"/>
                <w:szCs w:val="14"/>
                <w:color w:val="auto"/>
              </w:rPr>
            </w:pPr>
          </w:p>
        </w:tc>
        <w:tc>
          <w:tcPr>
            <w:tcW w:w="9720" w:type="dxa"/>
            <w:vAlign w:val="bottom"/>
            <w:gridSpan w:val="14"/>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32"/>
        </w:trPr>
        <w:tc>
          <w:tcPr>
            <w:tcW w:w="13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19"/>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19"/>
                <w:szCs w:val="19"/>
                <w:color w:val="auto"/>
              </w:rPr>
            </w:pPr>
          </w:p>
        </w:tc>
        <w:tc>
          <w:tcPr>
            <w:tcW w:w="972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1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Borders>
              <w:right w:val="single" w:sz="8" w:color="CCEEFF"/>
            </w:tcBorders>
            <w:shd w:val="clear" w:color="auto" w:fill="CCEEFF"/>
          </w:tcPr>
          <w:p>
            <w:pPr>
              <w:spacing w:after="0"/>
              <w:rPr>
                <w:sz w:val="19"/>
                <w:szCs w:val="19"/>
                <w:color w:val="auto"/>
              </w:rPr>
            </w:pP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19"/>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19"/>
                <w:szCs w:val="19"/>
                <w:color w:val="auto"/>
              </w:rPr>
            </w:pPr>
          </w:p>
        </w:tc>
        <w:tc>
          <w:tcPr>
            <w:tcW w:w="972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1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Borders>
              <w:right w:val="single" w:sz="8" w:color="CCEEFF"/>
            </w:tcBorders>
            <w:shd w:val="clear" w:color="auto" w:fill="CCEEFF"/>
          </w:tcPr>
          <w:p>
            <w:pPr>
              <w:spacing w:after="0"/>
              <w:rPr>
                <w:sz w:val="19"/>
                <w:szCs w:val="19"/>
                <w:color w:val="auto"/>
              </w:rPr>
            </w:pP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19"/>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19"/>
                <w:szCs w:val="19"/>
                <w:color w:val="auto"/>
              </w:rPr>
            </w:pPr>
          </w:p>
        </w:tc>
        <w:tc>
          <w:tcPr>
            <w:tcW w:w="972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1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right w:val="single" w:sz="8" w:color="CCEEFF"/>
            </w:tcBorders>
            <w:shd w:val="clear" w:color="auto" w:fill="CCEEFF"/>
          </w:tcPr>
          <w:p>
            <w:pPr>
              <w:spacing w:after="0"/>
              <w:rPr>
                <w:sz w:val="19"/>
                <w:szCs w:val="19"/>
                <w:color w:val="auto"/>
              </w:rPr>
            </w:pPr>
          </w:p>
        </w:tc>
        <w:tc>
          <w:tcPr>
            <w:tcW w:w="97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8" w:lineRule="exact"/>
        <w:rPr>
          <w:sz w:val="20"/>
          <w:szCs w:val="20"/>
          <w:color w:val="auto"/>
        </w:rPr>
      </w:pPr>
    </w:p>
    <w:p>
      <w:pPr>
        <w:ind w:right="6860" w:firstLine="3"/>
        <w:spacing w:after="0" w:line="256" w:lineRule="auto"/>
        <w:tabs>
          <w:tab w:leader="none" w:pos="25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herewith</w:t>
      </w:r>
    </w:p>
    <w:p>
      <w:pPr>
        <w:ind w:left="460" w:hanging="457"/>
        <w:spacing w:after="0" w:line="238" w:lineRule="auto"/>
        <w:tabs>
          <w:tab w:leader="none" w:pos="46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Furnished herewith</w:t>
      </w:r>
    </w:p>
    <w:p>
      <w:pPr>
        <w:spacing w:after="0" w:line="2" w:lineRule="exact"/>
        <w:rPr>
          <w:sz w:val="20"/>
          <w:szCs w:val="20"/>
          <w:color w:val="auto"/>
        </w:rPr>
      </w:pPr>
    </w:p>
    <w:p>
      <w:pPr>
        <w:ind w:left="320" w:hanging="317"/>
        <w:spacing w:after="0" w:line="265" w:lineRule="auto"/>
        <w:tabs>
          <w:tab w:leader="none" w:pos="32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3360" w:type="dxa"/>
            <w:vAlign w:val="bottom"/>
          </w:tcPr>
          <w:p>
            <w:pPr>
              <w:ind w:left="154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14, 2024</w:t>
            </w:r>
          </w:p>
        </w:tc>
        <w:tc>
          <w:tcPr>
            <w:tcW w:w="336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Rood</w:t>
            </w:r>
          </w:p>
        </w:tc>
      </w:tr>
      <w:tr>
        <w:trPr>
          <w:trHeight w:val="209"/>
        </w:trPr>
        <w:tc>
          <w:tcPr>
            <w:tcW w:w="3340" w:type="dxa"/>
            <w:vAlign w:val="bottom"/>
          </w:tcPr>
          <w:p>
            <w:pPr>
              <w:spacing w:after="0"/>
              <w:rPr>
                <w:sz w:val="18"/>
                <w:szCs w:val="18"/>
                <w:color w:val="auto"/>
              </w:rPr>
            </w:pPr>
          </w:p>
        </w:tc>
        <w:tc>
          <w:tcPr>
            <w:tcW w:w="336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Rood</w:t>
            </w:r>
          </w:p>
        </w:tc>
      </w:tr>
      <w:tr>
        <w:trPr>
          <w:trHeight w:val="171"/>
        </w:trPr>
        <w:tc>
          <w:tcPr>
            <w:tcW w:w="3340" w:type="dxa"/>
            <w:vAlign w:val="bottom"/>
          </w:tcPr>
          <w:p>
            <w:pPr>
              <w:spacing w:after="0"/>
              <w:rPr>
                <w:sz w:val="14"/>
                <w:szCs w:val="14"/>
                <w:color w:val="auto"/>
              </w:rPr>
            </w:pPr>
          </w:p>
        </w:tc>
        <w:tc>
          <w:tcPr>
            <w:tcW w:w="3360" w:type="dxa"/>
            <w:vAlign w:val="bottom"/>
          </w:tcPr>
          <w:p>
            <w:pPr>
              <w:ind w:left="25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33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3"/>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14, 2024</w:t>
            </w:r>
          </w:p>
        </w:tc>
        <w:tc>
          <w:tcPr>
            <w:tcW w:w="336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Lon Ensler</w:t>
            </w:r>
          </w:p>
        </w:tc>
      </w:tr>
      <w:tr>
        <w:trPr>
          <w:trHeight w:val="209"/>
        </w:trPr>
        <w:tc>
          <w:tcPr>
            <w:tcW w:w="3340" w:type="dxa"/>
            <w:vAlign w:val="bottom"/>
          </w:tcPr>
          <w:p>
            <w:pPr>
              <w:spacing w:after="0"/>
              <w:rPr>
                <w:sz w:val="18"/>
                <w:szCs w:val="18"/>
                <w:color w:val="auto"/>
              </w:rPr>
            </w:pPr>
          </w:p>
        </w:tc>
        <w:tc>
          <w:tcPr>
            <w:tcW w:w="336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r>
      <w:tr>
        <w:trPr>
          <w:trHeight w:val="171"/>
        </w:trPr>
        <w:tc>
          <w:tcPr>
            <w:tcW w:w="3340" w:type="dxa"/>
            <w:vAlign w:val="bottom"/>
          </w:tcPr>
          <w:p>
            <w:pPr>
              <w:spacing w:after="0"/>
              <w:rPr>
                <w:sz w:val="14"/>
                <w:szCs w:val="14"/>
                <w:color w:val="auto"/>
              </w:rPr>
            </w:pPr>
          </w:p>
        </w:tc>
        <w:tc>
          <w:tcPr>
            <w:tcW w:w="3360" w:type="dxa"/>
            <w:vAlign w:val="bottom"/>
          </w:tcPr>
          <w:p>
            <w:pPr>
              <w:ind w:left="25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Interim Chief Financial Officer</w:t>
            </w:r>
          </w:p>
        </w:tc>
      </w:tr>
      <w:tr>
        <w:trPr>
          <w:trHeight w:val="223"/>
        </w:trPr>
        <w:tc>
          <w:tcPr>
            <w:tcW w:w="33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40"/>
          </w:cols>
          <w:pgMar w:left="320" w:top="123" w:right="339" w:bottom="1440" w:gutter="0" w:footer="0" w:header="0"/>
        </w:sectPr>
      </w:pPr>
    </w:p>
    <w:bookmarkStart w:id="52" w:name="page53"/>
    <w:bookmarkEnd w:id="52"/>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SECURED CONVERTIBLE PROMISSORY NOTE</w:t>
      </w:r>
    </w:p>
    <w:p>
      <w:pPr>
        <w:spacing w:after="0" w:line="200" w:lineRule="exact"/>
        <w:rPr>
          <w:sz w:val="20"/>
          <w:szCs w:val="20"/>
          <w:color w:val="auto"/>
        </w:rPr>
      </w:pPr>
    </w:p>
    <w:p>
      <w:pPr>
        <w:spacing w:after="0" w:line="21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1"/>
          <w:szCs w:val="21"/>
          <w:b w:val="1"/>
          <w:bCs w:val="1"/>
          <w:color w:val="auto"/>
        </w:rPr>
        <w:t>Up to $2,300,000</w:t>
      </w:r>
      <w:r>
        <w:rPr>
          <w:sz w:val="20"/>
          <w:szCs w:val="20"/>
          <w:color w:val="auto"/>
        </w:rPr>
        <w:tab/>
      </w:r>
      <w:r>
        <w:rPr>
          <w:rFonts w:ascii="Times New Roman" w:cs="Times New Roman" w:eastAsia="Times New Roman" w:hAnsi="Times New Roman"/>
          <w:sz w:val="20"/>
          <w:szCs w:val="20"/>
          <w:b w:val="1"/>
          <w:bCs w:val="1"/>
          <w:color w:val="auto"/>
        </w:rPr>
        <w:t>July 12, 2024</w:t>
      </w:r>
    </w:p>
    <w:p>
      <w:pPr>
        <w:spacing w:after="0" w:line="21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FOR VALUE RECEIVED, MOMENTUS INC.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hereby unconditionally promises to pay to the order of</w:t>
      </w:r>
      <w:r>
        <w:rPr>
          <w:rFonts w:ascii="Times New Roman" w:cs="Times New Roman" w:eastAsia="Times New Roman" w:hAnsi="Times New Roman"/>
          <w:sz w:val="21"/>
          <w:szCs w:val="21"/>
          <w:b w:val="1"/>
          <w:bCs w:val="1"/>
          <w:color w:val="auto"/>
        </w:rPr>
        <w:t xml:space="preserve"> SPACE INFRASTRUCTURES VENTURES, LLC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the principal amount of up to $2,300,000 to the account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Lender from time to time in writing, pursuant to the terms of this secured, convertible promissory note (together with all documents, instruments, and agreements entered into and/or delivered in connection herewith, the “</w:t>
      </w:r>
      <w:r>
        <w:rPr>
          <w:rFonts w:ascii="Times New Roman" w:cs="Times New Roman" w:eastAsia="Times New Roman" w:hAnsi="Times New Roman"/>
          <w:sz w:val="21"/>
          <w:szCs w:val="21"/>
          <w:u w:val="single" w:color="auto"/>
          <w:color w:val="auto"/>
        </w:rPr>
        <w:t>Secured Note</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10" w:lineRule="exact"/>
        <w:rPr>
          <w:sz w:val="20"/>
          <w:szCs w:val="20"/>
          <w:color w:val="auto"/>
        </w:rPr>
      </w:pPr>
    </w:p>
    <w:p>
      <w:pPr>
        <w:jc w:val="both"/>
        <w:ind w:firstLine="619"/>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Borrower requires additional liquidity to fund day-to-day working capital needs and for general corporate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and</w:t>
      </w:r>
    </w:p>
    <w:p>
      <w:pPr>
        <w:spacing w:after="0" w:line="13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Borrower has requested that the Lender provide financing to fund such needs and requirements,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Lender has agreed to provide secured, convertible financing in two tranches in accordance with the provisions of this Secured Note.</w:t>
      </w:r>
    </w:p>
    <w:p>
      <w:pPr>
        <w:spacing w:after="0" w:line="14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for valuable consideration, the receipt and sufficiency of which are hereby acknowledged, the Borrower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Lender agree as follows:</w:t>
      </w:r>
    </w:p>
    <w:p>
      <w:pPr>
        <w:spacing w:after="0" w:line="151" w:lineRule="exact"/>
        <w:rPr>
          <w:sz w:val="20"/>
          <w:szCs w:val="20"/>
          <w:color w:val="auto"/>
        </w:rPr>
      </w:pPr>
    </w:p>
    <w:p>
      <w:pPr>
        <w:jc w:val="both"/>
        <w:ind w:firstLine="622"/>
        <w:spacing w:after="0" w:line="249" w:lineRule="auto"/>
        <w:tabs>
          <w:tab w:leader="none" w:pos="123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Principal Amount of Note.</w:t>
      </w:r>
      <w:r>
        <w:rPr>
          <w:rFonts w:ascii="Times New Roman" w:cs="Times New Roman" w:eastAsia="Times New Roman" w:hAnsi="Times New Roman"/>
          <w:sz w:val="21"/>
          <w:szCs w:val="21"/>
          <w:color w:val="auto"/>
        </w:rPr>
        <w:t xml:space="preserve"> The principal amount of the loans to be extended pursuant to this Secured Note is $2,300,000 (the “</w:t>
      </w:r>
      <w:r>
        <w:rPr>
          <w:rFonts w:ascii="Times New Roman" w:cs="Times New Roman" w:eastAsia="Times New Roman" w:hAnsi="Times New Roman"/>
          <w:sz w:val="21"/>
          <w:szCs w:val="21"/>
          <w:u w:val="single" w:color="auto"/>
          <w:color w:val="auto"/>
        </w:rPr>
        <w:t>Total Commitment Amount</w:t>
      </w:r>
      <w:r>
        <w:rPr>
          <w:rFonts w:ascii="Times New Roman" w:cs="Times New Roman" w:eastAsia="Times New Roman" w:hAnsi="Times New Roman"/>
          <w:sz w:val="21"/>
          <w:szCs w:val="21"/>
          <w:color w:val="auto"/>
        </w:rPr>
        <w:t>”), which shall be made available to the Borrower in two tranches, subject to the prior satisfaction of all conditions to borrowing in this Secured Note, as follows: (a) on or after July 17, 2024, the Borrower may borrow up to $500,000 of the Total Commitment Amount (the “</w:t>
      </w:r>
      <w:r>
        <w:rPr>
          <w:rFonts w:ascii="Times New Roman" w:cs="Times New Roman" w:eastAsia="Times New Roman" w:hAnsi="Times New Roman"/>
          <w:sz w:val="21"/>
          <w:szCs w:val="21"/>
          <w:u w:val="single" w:color="auto"/>
          <w:color w:val="auto"/>
        </w:rPr>
        <w:t>First Loan</w:t>
      </w:r>
      <w:r>
        <w:rPr>
          <w:rFonts w:ascii="Times New Roman" w:cs="Times New Roman" w:eastAsia="Times New Roman" w:hAnsi="Times New Roman"/>
          <w:sz w:val="21"/>
          <w:szCs w:val="21"/>
          <w:color w:val="auto"/>
        </w:rPr>
        <w:t>”), and (b) on or after August 7, 2024, the Borrower may borrow up $1,800,000 of the Total Commitment Amount (the “</w:t>
      </w:r>
      <w:r>
        <w:rPr>
          <w:rFonts w:ascii="Times New Roman" w:cs="Times New Roman" w:eastAsia="Times New Roman" w:hAnsi="Times New Roman"/>
          <w:sz w:val="21"/>
          <w:szCs w:val="21"/>
          <w:u w:val="single" w:color="auto"/>
          <w:color w:val="auto"/>
        </w:rPr>
        <w:t>Second Loan</w:t>
      </w:r>
      <w:r>
        <w:rPr>
          <w:rFonts w:ascii="Times New Roman" w:cs="Times New Roman" w:eastAsia="Times New Roman" w:hAnsi="Times New Roman"/>
          <w:sz w:val="21"/>
          <w:szCs w:val="21"/>
          <w:color w:val="auto"/>
        </w:rPr>
        <w:t>”, and together with the First Loan, the “</w:t>
      </w:r>
      <w:r>
        <w:rPr>
          <w:rFonts w:ascii="Times New Roman" w:cs="Times New Roman" w:eastAsia="Times New Roman" w:hAnsi="Times New Roman"/>
          <w:sz w:val="21"/>
          <w:szCs w:val="21"/>
          <w:u w:val="single" w:color="auto"/>
          <w:color w:val="auto"/>
        </w:rPr>
        <w:t>Loans</w:t>
      </w:r>
      <w:r>
        <w:rPr>
          <w:rFonts w:ascii="Times New Roman" w:cs="Times New Roman" w:eastAsia="Times New Roman" w:hAnsi="Times New Roman"/>
          <w:sz w:val="21"/>
          <w:szCs w:val="21"/>
          <w:color w:val="auto"/>
        </w:rPr>
        <w:t>”; each date on which the Borrower borrows a Loan (i.e., receives Loan funds), a “</w:t>
      </w:r>
      <w:r>
        <w:rPr>
          <w:rFonts w:ascii="Times New Roman" w:cs="Times New Roman" w:eastAsia="Times New Roman" w:hAnsi="Times New Roman"/>
          <w:sz w:val="21"/>
          <w:szCs w:val="21"/>
          <w:u w:val="single" w:color="auto"/>
          <w:color w:val="auto"/>
        </w:rPr>
        <w:t>Borrowing Date</w:t>
      </w:r>
      <w:r>
        <w:rPr>
          <w:rFonts w:ascii="Times New Roman" w:cs="Times New Roman" w:eastAsia="Times New Roman" w:hAnsi="Times New Roman"/>
          <w:sz w:val="21"/>
          <w:szCs w:val="21"/>
          <w:color w:val="auto"/>
        </w:rPr>
        <w:t>”). Any amounts repaid may not be re-borrowed. The Lender may, in its sole and absolute discretion, agree to provide additional convertible debt financing under this Secured Note, subject to mutual agreement between the Lender and the Borrower on the terms of such additional financing. The Loans must be borrowed prior to September 1, 2024, or the commitment of the Lender and this Secured Note shall terminate (the “</w:t>
      </w:r>
      <w:r>
        <w:rPr>
          <w:rFonts w:ascii="Times New Roman" w:cs="Times New Roman" w:eastAsia="Times New Roman" w:hAnsi="Times New Roman"/>
          <w:sz w:val="21"/>
          <w:szCs w:val="21"/>
          <w:u w:val="single" w:color="auto"/>
          <w:color w:val="auto"/>
        </w:rPr>
        <w:t>Outside Date</w:t>
      </w:r>
      <w:r>
        <w:rPr>
          <w:rFonts w:ascii="Times New Roman" w:cs="Times New Roman" w:eastAsia="Times New Roman" w:hAnsi="Times New Roman"/>
          <w:sz w:val="21"/>
          <w:szCs w:val="21"/>
          <w:color w:val="auto"/>
        </w:rPr>
        <w:t>”). If no Loans are made under this Secured Note, the Borrower shall have no repayment obligations hereunder.</w:t>
      </w:r>
    </w:p>
    <w:p>
      <w:pPr>
        <w:spacing w:after="0" w:line="176" w:lineRule="exact"/>
        <w:rPr>
          <w:rFonts w:ascii="Times New Roman" w:cs="Times New Roman" w:eastAsia="Times New Roman" w:hAnsi="Times New Roman"/>
          <w:sz w:val="21"/>
          <w:szCs w:val="21"/>
          <w:color w:val="auto"/>
        </w:rPr>
      </w:pPr>
    </w:p>
    <w:p>
      <w:pPr>
        <w:jc w:val="both"/>
        <w:ind w:firstLine="622"/>
        <w:spacing w:after="0" w:line="268" w:lineRule="auto"/>
        <w:tabs>
          <w:tab w:leader="none" w:pos="123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(a) Interest shall accrue on the outstanding principal amount of the Loans once made at a rate of fifteen percent (15%) per annum based on a 360-day year and shall be added to the principal amount of the Secured Loan and paid on the Maturity Date (as defined below). (b) In the event of an Event of Default (as defined below), default interest shall accrue on the outstanding principal amount of the Secured Note at 2% per annum above the non-default rate set forth above (“</w:t>
      </w: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and be payable on demand in cash. (c) At the option of the Lender, all accrued but unpaid interest, whether at the non-default or default rate,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paid by the Borrower to Lender in common shares of the Borrower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xml:space="preserve">”) in accordance with </w:t>
      </w:r>
      <w:r>
        <w:rPr>
          <w:rFonts w:ascii="Times New Roman" w:cs="Times New Roman" w:eastAsia="Times New Roman" w:hAnsi="Times New Roman"/>
          <w:sz w:val="21"/>
          <w:szCs w:val="21"/>
          <w:u w:val="single" w:color="auto"/>
          <w:color w:val="auto"/>
        </w:rPr>
        <w:t>Section 13(a)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22"/>
        <w:spacing w:after="0" w:line="262" w:lineRule="auto"/>
        <w:tabs>
          <w:tab w:leader="none" w:pos="1238"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Amortization.</w:t>
      </w:r>
      <w:r>
        <w:rPr>
          <w:rFonts w:ascii="Times New Roman" w:cs="Times New Roman" w:eastAsia="Times New Roman" w:hAnsi="Times New Roman"/>
          <w:sz w:val="21"/>
          <w:szCs w:val="21"/>
          <w:color w:val="auto"/>
        </w:rPr>
        <w:t xml:space="preserve"> The Borrower shall repay the principal amount of the Loans as follows: (a) twenty-five percent (25%) on December 1, 2024, (b) twenty-five percent (25%) on March 1, 2025, (c) twenty-five percent (25%) on June 1, 2025, and (d) twenty-five percent (25%) on September 1, 2025.</w:t>
      </w:r>
    </w:p>
    <w:p>
      <w:pPr>
        <w:spacing w:after="0" w:line="163" w:lineRule="exact"/>
        <w:rPr>
          <w:rFonts w:ascii="Times New Roman" w:cs="Times New Roman" w:eastAsia="Times New Roman" w:hAnsi="Times New Roman"/>
          <w:sz w:val="21"/>
          <w:szCs w:val="21"/>
          <w:color w:val="auto"/>
        </w:rPr>
      </w:pPr>
    </w:p>
    <w:p>
      <w:pPr>
        <w:jc w:val="both"/>
        <w:ind w:firstLine="622"/>
        <w:spacing w:after="0" w:line="259" w:lineRule="auto"/>
        <w:tabs>
          <w:tab w:leader="none" w:pos="1238"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xml:space="preserve"> The Loans shall be used solely for the following purposes: (a) funding day-to-day working capital needs in the ordinary course of business, consistent with the Borrower’s practices prior to the date hereof; (b) for general corporate purposes in the ordinary course of business, consistent with the Borrower’s practices prior to the date hereof; and (c) solely from the proceeds of the Second Loan, to repay the secured loans (and all accrued but unpaid interest, fees and expenses) made to the Borrower pursuant to those certain Secured Promissory Notes each dated June 21, 2024 (the “</w:t>
      </w:r>
      <w:r>
        <w:rPr>
          <w:rFonts w:ascii="Times New Roman" w:cs="Times New Roman" w:eastAsia="Times New Roman" w:hAnsi="Times New Roman"/>
          <w:sz w:val="20"/>
          <w:szCs w:val="20"/>
          <w:u w:val="single" w:color="auto"/>
          <w:color w:val="auto"/>
        </w:rPr>
        <w:t>Director Notes</w:t>
      </w:r>
      <w:r>
        <w:rPr>
          <w:rFonts w:ascii="Times New Roman" w:cs="Times New Roman" w:eastAsia="Times New Roman" w:hAnsi="Times New Roman"/>
          <w:sz w:val="20"/>
          <w:szCs w:val="20"/>
          <w:color w:val="auto"/>
        </w:rPr>
        <w:t>”), in the aggregate amount of $500,000, made individually by (i) Brian Kabot, (ii) Paul Ney, (iii) Chris Hadfield, (iv) John Rood, (v) Victorino Mercado, and (vi) Mitchel Kugler to the Borrower (collectively the “</w:t>
      </w:r>
      <w:r>
        <w:rPr>
          <w:rFonts w:ascii="Times New Roman" w:cs="Times New Roman" w:eastAsia="Times New Roman" w:hAnsi="Times New Roman"/>
          <w:sz w:val="20"/>
          <w:szCs w:val="20"/>
          <w:u w:val="single" w:color="auto"/>
          <w:color w:val="auto"/>
        </w:rPr>
        <w:t>Director Loans</w:t>
      </w:r>
      <w:r>
        <w:rPr>
          <w:rFonts w:ascii="Times New Roman" w:cs="Times New Roman" w:eastAsia="Times New Roman" w:hAnsi="Times New Roman"/>
          <w:sz w:val="20"/>
          <w:szCs w:val="20"/>
          <w:color w:val="auto"/>
        </w:rPr>
        <w:t>”, and each lender of a Director Loan, a “</w:t>
      </w:r>
      <w:r>
        <w:rPr>
          <w:rFonts w:ascii="Times New Roman" w:cs="Times New Roman" w:eastAsia="Times New Roman" w:hAnsi="Times New Roman"/>
          <w:sz w:val="20"/>
          <w:szCs w:val="20"/>
          <w:u w:val="single" w:color="auto"/>
          <w:color w:val="auto"/>
        </w:rPr>
        <w:t>Director Lender</w:t>
      </w:r>
      <w:r>
        <w:rPr>
          <w:rFonts w:ascii="Times New Roman" w:cs="Times New Roman" w:eastAsia="Times New Roman" w:hAnsi="Times New Roman"/>
          <w:sz w:val="20"/>
          <w:szCs w:val="20"/>
          <w:color w:val="auto"/>
        </w:rPr>
        <w:t>”). Unless already paid from the sale of any Permitted Collateral Sale (as defined below) or otherwise, the Director Loans shall be repaid from the proceeds of the Second Loan. It is a condition to the making of the Second Loan and repayment of the Director Loans therefrom that all Director Lenders provide Lender with a full written release of liabilities arising from or related to the Director Notes, this Secured Note and the transaction contemplated hereby and to be effective upon the receipt of repayment funds by the individual Director Lenders, which releases shall be in form and substance satisfactory to Lender (the “</w:t>
      </w:r>
      <w:r>
        <w:rPr>
          <w:rFonts w:ascii="Times New Roman" w:cs="Times New Roman" w:eastAsia="Times New Roman" w:hAnsi="Times New Roman"/>
          <w:sz w:val="20"/>
          <w:szCs w:val="20"/>
          <w:u w:val="single" w:color="auto"/>
          <w:color w:val="auto"/>
        </w:rPr>
        <w:t>Director Lender Releases</w:t>
      </w:r>
      <w:r>
        <w:rPr>
          <w:rFonts w:ascii="Times New Roman" w:cs="Times New Roman" w:eastAsia="Times New Roman" w:hAnsi="Times New Roman"/>
          <w:sz w:val="20"/>
          <w:szCs w:val="20"/>
          <w:color w:val="auto"/>
        </w:rPr>
        <w:t>”). Upon receipt by Lender of all Director Lender Releases, Lender shall wire transfer the applicable repayment amounts directly to each Director Lender, and then make the balance of the proceeds of the Second Loan available to the Borrower. Without the prior written consent of the Lender, the Borrower shall not use the Loans for any other purposes, including, without limitation, to (a) increase the compensation of any employees or directors, (b) purchase the assets or equity of any other person or entity, (c) extend financing to any person or entity,</w:t>
      </w:r>
    </w:p>
    <w:p>
      <w:pPr>
        <w:spacing w:after="0" w:line="8" w:lineRule="exact"/>
        <w:rPr>
          <w:rFonts w:ascii="Times New Roman" w:cs="Times New Roman" w:eastAsia="Times New Roman" w:hAnsi="Times New Roman"/>
          <w:sz w:val="20"/>
          <w:szCs w:val="20"/>
          <w:color w:val="auto"/>
        </w:rPr>
      </w:pPr>
    </w:p>
    <w:p>
      <w:pPr>
        <w:ind w:firstLine="3"/>
        <w:spacing w:after="0" w:line="247" w:lineRule="auto"/>
        <w:tabs>
          <w:tab w:leader="none" w:pos="297"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fund any capital expenditures in excess of $100,000, (e) except for the Director Loans, repay any debts or obligations existing as of the date hereof other than in the ordinary course of business, and (f) invest in any person, entity or enterprise.</w:t>
      </w:r>
    </w:p>
    <w:p>
      <w:pPr>
        <w:spacing w:after="0" w:line="177" w:lineRule="exact"/>
        <w:rPr>
          <w:rFonts w:ascii="Times New Roman" w:cs="Times New Roman" w:eastAsia="Times New Roman" w:hAnsi="Times New Roman"/>
          <w:sz w:val="21"/>
          <w:szCs w:val="21"/>
          <w:color w:val="auto"/>
        </w:rPr>
      </w:pPr>
    </w:p>
    <w:p>
      <w:pPr>
        <w:jc w:val="both"/>
        <w:ind w:firstLine="622"/>
        <w:spacing w:after="0" w:line="251" w:lineRule="auto"/>
        <w:tabs>
          <w:tab w:leader="none" w:pos="1238"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xml:space="preserve"> Unless paid or converted earlier as provided herein, and subject to </w:t>
      </w:r>
      <w:r>
        <w:rPr>
          <w:rFonts w:ascii="Times New Roman" w:cs="Times New Roman" w:eastAsia="Times New Roman" w:hAnsi="Times New Roman"/>
          <w:sz w:val="21"/>
          <w:szCs w:val="21"/>
          <w:u w:val="single" w:color="auto"/>
          <w:color w:val="auto"/>
        </w:rPr>
        <w:t>Sections 2(b)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all amounts due and payable under this Secured Note, including all outstanding principal, accrued interest, fees and costs (collectively, the “</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shall be due and payable in full and in cash on September 1, 2025 (the “</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unless extended by the Lender in its sole and absolute discretion. All payments received shall be applied first against costs of collection (if any), then against accrued and unpaid (or unconverted) interest on this Secured Note and then against the outstanding principal balance, if any, of this Secured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2" w:lineRule="exact"/>
        <w:rPr>
          <w:sz w:val="20"/>
          <w:szCs w:val="20"/>
          <w:color w:val="auto"/>
        </w:rPr>
      </w:pPr>
    </w:p>
    <w:p>
      <w:pPr>
        <w:jc w:val="both"/>
        <w:ind w:firstLine="622"/>
        <w:spacing w:after="0" w:line="256" w:lineRule="auto"/>
        <w:tabs>
          <w:tab w:leader="none" w:pos="123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Prepayments.</w:t>
      </w:r>
      <w:r>
        <w:rPr>
          <w:rFonts w:ascii="Times New Roman" w:cs="Times New Roman" w:eastAsia="Times New Roman" w:hAnsi="Times New Roman"/>
          <w:sz w:val="21"/>
          <w:szCs w:val="21"/>
          <w:color w:val="auto"/>
        </w:rPr>
        <w:t xml:space="preserve"> The Borrower shall have the right to repay all, but not less than all, Obligations outstanding under this Secured Note in full at any time prior to the Maturity Date subject to the Borrower paying the Lender a prepayment fee equal to ten percent (10%) of the outstanding Obligations due under this Secured Note on the date of the payment (the “</w:t>
      </w:r>
      <w:r>
        <w:rPr>
          <w:rFonts w:ascii="Times New Roman" w:cs="Times New Roman" w:eastAsia="Times New Roman" w:hAnsi="Times New Roman"/>
          <w:sz w:val="21"/>
          <w:szCs w:val="21"/>
          <w:u w:val="single" w:color="auto"/>
          <w:color w:val="auto"/>
        </w:rPr>
        <w:t>Prepayment Fee</w:t>
      </w:r>
      <w:r>
        <w:rPr>
          <w:rFonts w:ascii="Times New Roman" w:cs="Times New Roman" w:eastAsia="Times New Roman" w:hAnsi="Times New Roman"/>
          <w:sz w:val="21"/>
          <w:szCs w:val="21"/>
          <w:color w:val="auto"/>
        </w:rPr>
        <w:t>”). Any prepayments that do not include the Prepayment Fee shall be void.</w:t>
      </w:r>
    </w:p>
    <w:p>
      <w:pPr>
        <w:spacing w:after="0" w:line="168" w:lineRule="exact"/>
        <w:rPr>
          <w:rFonts w:ascii="Times New Roman" w:cs="Times New Roman" w:eastAsia="Times New Roman" w:hAnsi="Times New Roman"/>
          <w:sz w:val="21"/>
          <w:szCs w:val="21"/>
          <w:color w:val="auto"/>
        </w:rPr>
      </w:pPr>
    </w:p>
    <w:p>
      <w:pPr>
        <w:jc w:val="both"/>
        <w:ind w:firstLine="622"/>
        <w:spacing w:after="0" w:line="248" w:lineRule="auto"/>
        <w:tabs>
          <w:tab w:leader="none" w:pos="123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Repayments.</w:t>
      </w:r>
      <w:r>
        <w:rPr>
          <w:rFonts w:ascii="Times New Roman" w:cs="Times New Roman" w:eastAsia="Times New Roman" w:hAnsi="Times New Roman"/>
          <w:sz w:val="21"/>
          <w:szCs w:val="21"/>
          <w:color w:val="auto"/>
        </w:rPr>
        <w:t xml:space="preserve"> Unless the CFIUS Condition (as defined below) shall have been satisfied in which case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13(b)(ii)</w:t>
      </w:r>
      <w:r>
        <w:rPr>
          <w:rFonts w:ascii="Times New Roman" w:cs="Times New Roman" w:eastAsia="Times New Roman" w:hAnsi="Times New Roman"/>
          <w:sz w:val="21"/>
          <w:szCs w:val="21"/>
          <w:color w:val="auto"/>
        </w:rPr>
        <w:t xml:space="preserve"> shall apply, the Borrower shall repay all, but not less than all, Obligations outstanding under this Secured Note in cash in the event of any of the following: (a) a merger or consolidation in which the Borrower is a constituent party and the Borrower issues shares of its capital stock pursuant to such merger or consolidation, (b) the sale, lease, transfer, exclusive license or other disposition (whether by merger, consolidation or otherwise), in a single transaction or series of related transactions, by the Borrower of all or a material portion of the assets of the Borrower (excluding any proceeds from a Permitted Collateral Sale), (c) the liquidation, dissolution or winding up of the Borrower or any of its subsidiaries, whether voluntary or involuntary (the occurrence of any of the events set forth in clauses (a) - (c), each, a “</w:t>
      </w:r>
      <w:r>
        <w:rPr>
          <w:rFonts w:ascii="Times New Roman" w:cs="Times New Roman" w:eastAsia="Times New Roman" w:hAnsi="Times New Roman"/>
          <w:sz w:val="21"/>
          <w:szCs w:val="21"/>
          <w:u w:val="single" w:color="auto"/>
          <w:color w:val="auto"/>
        </w:rPr>
        <w:t>Liquidity Event</w:t>
      </w:r>
      <w:r>
        <w:rPr>
          <w:rFonts w:ascii="Times New Roman" w:cs="Times New Roman" w:eastAsia="Times New Roman" w:hAnsi="Times New Roman"/>
          <w:sz w:val="21"/>
          <w:szCs w:val="21"/>
          <w:color w:val="auto"/>
        </w:rPr>
        <w:t>”), or (d) any change in the ownership of the Borrower occurs where any person or entity, directly or indirectly, becomes the beneficial owner of more than fifty percent (50%) of the voting shares of the Borrower (or obtains the rights to acquire such shares), a majority of the members of the board of directors in existence on the date hereof shall be replaced with other members, or management of the Borrower declares that a change of control has occurred, irrespective of any occurrences described above (a “</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Warranties and Covenants of Borrower.</w:t>
      </w:r>
      <w:r>
        <w:rPr>
          <w:rFonts w:ascii="Times New Roman" w:cs="Times New Roman" w:eastAsia="Times New Roman" w:hAnsi="Times New Roman"/>
          <w:sz w:val="21"/>
          <w:szCs w:val="21"/>
          <w:color w:val="auto"/>
        </w:rPr>
        <w:t xml:space="preserve"> To induce the Lender to enter into this Secured Note, the Borrower represents and warrants to the Lender as of this date and on each Borrowing Date as set forth below. All representations, warranties and covenants of the Borrower contained in this Secured Note shall survive until the repayment in full, in cash or shares of Common Stock as provided herein of all Obligations under this Secured Note.</w:t>
      </w:r>
    </w:p>
    <w:p>
      <w:pPr>
        <w:spacing w:after="0" w:line="168" w:lineRule="exact"/>
        <w:rPr>
          <w:rFonts w:ascii="Times New Roman" w:cs="Times New Roman" w:eastAsia="Times New Roman" w:hAnsi="Times New Roman"/>
          <w:sz w:val="21"/>
          <w:szCs w:val="21"/>
          <w:color w:val="auto"/>
        </w:rPr>
      </w:pPr>
    </w:p>
    <w:p>
      <w:pPr>
        <w:jc w:val="both"/>
        <w:ind w:firstLine="1241"/>
        <w:spacing w:after="0" w:line="251" w:lineRule="auto"/>
        <w:tabs>
          <w:tab w:leader="none" w:pos="1853"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Existence; Power and Authority; Compliance with Laws.</w:t>
      </w:r>
      <w:r>
        <w:rPr>
          <w:rFonts w:ascii="Times New Roman" w:cs="Times New Roman" w:eastAsia="Times New Roman" w:hAnsi="Times New Roman"/>
          <w:sz w:val="21"/>
          <w:szCs w:val="21"/>
          <w:color w:val="auto"/>
        </w:rPr>
        <w:t xml:space="preserve"> The Borrower (a) is a corporation duly organized, validly existing, and in good standing under the laws of its state of organization, (b) has the requisite power and authority, and the legal right, to own, lease, and operate its properties and assets and to conduct its business as it is now being conducted, to borrow under this Secured Note, to execute and deliver this Secured Note, and to perform its obligations hereunder, and (c) is in compliance with all laws applicable to the Borrower except to the extent that the failure to comply therewith could not reasonably be expected to have a material adverse effect on the business of the Borrower.</w:t>
      </w:r>
    </w:p>
    <w:p>
      <w:pPr>
        <w:spacing w:after="0" w:line="173"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2"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Execution and Delivery.</w:t>
      </w:r>
      <w:r>
        <w:rPr>
          <w:rFonts w:ascii="Times New Roman" w:cs="Times New Roman" w:eastAsia="Times New Roman" w:hAnsi="Times New Roman"/>
          <w:sz w:val="21"/>
          <w:szCs w:val="21"/>
          <w:color w:val="auto"/>
        </w:rPr>
        <w:t xml:space="preserve"> The execution and delivery of this Secured Note by the Borrower, its borrowings hereunder, and the performance of its Obligations hereunder have been duly authorized by all necessary corporate action in accordance with all applicable laws. The Borrower has duly executed and delivered this Secured Note.</w:t>
      </w:r>
    </w:p>
    <w:p>
      <w:pPr>
        <w:spacing w:after="0" w:line="168" w:lineRule="exact"/>
        <w:rPr>
          <w:rFonts w:ascii="Times New Roman" w:cs="Times New Roman" w:eastAsia="Times New Roman" w:hAnsi="Times New Roman"/>
          <w:sz w:val="21"/>
          <w:szCs w:val="21"/>
          <w:color w:val="auto"/>
        </w:rPr>
      </w:pPr>
    </w:p>
    <w:p>
      <w:pPr>
        <w:ind w:firstLine="1241"/>
        <w:spacing w:after="0" w:line="282" w:lineRule="auto"/>
        <w:tabs>
          <w:tab w:leader="none" w:pos="1853"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Approvals.</w:t>
      </w:r>
      <w:r>
        <w:rPr>
          <w:rFonts w:ascii="Times New Roman" w:cs="Times New Roman" w:eastAsia="Times New Roman" w:hAnsi="Times New Roman"/>
          <w:sz w:val="21"/>
          <w:szCs w:val="21"/>
          <w:color w:val="auto"/>
        </w:rPr>
        <w:t xml:space="preserve"> No consent, authorization, or order of, filing with, notice to, license from, or other act by, or in respect of, any governmental authority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is required in order for the Borrower to borrow under this Secured Note or to execute, deliver, or perform any of its obligations under this Secured Note.</w:t>
      </w:r>
    </w:p>
    <w:p>
      <w:pPr>
        <w:spacing w:after="0" w:line="155" w:lineRule="exact"/>
        <w:rPr>
          <w:sz w:val="20"/>
          <w:szCs w:val="20"/>
          <w:color w:val="auto"/>
        </w:rPr>
      </w:pPr>
    </w:p>
    <w:p>
      <w:pPr>
        <w:jc w:val="both"/>
        <w:ind w:firstLine="1241"/>
        <w:spacing w:after="0" w:line="256" w:lineRule="auto"/>
        <w:tabs>
          <w:tab w:leader="none" w:pos="185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Violations.</w:t>
      </w:r>
      <w:r>
        <w:rPr>
          <w:rFonts w:ascii="Times New Roman" w:cs="Times New Roman" w:eastAsia="Times New Roman" w:hAnsi="Times New Roman"/>
          <w:sz w:val="21"/>
          <w:szCs w:val="21"/>
          <w:color w:val="auto"/>
        </w:rPr>
        <w:t xml:space="preserve"> The execution and delivery of this Secured Note, the borrowing under this Secured Note, and the consummation by the Borrower of the transactions contemplated hereby do not and will not (a) violate any law applicable to the Borrower or by which any of its properties or assets may be bound or (b) constitute a material default under any material agreement or contract by which the Borrower is bound.</w:t>
      </w:r>
    </w:p>
    <w:p>
      <w:pPr>
        <w:spacing w:after="0" w:line="168"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3"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xml:space="preserve"> This Secured Note is a valid, legal,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8" w:lineRule="exact"/>
        <w:rPr>
          <w:rFonts w:ascii="Times New Roman" w:cs="Times New Roman" w:eastAsia="Times New Roman" w:hAnsi="Times New Roman"/>
          <w:sz w:val="21"/>
          <w:szCs w:val="21"/>
          <w:color w:val="auto"/>
        </w:rPr>
      </w:pPr>
    </w:p>
    <w:p>
      <w:pPr>
        <w:ind w:firstLine="1241"/>
        <w:spacing w:after="0" w:line="269" w:lineRule="auto"/>
        <w:tabs>
          <w:tab w:leader="none" w:pos="185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Plan.</w:t>
      </w:r>
      <w:r>
        <w:rPr>
          <w:rFonts w:ascii="Times New Roman" w:cs="Times New Roman" w:eastAsia="Times New Roman" w:hAnsi="Times New Roman"/>
          <w:sz w:val="21"/>
          <w:szCs w:val="21"/>
          <w:color w:val="auto"/>
        </w:rPr>
        <w:t xml:space="preserve"> The Borrower shall deliver to the Lender a business plan not later than September 1, 2024, in form and substance satisfactory to the Lender.</w:t>
      </w:r>
    </w:p>
    <w:p>
      <w:pPr>
        <w:spacing w:after="0" w:line="154" w:lineRule="exact"/>
        <w:rPr>
          <w:rFonts w:ascii="Times New Roman" w:cs="Times New Roman" w:eastAsia="Times New Roman" w:hAnsi="Times New Roman"/>
          <w:sz w:val="21"/>
          <w:szCs w:val="21"/>
          <w:color w:val="auto"/>
        </w:rPr>
      </w:pPr>
    </w:p>
    <w:p>
      <w:pPr>
        <w:jc w:val="both"/>
        <w:ind w:firstLine="1241"/>
        <w:spacing w:after="0" w:line="262" w:lineRule="auto"/>
        <w:tabs>
          <w:tab w:leader="none" w:pos="185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Other Indebtedness.</w:t>
      </w:r>
      <w:r>
        <w:rPr>
          <w:rFonts w:ascii="Times New Roman" w:cs="Times New Roman" w:eastAsia="Times New Roman" w:hAnsi="Times New Roman"/>
          <w:sz w:val="21"/>
          <w:szCs w:val="21"/>
          <w:color w:val="auto"/>
        </w:rPr>
        <w:t xml:space="preserve"> The Borrower shall not incur, acquire, guarantee or otherwise become responsible or liable for any indebtedness that is senior to or </w:t>
      </w:r>
      <w:r>
        <w:rPr>
          <w:rFonts w:ascii="Times New Roman" w:cs="Times New Roman" w:eastAsia="Times New Roman" w:hAnsi="Times New Roman"/>
          <w:sz w:val="21"/>
          <w:szCs w:val="21"/>
          <w:i w:val="1"/>
          <w:iCs w:val="1"/>
          <w:color w:val="auto"/>
        </w:rPr>
        <w:t>pan passu</w:t>
      </w:r>
      <w:r>
        <w:rPr>
          <w:rFonts w:ascii="Times New Roman" w:cs="Times New Roman" w:eastAsia="Times New Roman" w:hAnsi="Times New Roman"/>
          <w:sz w:val="21"/>
          <w:szCs w:val="21"/>
          <w:color w:val="auto"/>
        </w:rPr>
        <w:t xml:space="preserve"> with the Obligations, without the prior written consent of the Lender.</w:t>
      </w:r>
    </w:p>
    <w:p>
      <w:pPr>
        <w:spacing w:after="0" w:line="163" w:lineRule="exact"/>
        <w:rPr>
          <w:rFonts w:ascii="Times New Roman" w:cs="Times New Roman" w:eastAsia="Times New Roman" w:hAnsi="Times New Roman"/>
          <w:sz w:val="21"/>
          <w:szCs w:val="21"/>
          <w:color w:val="auto"/>
        </w:rPr>
      </w:pPr>
    </w:p>
    <w:p>
      <w:pPr>
        <w:jc w:val="both"/>
        <w:ind w:firstLine="1241"/>
        <w:spacing w:after="0" w:line="253" w:lineRule="auto"/>
        <w:tabs>
          <w:tab w:leader="none" w:pos="185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CFIUS Filing.</w:t>
      </w:r>
      <w:r>
        <w:rPr>
          <w:rFonts w:ascii="Times New Roman" w:cs="Times New Roman" w:eastAsia="Times New Roman" w:hAnsi="Times New Roman"/>
          <w:sz w:val="21"/>
          <w:szCs w:val="21"/>
          <w:color w:val="auto"/>
        </w:rPr>
        <w:t xml:space="preserve"> As soon as practicable following the date hereof, the Borrower and the Lender shall cooperate to prepare and submit a filing (the “</w:t>
      </w:r>
      <w:r>
        <w:rPr>
          <w:rFonts w:ascii="Times New Roman" w:cs="Times New Roman" w:eastAsia="Times New Roman" w:hAnsi="Times New Roman"/>
          <w:sz w:val="21"/>
          <w:szCs w:val="21"/>
          <w:u w:val="single" w:color="auto"/>
          <w:color w:val="auto"/>
        </w:rPr>
        <w:t>CFIUS Filing</w:t>
      </w:r>
      <w:r>
        <w:rPr>
          <w:rFonts w:ascii="Times New Roman" w:cs="Times New Roman" w:eastAsia="Times New Roman" w:hAnsi="Times New Roman"/>
          <w:sz w:val="21"/>
          <w:szCs w:val="21"/>
          <w:color w:val="auto"/>
        </w:rPr>
        <w:t>”) to the Committee on Foreign Investment in the United States (“</w:t>
      </w:r>
      <w:r>
        <w:rPr>
          <w:rFonts w:ascii="Times New Roman" w:cs="Times New Roman" w:eastAsia="Times New Roman" w:hAnsi="Times New Roman"/>
          <w:sz w:val="21"/>
          <w:szCs w:val="21"/>
          <w:u w:val="single" w:color="auto"/>
          <w:color w:val="auto"/>
        </w:rPr>
        <w:t>CFIUS</w:t>
      </w:r>
      <w:r>
        <w:rPr>
          <w:rFonts w:ascii="Times New Roman" w:cs="Times New Roman" w:eastAsia="Times New Roman" w:hAnsi="Times New Roman"/>
          <w:sz w:val="21"/>
          <w:szCs w:val="21"/>
          <w:color w:val="auto"/>
        </w:rPr>
        <w:t>”) and use reasonable best efforts to satisfy the CFIUS Condition; provided, however, that the Lender shall not be required to satisfy the CFIUS Condition if doing so would obligate it to accept a Burdensome Condition (as defined below). The CFIUS Filing shall describe this Secured Note and shall also describe any and all other transactions in which the parties intend to engage.</w:t>
      </w:r>
    </w:p>
    <w:p>
      <w:pPr>
        <w:spacing w:after="0" w:line="171"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45"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Director Lender Consents.</w:t>
      </w:r>
      <w:r>
        <w:rPr>
          <w:rFonts w:ascii="Times New Roman" w:cs="Times New Roman" w:eastAsia="Times New Roman" w:hAnsi="Times New Roman"/>
          <w:sz w:val="21"/>
          <w:szCs w:val="21"/>
          <w:color w:val="auto"/>
        </w:rPr>
        <w:t xml:space="preserve"> The Borrower shall have obtained and delivered to the Lender the written consent of each Director Lender authorizing the Borrower to enter into and perform its obligations under this Secured Note, borrow the Loans on the provisions set forth in this Secured Note and incur the Obligations, and grant the Lender the liens and security interests on the Collateral.</w:t>
      </w:r>
    </w:p>
    <w:p>
      <w:pPr>
        <w:spacing w:after="0" w:line="184" w:lineRule="exact"/>
        <w:rPr>
          <w:rFonts w:ascii="Times New Roman" w:cs="Times New Roman" w:eastAsia="Times New Roman" w:hAnsi="Times New Roman"/>
          <w:sz w:val="21"/>
          <w:szCs w:val="21"/>
          <w:color w:val="auto"/>
        </w:rPr>
      </w:pPr>
    </w:p>
    <w:p>
      <w:pPr>
        <w:jc w:val="both"/>
        <w:ind w:firstLine="622"/>
        <w:spacing w:after="0" w:line="249" w:lineRule="auto"/>
        <w:tabs>
          <w:tab w:leader="none" w:pos="123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Security Grant.</w:t>
      </w:r>
      <w:r>
        <w:rPr>
          <w:rFonts w:ascii="Times New Roman" w:cs="Times New Roman" w:eastAsia="Times New Roman" w:hAnsi="Times New Roman"/>
          <w:sz w:val="21"/>
          <w:szCs w:val="21"/>
          <w:color w:val="auto"/>
        </w:rPr>
        <w:t xml:space="preserve"> To secure the prompt payment and performance in full of all Obligations, on the Borrowing Date of the First Loan the Borrower hereby grants to the Lender, and pledges to the Lender, a valid, binding, enforceable, continuing, first priority lien on and security interest in all existing and after acquired tangible and intangible real and personal property and other assets of the Borrower, whether now owned by or owing to, or hereafter acquired by or arising in favor of the Borrower, regardless of where located (collectively, the “</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including, without limitation, all of the following: (a) all Accounts, (b) all Equipment, Goods, Inventory and Fixtures, (c) all Documents, Instruments (including all Promissory Notes) and Chattel Paper, (d) all Contracts, together with all Contract Rights (including all insurance claims) arising therefrom, (e) all Letters of Credit and Letter-of-Credit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Rights, (f) all Investment Property, (g) all Intellectual Property, (h) all Commercial Tort Claims, (i) all General Intangibles, (j) all Money and all Deposit Accounts, (k) all Supporting Obligations, (1) all books and records, customer lists, credit files, computer files, programs, printouts and other computer materials and records relating to the Collateral and any General Intangibles at any time evidencing or relating to any of the foregoing, and (m) to the extent not covered above, all other assets, whether tangible or intangible, all Proceeds and products of each of the foregoing and all accessions to, substitutions and replacements for, and rents, profits and products of, each of the foregoing, and any and all Proceeds of any insurance, indemnity, warranty or guaranty in respect of the any of the foregoing. Capitalized terms used in this Section but not otherwise defined in this Secured Note have the meaning given to such terms in the Uniform Commercial Code as in effect from time to time in the State of Delaware.</w:t>
      </w:r>
    </w:p>
    <w:p>
      <w:pPr>
        <w:spacing w:after="0" w:line="187" w:lineRule="exact"/>
        <w:rPr>
          <w:sz w:val="20"/>
          <w:szCs w:val="20"/>
          <w:color w:val="auto"/>
        </w:rPr>
      </w:pPr>
    </w:p>
    <w:p>
      <w:pPr>
        <w:jc w:val="both"/>
        <w:ind w:firstLine="622"/>
        <w:spacing w:after="0" w:line="248" w:lineRule="auto"/>
        <w:tabs>
          <w:tab w:leader="none" w:pos="123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Priority of Security Interest.</w:t>
      </w:r>
      <w:r>
        <w:rPr>
          <w:rFonts w:ascii="Times New Roman" w:cs="Times New Roman" w:eastAsia="Times New Roman" w:hAnsi="Times New Roman"/>
          <w:sz w:val="21"/>
          <w:szCs w:val="21"/>
          <w:color w:val="auto"/>
        </w:rPr>
        <w:t xml:space="preserve"> The Borrower represents, warrants, and covenants that the security interest granted herein is and shall at all times continue to be a first priority fully perfected security interest in the Collateral (subject only to the Lender and/or the Borrower taking whatever actions are required under applicable law to perfect and maintain such security interest); provided, however, that until all amounts owing under the Director Notes are repaid in full, this Secured Note shall be immediately subordinated to the liens and security interests of the Director Lenders to the extent set forth in the Director Notes as such documents exist on this date without regard to any amendments, restatements, modifications or supplements thereto.</w:t>
      </w:r>
    </w:p>
    <w:p>
      <w:pPr>
        <w:spacing w:after="0" w:line="191" w:lineRule="exact"/>
        <w:rPr>
          <w:rFonts w:ascii="Times New Roman" w:cs="Times New Roman" w:eastAsia="Times New Roman" w:hAnsi="Times New Roman"/>
          <w:sz w:val="21"/>
          <w:szCs w:val="21"/>
          <w:color w:val="auto"/>
        </w:rPr>
      </w:pPr>
    </w:p>
    <w:p>
      <w:pPr>
        <w:jc w:val="both"/>
        <w:ind w:firstLine="622"/>
        <w:spacing w:after="0" w:line="261" w:lineRule="auto"/>
        <w:tabs>
          <w:tab w:leader="none" w:pos="123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Permitted Collateral Sale.</w:t>
      </w:r>
      <w:r>
        <w:rPr>
          <w:rFonts w:ascii="Times New Roman" w:cs="Times New Roman" w:eastAsia="Times New Roman" w:hAnsi="Times New Roman"/>
          <w:sz w:val="20"/>
          <w:szCs w:val="20"/>
          <w:color w:val="auto"/>
        </w:rPr>
        <w:t xml:space="preserve"> At any time prior to the Outside Date, the Borrower is hereby authorized to sell in one or more transactions to a third party, for reasonable equivalent value, any Collateral, other than, without Lender’s prior written consent, any Collateral that is a core business asset of the Borrower (a “</w:t>
      </w:r>
      <w:r>
        <w:rPr>
          <w:rFonts w:ascii="Times New Roman" w:cs="Times New Roman" w:eastAsia="Times New Roman" w:hAnsi="Times New Roman"/>
          <w:sz w:val="20"/>
          <w:szCs w:val="20"/>
          <w:u w:val="single" w:color="auto"/>
          <w:color w:val="auto"/>
        </w:rPr>
        <w:t>Permitted Collateral Sale</w:t>
      </w:r>
      <w:r>
        <w:rPr>
          <w:rFonts w:ascii="Times New Roman" w:cs="Times New Roman" w:eastAsia="Times New Roman" w:hAnsi="Times New Roman"/>
          <w:sz w:val="20"/>
          <w:szCs w:val="20"/>
          <w:color w:val="auto"/>
        </w:rPr>
        <w:t>”), free and clear of Lender’s liens and security interests, and Lender’s liens and security interests on and in any Collateral sold in accordance with this Section shall not attach to the cash proceeds of any such sales; provided, however, that if any Permitted Collateral Sale is later unwound for whatever reason by a court of competent jurisdiction, the parties to such transaction, or otherwise, the Lender’s liens and security interests on and in all Collateral that was included in such Permitted Collateral Sale shall automatically be reinstated and apply without the need for any action on the part of the Borrower or Lender. Such core business assets shall include without limitation all intellectual property and know-how; all tools and facilities which are not commercially replaceable that are used in the construction of Vigoride or M1000 satellites or the retractable solar arrays; and other such devices or materials which are not commercially replaceable that are necessary for the launch and post-launch servicing of satellites. Any sales of (i) any completed or partial Vigorides, or (ii) any commercially replaceable test bed components relating to Vigorides for reasonable equivalent value shall be deemed a Permitted Collateral Sale.</w:t>
      </w:r>
    </w:p>
    <w:p>
      <w:pPr>
        <w:spacing w:after="0" w:line="170" w:lineRule="exact"/>
        <w:rPr>
          <w:rFonts w:ascii="Times New Roman" w:cs="Times New Roman" w:eastAsia="Times New Roman" w:hAnsi="Times New Roman"/>
          <w:sz w:val="20"/>
          <w:szCs w:val="20"/>
          <w:color w:val="auto"/>
        </w:rPr>
      </w:pPr>
    </w:p>
    <w:p>
      <w:pPr>
        <w:jc w:val="both"/>
        <w:ind w:firstLine="622"/>
        <w:spacing w:after="0" w:line="252" w:lineRule="auto"/>
        <w:tabs>
          <w:tab w:leader="none" w:pos="123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to File Financing Statements.</w:t>
      </w:r>
      <w:r>
        <w:rPr>
          <w:rFonts w:ascii="Times New Roman" w:cs="Times New Roman" w:eastAsia="Times New Roman" w:hAnsi="Times New Roman"/>
          <w:sz w:val="21"/>
          <w:szCs w:val="21"/>
          <w:color w:val="auto"/>
        </w:rPr>
        <w:t xml:space="preserve"> The Borrower hereby authorizes the Lender to file financing statements and all other instruments, without notice to the Borrower or any further approvals or signatures of the Borrower, with all appropriate jurisdictions and agencies to perfect or protect the Lender’s lien, interest, and rights under this Secured Note. Such financing statements and other instruments may specify the Collateral as “all assets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Debtor” or words of similar effect, or as being of an equal or lesser scope, or with greater detail, all in the Lender’s discretion.</w:t>
      </w:r>
    </w:p>
    <w:p>
      <w:pPr>
        <w:spacing w:after="0" w:line="210" w:lineRule="exact"/>
        <w:rPr>
          <w:sz w:val="20"/>
          <w:szCs w:val="20"/>
          <w:color w:val="auto"/>
        </w:rPr>
      </w:pPr>
    </w:p>
    <w:p>
      <w:pPr>
        <w:jc w:val="both"/>
        <w:ind w:firstLine="622"/>
        <w:spacing w:after="0" w:line="253" w:lineRule="auto"/>
        <w:tabs>
          <w:tab w:leader="none" w:pos="123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Conversion.</w:t>
      </w:r>
      <w:r>
        <w:rPr>
          <w:rFonts w:ascii="Times New Roman" w:cs="Times New Roman" w:eastAsia="Times New Roman" w:hAnsi="Times New Roman"/>
          <w:sz w:val="21"/>
          <w:szCs w:val="21"/>
          <w:color w:val="auto"/>
        </w:rPr>
        <w:t xml:space="preserve"> Notwithstanding anything to the contrary in this Secured Note, unless and until (a) shareholder approval is obtained by the Borrower, the conversion of Obligations pursuant to the provisions of this Secured Note is limited such that the Lender’s ownership of Common Stock does not exceed twenty percent (20%) of the Borrower’s outstanding shares on any date of determination (the “</w:t>
      </w:r>
      <w:r>
        <w:rPr>
          <w:rFonts w:ascii="Times New Roman" w:cs="Times New Roman" w:eastAsia="Times New Roman" w:hAnsi="Times New Roman"/>
          <w:sz w:val="21"/>
          <w:szCs w:val="21"/>
          <w:u w:val="single" w:color="auto"/>
          <w:color w:val="auto"/>
        </w:rPr>
        <w:t>NASDAQ Condition</w:t>
      </w:r>
      <w:r>
        <w:rPr>
          <w:rFonts w:ascii="Times New Roman" w:cs="Times New Roman" w:eastAsia="Times New Roman" w:hAnsi="Times New Roman"/>
          <w:sz w:val="21"/>
          <w:szCs w:val="21"/>
          <w:color w:val="auto"/>
        </w:rPr>
        <w:t>”), and (b) the CFIUS Condition is satisfied, no conversion of Obligations under this Secured Note shall occur.</w:t>
      </w:r>
    </w:p>
    <w:p>
      <w:pPr>
        <w:spacing w:after="0" w:line="171"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3"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 Conversion of Interest.</w:t>
      </w:r>
      <w:r>
        <w:rPr>
          <w:rFonts w:ascii="Times New Roman" w:cs="Times New Roman" w:eastAsia="Times New Roman" w:hAnsi="Times New Roman"/>
          <w:sz w:val="21"/>
          <w:szCs w:val="21"/>
          <w:color w:val="auto"/>
        </w:rPr>
        <w:t xml:space="preserve"> Subject to satisfaction of the CFIUS Condition and the NASDAQ Condition, notwithstanding anything to the contrary contained herein, in lieu of making cash payments of accrued interest due to the Lender pursuant to the terms of this Secured Note, the Lender, in its sole discretion, may elect to convert the amount of any accrued and unpaid interest due and payable pursuant to this Secured Note into that number of shares of Common Stock at a conversion price equal to the five (5) day average closing price of the Borrower’s Common Stock as reported on Nasdaq for the five (5) trading days immediately preceding the date hereof (the “</w:t>
      </w:r>
      <w:r>
        <w:rPr>
          <w:rFonts w:ascii="Times New Roman" w:cs="Times New Roman" w:eastAsia="Times New Roman" w:hAnsi="Times New Roman"/>
          <w:sz w:val="21"/>
          <w:szCs w:val="21"/>
          <w:u w:val="single" w:color="auto"/>
          <w:color w:val="auto"/>
        </w:rPr>
        <w:t>Conversion Price</w:t>
      </w:r>
      <w:r>
        <w:rPr>
          <w:rFonts w:ascii="Times New Roman" w:cs="Times New Roman" w:eastAsia="Times New Roman" w:hAnsi="Times New Roman"/>
          <w:sz w:val="21"/>
          <w:szCs w:val="21"/>
          <w:color w:val="auto"/>
        </w:rPr>
        <w:t>”), as shall equal the amount of accrued and unpaid interest due and payable to the Lender. Upon the Lender’s delivery to the Borrower of a notice of election to convert, the outstanding accrued but unpaid interest subject to conversion shall be converted without any further action by the Lender. The Lender shall be treated for all purposes as the record holder of such shares of Common Stock as of the date of the Lender’s delivery to the Borrower of the applicable notice of election to convert.</w:t>
      </w:r>
    </w:p>
    <w:p>
      <w:pPr>
        <w:spacing w:after="0" w:line="176"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Automatic Conversion of all Obligations</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jc w:val="both"/>
        <w:ind w:left="620" w:firstLine="1240"/>
        <w:spacing w:after="0" w:line="261" w:lineRule="auto"/>
        <w:tabs>
          <w:tab w:leader="none" w:pos="2469"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Maturity Date, and subject to (a) receipt of the CFIUS Approval (defined below) or (b) the passage of 30 days following the acceptance of a filing (either a declaration or a joint notice) by CFIUS, consistent with 31 C.F.R. § 800.401 ((a) and (b) collectively, the “</w:t>
      </w:r>
      <w:r>
        <w:rPr>
          <w:rFonts w:ascii="Times New Roman" w:cs="Times New Roman" w:eastAsia="Times New Roman" w:hAnsi="Times New Roman"/>
          <w:sz w:val="20"/>
          <w:szCs w:val="20"/>
          <w:u w:val="single" w:color="auto"/>
          <w:color w:val="auto"/>
        </w:rPr>
        <w:t>CFIUS Condition</w:t>
      </w:r>
      <w:r>
        <w:rPr>
          <w:rFonts w:ascii="Times New Roman" w:cs="Times New Roman" w:eastAsia="Times New Roman" w:hAnsi="Times New Roman"/>
          <w:sz w:val="20"/>
          <w:szCs w:val="20"/>
          <w:color w:val="auto"/>
        </w:rPr>
        <w:t>”), applicable law and/or Nasdaq requirements, all of the outstanding Obligations shall automatically convert into Common Stock at the Conversion Price. The Lender shall be treated for all purposes as the record holder of such shares of Common Stock upon such conversion. The CFIUS Approval means any of the following: (i) CFIUS has issued a written notice stating that the transactions described in the CFIUS Filing do not constitute a “covered transaction” pursuant to 31 C.F.R. § 800.213, (ii) CFIUS has issued a written notice that it has concluded all action under the Defense Production Act of 1950, as amended, and all rules and regulations thereunder (the “DPA”) with respect to the</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transactions described in the CFIUS Filing pursuant to 31 C.F.R. § 800.407(a)(4), 31 C.F.R. § 800.506, or 31 C.F.R.</w:t>
      </w:r>
    </w:p>
    <w:p>
      <w:pPr>
        <w:spacing w:after="0" w:line="3" w:lineRule="exact"/>
        <w:rPr>
          <w:sz w:val="20"/>
          <w:szCs w:val="20"/>
          <w:color w:val="auto"/>
        </w:rPr>
      </w:pPr>
    </w:p>
    <w:p>
      <w:pPr>
        <w:jc w:val="both"/>
        <w:ind w:left="620" w:firstLine="2"/>
        <w:spacing w:after="0" w:line="247" w:lineRule="auto"/>
        <w:tabs>
          <w:tab w:leader="none" w:pos="78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800.508(d), (iii) in response to the parties’ filing of a CFIUS declaration specifically, pursuant to 31 C.F.R. § 800.407(a)(2), CFIUS has informed the parties to the CFIUS declaration that it is not able to complete action under the DPA on the basis of the CFIUS declaration and that the parties may file a CFIUS notice under the DPA; or (iv) if CFIUS has sent a report to the President of the United States requesting the President’s decision, the President has announced a decision pursuant to the DPA not to take any action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suspend or prohibit the transactions described in the CFIUS Filing; provided, however, that if the written notice described in clause (ii) above or the President’s decision described in clause (iv) above requires or contemplates that Lender or any of its affiliates take or agree to take, or will take or agree to take, any actions that would, individually or in the aggregate, reasonably be expected to constitute a Burdensome Condition (as defined below), then such notice or Presidential decision will not constitute CFIUS Approval unless Lender agrees to accept such Burdensome Condition.</w:t>
      </w:r>
    </w:p>
    <w:p>
      <w:pPr>
        <w:spacing w:after="0" w:line="171" w:lineRule="exact"/>
        <w:rPr>
          <w:sz w:val="20"/>
          <w:szCs w:val="20"/>
          <w:color w:val="auto"/>
        </w:rPr>
      </w:pPr>
    </w:p>
    <w:p>
      <w:pPr>
        <w:jc w:val="both"/>
        <w:ind w:firstLine="1240"/>
        <w:spacing w:after="0" w:line="256" w:lineRule="auto"/>
        <w:tabs>
          <w:tab w:leader="none" w:pos="185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prior to the Maturity Date and subject to satisfaction of the CFIUS Condition, all of the outstanding Obligations shall automatically convert into Common Stock at the Conversion Price upon the occurrence of a Liquidity Event or Change of Control. The Lender shall be treated for all purposes as the record holder of such shares of Common Stock upon such conversion.</w:t>
      </w:r>
    </w:p>
    <w:p>
      <w:pPr>
        <w:spacing w:after="0" w:line="168" w:lineRule="exact"/>
        <w:rPr>
          <w:rFonts w:ascii="Times New Roman" w:cs="Times New Roman" w:eastAsia="Times New Roman" w:hAnsi="Times New Roman"/>
          <w:sz w:val="21"/>
          <w:szCs w:val="21"/>
          <w:color w:val="auto"/>
        </w:rPr>
      </w:pPr>
    </w:p>
    <w:p>
      <w:pPr>
        <w:jc w:val="both"/>
        <w:ind w:firstLine="1240"/>
        <w:spacing w:after="0" w:line="248" w:lineRule="auto"/>
        <w:tabs>
          <w:tab w:leader="none" w:pos="184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Borrower at any time after the date hereof effects a subdivision or split of its Common Stock into a greater number of shares of Common Stock or shall issue a stock dividend on the outstanding Common Stock, then the Conversion Price shall be proportionately decreased and the number of shares of Common Stock issuable upon conversion of this Secured Note shall be proportionately increased, effective as of the close of business on the date of such subdivision or split or the issuance of such dividend. In the event the Borrower at any time after the date hereof effects a combination or reverse stock split into a lesser number of shares of Common Stock, then in each such event the Conversion Price shall be proportionately increased and the number of shares of Common Stock issuable upon conversion of the Obligations shall be proportionately decreased, effective as of the close of business on the date of such combination or reverse stock split.</w:t>
      </w:r>
    </w:p>
    <w:p>
      <w:pPr>
        <w:spacing w:after="0" w:line="177" w:lineRule="exact"/>
        <w:rPr>
          <w:rFonts w:ascii="Times New Roman" w:cs="Times New Roman" w:eastAsia="Times New Roman" w:hAnsi="Times New Roman"/>
          <w:sz w:val="21"/>
          <w:szCs w:val="21"/>
          <w:color w:val="auto"/>
        </w:rPr>
      </w:pPr>
    </w:p>
    <w:p>
      <w:pPr>
        <w:jc w:val="both"/>
        <w:ind w:firstLine="1240"/>
        <w:spacing w:after="0" w:line="252" w:lineRule="auto"/>
        <w:tabs>
          <w:tab w:leader="none" w:pos="183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number of shares of Common Stock issuable upon conversion of any Obligations shall not be sufficient to effect the conversion of such Obligations, the Borrower shall effect all such corporate action as is necessary to increase its authorized but unissued shares of Common Stock issuable upon conversion of any such Obligations as shall be sufficient for such purpose. In the event, for whatever reason, the Borrower is not able to, or does not, increase its authorized but unissued shares of Common Stock issuable upon conversion of any such Obligations as shall be sufficient for such purpose within thirty (30) days of the time of conversion, the Borrower shall pay all underlying Obligations in cash within one (1) Business Day thereafter.</w:t>
      </w:r>
    </w:p>
    <w:p>
      <w:pPr>
        <w:spacing w:after="0" w:line="171" w:lineRule="exact"/>
        <w:rPr>
          <w:rFonts w:ascii="Times New Roman" w:cs="Times New Roman" w:eastAsia="Times New Roman" w:hAnsi="Times New Roman"/>
          <w:sz w:val="21"/>
          <w:szCs w:val="21"/>
          <w:color w:val="auto"/>
        </w:rPr>
      </w:pPr>
    </w:p>
    <w:p>
      <w:pPr>
        <w:jc w:val="both"/>
        <w:ind w:firstLine="1240"/>
        <w:spacing w:after="0" w:line="252" w:lineRule="auto"/>
        <w:tabs>
          <w:tab w:leader="none" w:pos="184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 is an “accredited investor” within the meaning of Rule 501 of Regulation D promulgated under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The Lender agrees to furnish any additional information requested by the Borrower or any of its affiliates to assure compliance with applicable U.S. federal and state securities laws in connection with the conversion of any Obligations.</w:t>
      </w:r>
    </w:p>
    <w:p>
      <w:pPr>
        <w:spacing w:after="0" w:line="171" w:lineRule="exact"/>
        <w:rPr>
          <w:rFonts w:ascii="Times New Roman" w:cs="Times New Roman" w:eastAsia="Times New Roman" w:hAnsi="Times New Roman"/>
          <w:sz w:val="21"/>
          <w:szCs w:val="21"/>
          <w:color w:val="auto"/>
        </w:rPr>
      </w:pPr>
    </w:p>
    <w:p>
      <w:pPr>
        <w:ind w:firstLine="1240"/>
        <w:spacing w:after="0" w:line="282" w:lineRule="auto"/>
        <w:tabs>
          <w:tab w:leader="none" w:pos="1849"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 understands that the Common Stock issuable upon conversion of any Obligations has not been, and may not be, registered under the Securities Act or state securities laws by reason of specific exemptions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620"/>
          </w:cols>
          <w:pgMar w:left="940" w:top="1440" w:right="339" w:bottom="1440" w:gutter="0" w:footer="0" w:header="0"/>
        </w:sectPr>
      </w:pPr>
    </w:p>
    <w:bookmarkStart w:id="59" w:name="page60"/>
    <w:bookmarkEnd w:id="59"/>
    <w:p>
      <w:pPr>
        <w:spacing w:after="0" w:line="132"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21"/>
          <w:szCs w:val="21"/>
          <w:color w:val="auto"/>
        </w:rPr>
        <w:t>registration provisions thereof which depend on, among other things, the bona fide nature of the investment intent and the accuracy of the Lender’s representations as expressed herein. The Lender understands that any unregistered shares of Common Stock are “restricted securities” under U.S. federal and applicable state securities laws and that, pursuant to these laws, the Lender must hold such shares of Common Stock indefinitely unless they are registered with the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and registered or qualified by state authorities, or an exemption from such registration and qualification requirements is available. The Lender acknowledges that the Borrower has no obligation to register or qualify the Common Stock issuable upon conversion of any Obligations for resale and further acknowledges that, if an exemption from registration or qualification is available, it may be conditioned on various requirements including, but not limited to, the time and manner of sale, the holding period for the shares of Common Stock, and on requirements relating to the Borrower which are outside of the Lender’s control, and which the Borrower is under no obligation, and may not be able, to satisfy. The Lender acknowledges that the Borrower has taken no action in foreign jurisdictions with respect to the Common Stock issuable upon conversion of any Obligations, and the Borrower is under no obligation to do so.</w:t>
      </w:r>
    </w:p>
    <w:p>
      <w:pPr>
        <w:spacing w:after="0" w:line="177" w:lineRule="exact"/>
        <w:rPr>
          <w:sz w:val="20"/>
          <w:szCs w:val="20"/>
          <w:color w:val="auto"/>
        </w:rPr>
      </w:pPr>
    </w:p>
    <w:p>
      <w:pPr>
        <w:jc w:val="both"/>
        <w:ind w:firstLine="622"/>
        <w:spacing w:after="0" w:line="256"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xml:space="preserve"> Upon the occurrence of any of the following events and subsequent provision by the Lender to the Borrower of written notice of such event and, unless otherwise specified below, a five (5) Business Day opportunity to cure (each,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the Lender may, at its option, by written notice to the Borrower declare all Obligations to be immediately due and payable in full:</w:t>
      </w:r>
    </w:p>
    <w:p>
      <w:pPr>
        <w:spacing w:after="0" w:line="168"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fail to pay any amounts due under this Secured Note in accordance with the provisions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w:t>
      </w:r>
    </w:p>
    <w:p>
      <w:pPr>
        <w:spacing w:after="0" w:line="187"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fail to comply with any of the covenants or other provisions of this Secured Note;</w:t>
      </w:r>
    </w:p>
    <w:p>
      <w:pPr>
        <w:spacing w:after="0" w:line="218" w:lineRule="exact"/>
        <w:rPr>
          <w:rFonts w:ascii="Times New Roman" w:cs="Times New Roman" w:eastAsia="Times New Roman" w:hAnsi="Times New Roman"/>
          <w:sz w:val="21"/>
          <w:szCs w:val="21"/>
          <w:color w:val="auto"/>
        </w:rPr>
      </w:pPr>
    </w:p>
    <w:p>
      <w:pPr>
        <w:ind w:firstLine="1241"/>
        <w:spacing w:after="0" w:line="273" w:lineRule="auto"/>
        <w:tabs>
          <w:tab w:leader="none" w:pos="1853"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incurrence by the Borrower of any secured indebtedness that is senior to or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the Obligations in contradiction to this Secured Note;</w:t>
      </w:r>
    </w:p>
    <w:p>
      <w:pPr>
        <w:spacing w:after="0" w:line="150"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2"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warranty, or other statement made by the Borrower in this Secured Note shall prove to have been incorrect or misleading in any material respect when made (including on this date and any Borrowing Date) or deemed to have been made;</w:t>
      </w:r>
    </w:p>
    <w:p>
      <w:pPr>
        <w:spacing w:after="0" w:line="181"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3"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commencement against the Borrower of a bankruptcy case or any other liquidation proceeding under laws affecting the rights of debtors and creditors, or a receiver, liquidator, monitor, or other fiduciary or similar person or entity is appointed over the Borrower or any of the Collateral and, such case, proceeding or appointment continues for 30 days unless the Borrower earlier acquiesces in any such action taken against it, in which case, upon written notice from the Lender to the Borrower, the cure period shall be terminated;</w:t>
      </w:r>
    </w:p>
    <w:p>
      <w:pPr>
        <w:spacing w:after="0" w:line="178" w:lineRule="exact"/>
        <w:rPr>
          <w:rFonts w:ascii="Times New Roman" w:cs="Times New Roman" w:eastAsia="Times New Roman" w:hAnsi="Times New Roman"/>
          <w:sz w:val="21"/>
          <w:szCs w:val="21"/>
          <w:color w:val="auto"/>
        </w:rPr>
      </w:pPr>
    </w:p>
    <w:p>
      <w:pPr>
        <w:ind w:firstLine="1241"/>
        <w:spacing w:after="0" w:line="282" w:lineRule="auto"/>
        <w:tabs>
          <w:tab w:leader="none" w:pos="1856"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commencement by the Borrower of a bankruptcy case or any other liquidation proceeding under laws affecting the rights of debtors and creditors, assignment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the benefit of creditors, wind-down, or other in-court or out-of-court liquidation or similar process or proceeding (any such proceeding described in this </w:t>
      </w:r>
      <w:r>
        <w:rPr>
          <w:rFonts w:ascii="Times New Roman" w:cs="Times New Roman" w:eastAsia="Times New Roman" w:hAnsi="Times New Roman"/>
          <w:sz w:val="21"/>
          <w:szCs w:val="21"/>
          <w:u w:val="single" w:color="auto"/>
          <w:color w:val="auto"/>
        </w:rPr>
        <w:t>Section 14(f)</w:t>
      </w:r>
      <w:r>
        <w:rPr>
          <w:rFonts w:ascii="Times New Roman" w:cs="Times New Roman" w:eastAsia="Times New Roman" w:hAnsi="Times New Roman"/>
          <w:sz w:val="21"/>
          <w:szCs w:val="21"/>
          <w:color w:val="auto"/>
        </w:rPr>
        <w:t xml:space="preserve"> or in </w:t>
      </w:r>
      <w:r>
        <w:rPr>
          <w:rFonts w:ascii="Times New Roman" w:cs="Times New Roman" w:eastAsia="Times New Roman" w:hAnsi="Times New Roman"/>
          <w:sz w:val="21"/>
          <w:szCs w:val="21"/>
          <w:u w:val="single" w:color="auto"/>
          <w:color w:val="auto"/>
        </w:rPr>
        <w:t>Section 14(e)</w:t>
      </w:r>
      <w:r>
        <w:rPr>
          <w:rFonts w:ascii="Times New Roman" w:cs="Times New Roman" w:eastAsia="Times New Roman" w:hAnsi="Times New Roman"/>
          <w:sz w:val="21"/>
          <w:szCs w:val="21"/>
          <w:color w:val="auto"/>
        </w:rPr>
        <w:t xml:space="preserve"> above, a “</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there shall be no cure period with respect to the occurrence of an Event of Default under this clause; and</w:t>
      </w:r>
    </w:p>
    <w:p>
      <w:pPr>
        <w:spacing w:after="0" w:line="181" w:lineRule="exact"/>
        <w:rPr>
          <w:sz w:val="20"/>
          <w:szCs w:val="20"/>
          <w:color w:val="auto"/>
        </w:rPr>
      </w:pPr>
    </w:p>
    <w:p>
      <w:pPr>
        <w:ind w:left="1860" w:hanging="619"/>
        <w:spacing w:after="0"/>
        <w:tabs>
          <w:tab w:leader="none" w:pos="18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default shall occur under any Director Note and be continuing beyond any applicable cure period.</w:t>
      </w:r>
    </w:p>
    <w:p>
      <w:pPr>
        <w:spacing w:after="0" w:line="21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As used in this Secured Note, “</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that is not a Saturday or Sunday or any day on which commercial banks in Delaware are required or permitted to be closed.</w:t>
      </w:r>
    </w:p>
    <w:p>
      <w:pPr>
        <w:spacing w:after="0" w:line="155" w:lineRule="exact"/>
        <w:rPr>
          <w:sz w:val="20"/>
          <w:szCs w:val="20"/>
          <w:color w:val="auto"/>
        </w:rPr>
      </w:pPr>
    </w:p>
    <w:p>
      <w:pPr>
        <w:ind w:left="1240" w:hanging="618"/>
        <w:spacing w:after="0"/>
        <w:tabs>
          <w:tab w:leader="none" w:pos="12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p>
    <w:p>
      <w:pPr>
        <w:spacing w:after="0" w:line="209"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3"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other rights, remedies, or powers that the Lender may have under this Secured Note or pursuant to applicable law, and without limitation thereof, upon and at any time during the occurrence of any Event of Default, the Lender may, by written notice to Borrower, declare the Obligations to be immediately due and payable and may exercise some or all of its rights and remedies under this Secured Note or applicable law against the Borrower and/or the Collateral.</w:t>
      </w:r>
    </w:p>
    <w:p>
      <w:pPr>
        <w:spacing w:after="0" w:line="168" w:lineRule="exact"/>
        <w:rPr>
          <w:rFonts w:ascii="Times New Roman" w:cs="Times New Roman" w:eastAsia="Times New Roman" w:hAnsi="Times New Roman"/>
          <w:sz w:val="21"/>
          <w:szCs w:val="21"/>
          <w:color w:val="auto"/>
        </w:rPr>
      </w:pPr>
    </w:p>
    <w:p>
      <w:pPr>
        <w:jc w:val="both"/>
        <w:ind w:firstLine="1241"/>
        <w:spacing w:after="0" w:line="266" w:lineRule="auto"/>
        <w:tabs>
          <w:tab w:leader="none" w:pos="185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and remedies of the Lender, as provided in this Secured Note and under applicable law, shall be cumulative and concurrent and may be pursued singularly, successively, or together, at the sole discretion of the Lender, and may be exercised as often as occasion therefor shall occur; and the failure to exercise or to continue to exercise any such right or remedy shall in no event be construed as a waiver or release thereof. Unless required by, and not waivable under, applicable law in any action, sale of collateral, or other proceedings to enforce this Secured Note, the Lender need not file or produce the original of this Secured Note but only need file or produce a photocopy of this Secured Note certified by the Lender to be a true and correct copy of this Secured Note.</w:t>
      </w:r>
    </w:p>
    <w:p>
      <w:pPr>
        <w:spacing w:after="0" w:line="159" w:lineRule="exact"/>
        <w:rPr>
          <w:rFonts w:ascii="Times New Roman" w:cs="Times New Roman" w:eastAsia="Times New Roman" w:hAnsi="Times New Roman"/>
          <w:sz w:val="20"/>
          <w:szCs w:val="20"/>
          <w:color w:val="auto"/>
        </w:rPr>
      </w:pPr>
    </w:p>
    <w:p>
      <w:pPr>
        <w:jc w:val="both"/>
        <w:ind w:firstLine="1241"/>
        <w:spacing w:after="0" w:line="256" w:lineRule="auto"/>
        <w:tabs>
          <w:tab w:leader="none" w:pos="1853"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subordination of the Obligations to the obligations to the Director Lenders under the Director Notes, the Lender shall be entitled to pursue all of its rights and remedies hereunder and under applicable law as long as the Lender shall pay off all obligations owing under the Director Notes from the net proceeds of any such enforcement action prior to applying any of such proceeds to the Obligations.</w:t>
      </w:r>
    </w:p>
    <w:p>
      <w:pPr>
        <w:spacing w:after="0" w:line="168" w:lineRule="exact"/>
        <w:rPr>
          <w:rFonts w:ascii="Times New Roman" w:cs="Times New Roman" w:eastAsia="Times New Roman" w:hAnsi="Times New Roman"/>
          <w:sz w:val="21"/>
          <w:szCs w:val="21"/>
          <w:color w:val="auto"/>
        </w:rPr>
      </w:pPr>
    </w:p>
    <w:p>
      <w:pPr>
        <w:jc w:val="both"/>
        <w:ind w:firstLine="622"/>
        <w:spacing w:after="0" w:line="251" w:lineRule="auto"/>
        <w:tabs>
          <w:tab w:leader="none" w:pos="123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Rescission of Payments.</w:t>
      </w:r>
      <w:r>
        <w:rPr>
          <w:rFonts w:ascii="Times New Roman" w:cs="Times New Roman" w:eastAsia="Times New Roman" w:hAnsi="Times New Roman"/>
          <w:sz w:val="21"/>
          <w:szCs w:val="21"/>
          <w:color w:val="auto"/>
        </w:rPr>
        <w:t xml:space="preserve"> If at any time any payment made by the Borrower under this Secured Note is rescinded or must otherwise be restored or returned upon the insolvency, bankruptcy, liquidation, or reorganization of the Borrower or otherwise, the Borrower’s obligation to make such payment shall be reinstated as though such payment had not been made and to the extent that this Secured Note has been terminated or deemed terminated, this Secured Note shall be revived and reinstated with respect thereto. The obligations of the Borrower under this Section shall survive the Maturity Date, the payment in full of the Obligations, or conversion to Common Stock, and the termination of this Secured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2" w:lineRule="exact"/>
        <w:rPr>
          <w:sz w:val="20"/>
          <w:szCs w:val="20"/>
          <w:color w:val="auto"/>
        </w:rPr>
      </w:pPr>
    </w:p>
    <w:p>
      <w:pPr>
        <w:jc w:val="both"/>
        <w:ind w:firstLine="622"/>
        <w:spacing w:after="0" w:line="263" w:lineRule="auto"/>
        <w:tabs>
          <w:tab w:leader="none" w:pos="123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Control, Joint Venture, or Partnership.</w:t>
      </w:r>
      <w:r>
        <w:rPr>
          <w:rFonts w:ascii="Times New Roman" w:cs="Times New Roman" w:eastAsia="Times New Roman" w:hAnsi="Times New Roman"/>
          <w:sz w:val="20"/>
          <w:szCs w:val="20"/>
          <w:color w:val="auto"/>
        </w:rPr>
        <w:t xml:space="preserve"> In connection with this Secured Note, the Borrower is not providing to the Lender, and the Lender is not receiving, any power to “control” (as defined at 31 C.F.R. § 800.208) the Borrower or any rights, access, or involvement (as described in 31 C.F.R. § 800.211(b)) in the Borrower. Nothing in this Secured Note shall be interpreted or construed</w:t>
      </w:r>
    </w:p>
    <w:p>
      <w:pPr>
        <w:spacing w:after="0" w:line="1" w:lineRule="exact"/>
        <w:rPr>
          <w:rFonts w:ascii="Times New Roman" w:cs="Times New Roman" w:eastAsia="Times New Roman" w:hAnsi="Times New Roman"/>
          <w:sz w:val="20"/>
          <w:szCs w:val="20"/>
          <w:color w:val="auto"/>
        </w:rPr>
      </w:pPr>
    </w:p>
    <w:p>
      <w:pPr>
        <w:jc w:val="both"/>
        <w:ind w:firstLine="3"/>
        <w:spacing w:after="0" w:line="248" w:lineRule="auto"/>
        <w:tabs>
          <w:tab w:leader="none" w:pos="28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create an association, agency relationship, joint venture, or partnership among the parties or to impose any partnership obligation or liability upon either party or (b) to create any other relationship between the parties other than that of borrower and lender. In addition, nothing in this Secured Note shall be deemed to authorize or empower either party to act as agent for the other party, or to conduct business in the name, or for the account, of the other party.</w:t>
      </w:r>
    </w:p>
    <w:p>
      <w:pPr>
        <w:spacing w:after="0" w:line="177" w:lineRule="exact"/>
        <w:rPr>
          <w:rFonts w:ascii="Times New Roman" w:cs="Times New Roman" w:eastAsia="Times New Roman" w:hAnsi="Times New Roman"/>
          <w:sz w:val="21"/>
          <w:szCs w:val="21"/>
          <w:color w:val="auto"/>
        </w:rPr>
      </w:pPr>
    </w:p>
    <w:p>
      <w:pPr>
        <w:ind w:firstLine="622"/>
        <w:spacing w:after="0" w:line="282" w:lineRule="auto"/>
        <w:tabs>
          <w:tab w:leader="none" w:pos="1238"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Any notice required or permitted to be given under this Secured Note shall be sufficient if in writing and sent by reputable overnight courier or email as set forth below:</w:t>
      </w: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Borrower: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Mr. Lon Ensler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Interim Chief Financial 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Momentus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3901 N. 1</w:t>
      </w:r>
      <w:r>
        <w:rPr>
          <w:rFonts w:ascii="Times New Roman" w:cs="Times New Roman" w:eastAsia="Times New Roman" w:hAnsi="Times New Roman"/>
          <w:sz w:val="13"/>
          <w:szCs w:val="13"/>
          <w:color w:val="auto"/>
        </w:rPr>
        <w:t>st</w:t>
      </w:r>
      <w:r>
        <w:rPr>
          <w:rFonts w:ascii="Times New Roman" w:cs="Times New Roman" w:eastAsia="Times New Roman" w:hAnsi="Times New Roman"/>
          <w:sz w:val="21"/>
          <w:szCs w:val="21"/>
          <w:color w:val="auto"/>
        </w:rPr>
        <w:t xml:space="preserve"> Street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 Jose, CA 95134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Lon.Enslerext@momentusspace.com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copy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Legal@momentusspace.com</w:t>
      </w:r>
    </w:p>
    <w:p>
      <w:pPr>
        <w:spacing w:after="0" w:line="46" w:lineRule="exact"/>
        <w:rPr>
          <w:sz w:val="20"/>
          <w:szCs w:val="20"/>
          <w:color w:val="auto"/>
        </w:rPr>
      </w:pPr>
    </w:p>
    <w:p>
      <w:pPr>
        <w:sectPr>
          <w:pgSz w:w="11900" w:h="16838" w:orient="portrait"/>
          <w:cols w:equalWidth="0" w:num="2">
            <w:col w:w="2320" w:space="720"/>
            <w:col w:w="8200"/>
          </w:cols>
          <w:pgMar w:left="320" w:top="1440"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20"/>
          <w:szCs w:val="20"/>
          <w:color w:val="auto"/>
        </w:rPr>
        <w:t>If to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Space Infrastructures Ventures, LLC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Hogan Lovells US LLP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8350 Broad Street, 17th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Tysons, VA 22102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randy.segal@hoganlovells.com</w:t>
      </w:r>
    </w:p>
    <w:p>
      <w:pPr>
        <w:spacing w:after="0" w:line="200" w:lineRule="exact"/>
        <w:rPr>
          <w:sz w:val="20"/>
          <w:szCs w:val="20"/>
          <w:color w:val="auto"/>
        </w:rPr>
      </w:pPr>
    </w:p>
    <w:p>
      <w:pPr>
        <w:sectPr>
          <w:pgSz w:w="11900" w:h="16838" w:orient="portrait"/>
          <w:cols w:equalWidth="0" w:num="2">
            <w:col w:w="2320" w:space="720"/>
            <w:col w:w="8200"/>
          </w:cols>
          <w:pgMar w:left="320" w:top="1440" w:right="339" w:bottom="1440" w:gutter="0" w:footer="0" w:header="0"/>
          <w:type w:val="continuous"/>
        </w:sectPr>
      </w:pPr>
    </w:p>
    <w:p>
      <w:pPr>
        <w:spacing w:after="0" w:line="104" w:lineRule="exact"/>
        <w:rPr>
          <w:sz w:val="20"/>
          <w:szCs w:val="20"/>
          <w:color w:val="auto"/>
        </w:rPr>
      </w:pPr>
    </w:p>
    <w:p>
      <w:pPr>
        <w:jc w:val="both"/>
        <w:ind w:firstLine="622"/>
        <w:spacing w:after="0" w:line="248" w:lineRule="auto"/>
        <w:tabs>
          <w:tab w:leader="none" w:pos="123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xml:space="preserve"> Effective as of the Borrowing Date of the First Loan, in addition to the payment of expenses pursuant to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the Borrower shall defend, indemnify, pay and hold harmless, the Lender and its affiliates and their past, present and future respective directors, managers, shareholders, members, officers, employees, counsel, accountants, investors, financial advisors, agents, consultants and other advisors (each,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from and against (i) any taxes (other than any tax on the overall net income of the Lender) paid or incurred by the Lender relating to, arising out of, or in connection with this Secured Note, whether or not such taxes were correctly or legally imposed or asserted by the relevant governmental authority, and (ii) any and all liabilities, obligations, losses, damages (including natural resource damages), penalties, claims, costs, expenses and disbursements of any kind or nature whatsoever (including the reasonable fees and disbursements of counsel for Indemnitees in connection with any investigative, administrative or judicial proceeding commenced or threatened by any person or entity,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on common law or equitable cause or on contract or otherwise,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type w:val="continuous"/>
        </w:sectPr>
      </w:pPr>
    </w:p>
    <w:bookmarkStart w:id="62" w:name="page63"/>
    <w:bookmarkEnd w:id="62"/>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imposed on, incurred by, or asserted against any such Indemnitee, in any manner relating to or arising out of this Secured Note or the transactions contemplated hereby (including the Lender’s agreement to make a loan or the use or intended use of the proceeds thereof, or any enforcement of this Secured Note), IN ALL CASES, WHETHER OR NOT CAUSED BY OR ARISING, IN WHOLE OR IN PART, OUT OF THE COMPARATIVE, CONTRIBUTORY, OR SOLE NEGLIGENCE OF SUCH INDEMNITEE; provided that the Borrower shall have no obligation to any Indemnitee hereunder with respect to the foregoing to the extent arising from the gross negligence or willful misconduct of that Indemnitee as determined by a final, non-appealable order of a court of competent jurisdiction. Notwithstanding any contrary provision in this Secured Note, the obligation of the Borrower with respect to each indemnity given by them in this Secured Note shall survive the Maturity Date, the payment in full of the Obligations, or conversion to Common Stock, and the termination of this Secured Note.</w:t>
      </w:r>
    </w:p>
    <w:p>
      <w:pPr>
        <w:spacing w:after="0" w:line="182" w:lineRule="exact"/>
        <w:rPr>
          <w:sz w:val="20"/>
          <w:szCs w:val="20"/>
          <w:color w:val="auto"/>
        </w:rPr>
      </w:pPr>
    </w:p>
    <w:p>
      <w:pPr>
        <w:ind w:left="1240" w:hanging="618"/>
        <w:spacing w:after="0"/>
        <w:tabs>
          <w:tab w:leader="none" w:pos="12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Assurances.</w:t>
      </w:r>
    </w:p>
    <w:p>
      <w:pPr>
        <w:spacing w:after="0" w:line="209" w:lineRule="exact"/>
        <w:rPr>
          <w:rFonts w:ascii="Times New Roman" w:cs="Times New Roman" w:eastAsia="Times New Roman" w:hAnsi="Times New Roman"/>
          <w:sz w:val="21"/>
          <w:szCs w:val="21"/>
          <w:color w:val="auto"/>
        </w:rPr>
      </w:pPr>
    </w:p>
    <w:p>
      <w:pPr>
        <w:jc w:val="both"/>
        <w:ind w:firstLine="1241"/>
        <w:spacing w:after="0" w:line="251" w:lineRule="auto"/>
        <w:tabs>
          <w:tab w:leader="none" w:pos="1853"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by the Lender, the Borrower shall make, execute, and deliver or cause to be made, executed, and delivered to the Lender and, where appropriate, cause to be recorded or filed, as applicable, and from time to time thereafter to be re-recorded or refiled, as applicable, at such time and in such offices and places as shall be deemed necessary or desirable by the Lender, any and all such instruments of further assurance, certificates and other documents as may, in the opinion of Lender, be necessary or desirable to effectuate, complete, or perfect, or to continue and preserve, the operation and effect of this Secured Note, including, without limitation, the security interest granted herein.</w:t>
      </w:r>
    </w:p>
    <w:p>
      <w:pPr>
        <w:spacing w:after="0" w:line="173" w:lineRule="exact"/>
        <w:rPr>
          <w:rFonts w:ascii="Times New Roman" w:cs="Times New Roman" w:eastAsia="Times New Roman" w:hAnsi="Times New Roman"/>
          <w:sz w:val="21"/>
          <w:szCs w:val="21"/>
          <w:color w:val="auto"/>
        </w:rPr>
      </w:pPr>
    </w:p>
    <w:p>
      <w:pPr>
        <w:jc w:val="both"/>
        <w:ind w:firstLine="1241"/>
        <w:spacing w:after="0" w:line="247" w:lineRule="auto"/>
        <w:tabs>
          <w:tab w:leader="none" w:pos="1852"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 and Borrower shall reasonably cooperate in connection with the CFIUS Filing, including (i) cooperate in all respects with each other in connection with the drafting and filing of the CFIUS Filing and CFIUS’s review or investigation, (ii) respond to all inquiries received from CFIUS for additional information or documentation within the period of time permitted by CFIUS, (iii) promptly inform each other of any material communication with CFIUS, (iv) permit each other to review any communication by the other and consult with the other in advance of any planned meeting or conference, with CFIUS, and, to the extent permitted by CFIUS, grant each other the opportunity to attend and participate in any such planned meeting or conference, provided that neither the Lender nor the Borrower shall be obligated to disclose to the other any communication to CFIUS that the Lender or the Borrower considers to be proprietary or confidential. The Lender and Borrower shall use their reasonable best efforts to take, or cause to be taken, all actions, and to do, or cause to be done, and to assist and cooperate with each other, all commercially reasonable things necessary, proper, or advisable to satisfy the CFIUS Condition, as promptly as practicable. Notwithstanding the foregoing, nothing in this Section shall require, or be construed to require, Lender or any of its affiliates to agree to, or to accept or suffer to have imposed upon it, with respect to Lender, Borrower, or any of their respective affiliates, any condition or mitigation that would require any of them to (i) sell, hold separate, divest, or discontinue, before or after the closing date, any material assets, businesses, or interests of Lender, Borrower, or any of their respective affiliates; (ii) accept any conditions relating to, or changes or restrictions in, the operations of any such assets, businesses, or interests that could reasonably be expected to materially adversely impact the economic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benefits to Lender of any and all transactions in which the parties intend to engage or be otherwise materially adverse to the Lender, the Borrower, or their affiliates; or (iii) make any material modification or waiver of the terms and conditions of this Secured Note or the documents setting forth the provisions of any and all transactions in which the parties intend to engage following the date hereof (any of the foregoing actions identified in (i), (ii), and (iii), a “</w:t>
      </w:r>
      <w:r>
        <w:rPr>
          <w:rFonts w:ascii="Times New Roman" w:cs="Times New Roman" w:eastAsia="Times New Roman" w:hAnsi="Times New Roman"/>
          <w:sz w:val="21"/>
          <w:szCs w:val="21"/>
          <w:u w:val="single" w:color="auto"/>
          <w:color w:val="auto"/>
        </w:rPr>
        <w:t>Burdensome Condition</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left="1240" w:hanging="618"/>
        <w:spacing w:after="0"/>
        <w:tabs>
          <w:tab w:leader="none" w:pos="124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Borrowing.</w:t>
      </w:r>
      <w:r>
        <w:rPr>
          <w:rFonts w:ascii="Times New Roman" w:cs="Times New Roman" w:eastAsia="Times New Roman" w:hAnsi="Times New Roman"/>
          <w:sz w:val="21"/>
          <w:szCs w:val="21"/>
          <w:color w:val="auto"/>
        </w:rPr>
        <w:t xml:space="preserve"> The following conditions apply to the making of any Loan (unless otherwise indicated):</w:t>
      </w:r>
    </w:p>
    <w:p>
      <w:pPr>
        <w:spacing w:after="0" w:line="209" w:lineRule="exact"/>
        <w:rPr>
          <w:rFonts w:ascii="Times New Roman" w:cs="Times New Roman" w:eastAsia="Times New Roman" w:hAnsi="Times New Roman"/>
          <w:sz w:val="21"/>
          <w:szCs w:val="21"/>
          <w:color w:val="auto"/>
        </w:rPr>
      </w:pPr>
    </w:p>
    <w:p>
      <w:pPr>
        <w:ind w:firstLine="1241"/>
        <w:spacing w:after="0" w:line="269" w:lineRule="auto"/>
        <w:tabs>
          <w:tab w:leader="none" w:pos="1853"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and no condition which would constitute an Event of Default with the giving of notice or lapse of time or both shall exist, and there shall not have occurred a Bankruptcy Event;</w:t>
      </w:r>
    </w:p>
    <w:p>
      <w:pPr>
        <w:spacing w:after="0" w:line="154" w:lineRule="exact"/>
        <w:rPr>
          <w:rFonts w:ascii="Times New Roman" w:cs="Times New Roman" w:eastAsia="Times New Roman" w:hAnsi="Times New Roman"/>
          <w:sz w:val="21"/>
          <w:szCs w:val="21"/>
          <w:color w:val="auto"/>
        </w:rPr>
      </w:pPr>
    </w:p>
    <w:p>
      <w:pPr>
        <w:ind w:firstLine="1241"/>
        <w:spacing w:after="0" w:line="282" w:lineRule="auto"/>
        <w:tabs>
          <w:tab w:leader="none" w:pos="1852"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made by the Borrowers herein shall be true and correct immediately prior to, and after giving effect to, such Loan;</w:t>
      </w:r>
    </w:p>
    <w:p>
      <w:pPr>
        <w:spacing w:after="0" w:line="141" w:lineRule="exact"/>
        <w:rPr>
          <w:rFonts w:ascii="Times New Roman" w:cs="Times New Roman" w:eastAsia="Times New Roman" w:hAnsi="Times New Roman"/>
          <w:sz w:val="21"/>
          <w:szCs w:val="21"/>
          <w:color w:val="auto"/>
        </w:rPr>
      </w:pPr>
    </w:p>
    <w:p>
      <w:pPr>
        <w:ind w:firstLine="1241"/>
        <w:spacing w:after="0" w:line="269" w:lineRule="auto"/>
        <w:tabs>
          <w:tab w:leader="none" w:pos="1853"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such Loan shall not violate any requirement of law and shall not be enjoined, temporarily, preliminarily, or permanently;</w:t>
      </w:r>
    </w:p>
    <w:p>
      <w:pPr>
        <w:spacing w:after="0" w:line="154"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giving effect to a request for, and the borrowing of, a Loan, the Total Commitment Amount will not be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exceeded;</w:t>
      </w:r>
    </w:p>
    <w:p>
      <w:pPr>
        <w:spacing w:after="0" w:line="187" w:lineRule="exact"/>
        <w:rPr>
          <w:rFonts w:ascii="Times New Roman" w:cs="Times New Roman" w:eastAsia="Times New Roman" w:hAnsi="Times New Roman"/>
          <w:sz w:val="21"/>
          <w:szCs w:val="21"/>
          <w:color w:val="auto"/>
        </w:rPr>
      </w:pPr>
    </w:p>
    <w:p>
      <w:pPr>
        <w:ind w:firstLine="1241"/>
        <w:spacing w:after="0" w:line="282" w:lineRule="auto"/>
        <w:tabs>
          <w:tab w:leader="none" w:pos="1853"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Loan, there shall not have occurred and be continuing any Event of Default (as defined in the Director Notes) under any Director Notes;</w:t>
      </w:r>
    </w:p>
    <w:p>
      <w:pPr>
        <w:spacing w:after="0" w:line="141"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6"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not have occurred any event, change, circumstance, effect, or other matter that has, individually or in the aggregate, a material adverse effect on (i) the financial condition or results of operations of the Borrower or its business, taken as a whole as of the date hereof; or (ii) the condition or value of any material portion of the Borrower’s assets;</w:t>
      </w:r>
    </w:p>
    <w:p>
      <w:pPr>
        <w:spacing w:after="0" w:line="168"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2"/>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sent a written borrowing notice (each, a “</w:t>
      </w:r>
      <w:r>
        <w:rPr>
          <w:rFonts w:ascii="Times New Roman" w:cs="Times New Roman" w:eastAsia="Times New Roman" w:hAnsi="Times New Roman"/>
          <w:sz w:val="20"/>
          <w:szCs w:val="20"/>
          <w:u w:val="single" w:color="auto"/>
          <w:color w:val="auto"/>
        </w:rPr>
        <w:t>Borrowing Notice</w:t>
      </w:r>
      <w:r>
        <w:rPr>
          <w:rFonts w:ascii="Times New Roman" w:cs="Times New Roman" w:eastAsia="Times New Roman" w:hAnsi="Times New Roman"/>
          <w:sz w:val="20"/>
          <w:szCs w:val="20"/>
          <w:color w:val="auto"/>
        </w:rPr>
        <w:t>”) to the Lender setting forth</w:t>
      </w:r>
    </w:p>
    <w:p>
      <w:pPr>
        <w:spacing w:after="0" w:line="37" w:lineRule="exact"/>
        <w:rPr>
          <w:rFonts w:ascii="Times New Roman" w:cs="Times New Roman" w:eastAsia="Times New Roman" w:hAnsi="Times New Roman"/>
          <w:sz w:val="20"/>
          <w:szCs w:val="20"/>
          <w:color w:val="auto"/>
        </w:rPr>
      </w:pPr>
    </w:p>
    <w:p>
      <w:pPr>
        <w:jc w:val="both"/>
        <w:ind w:firstLine="3"/>
        <w:spacing w:after="0" w:line="249" w:lineRule="auto"/>
        <w:tabs>
          <w:tab w:leader="none" w:pos="27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Loan being requested, (ii) the date the Loan being requested is to be funded, which shall be at least five (5) Business Days after the date the Lender receives the Borrowing Notice, (iii) the intended use of the proceeds of the Loan, (iv) where the Loan funds should be wire transferred, including where the funds should be wired by the Lender to repay the Director Loans in connection with a borrowing of the Second Loan, (v) confirmation that no Events of Default have occurred and are continuing, and (vi confirmation that all of the representations and warranties in this Secured Note are accurate as of the date of the Borrowing Notice and the requested Loan funding date. Each Borrowing Notice shall be signed by an authorized officer of the Borrower;</w:t>
      </w:r>
    </w:p>
    <w:p>
      <w:pPr>
        <w:spacing w:after="0" w:line="175"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2"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Second Loan, Lender shall use commercially reasonable efforts to timely obtain and shall have obtained, financing to fund (i) the maximum amount of the Second Loan and (ii) a debtor in possession financing facility to be made available to Borrower (subject to final documentation, an agreed budget, and court approval) on terms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are at least as favorable as the following: (1) the aggregate amount of such facility and availability thereunder shall be not less than $6,000,0000, (2) the interest rate shall not be more than fourteen percent (14%) per annum, (3) any origination fee and other fees and costs in aggregate shall not be more than two percent (2%) of the total facility amount financed, (4) the term of such facility shall not be less than thirty-six (36) months, and (5) the other terms of such facility shall be on terms no less favorable than set forth in this Secured Note (such financing, an “</w:t>
      </w:r>
      <w:r>
        <w:rPr>
          <w:rFonts w:ascii="Times New Roman" w:cs="Times New Roman" w:eastAsia="Times New Roman" w:hAnsi="Times New Roman"/>
          <w:sz w:val="20"/>
          <w:szCs w:val="20"/>
          <w:u w:val="single" w:color="auto"/>
          <w:color w:val="auto"/>
        </w:rPr>
        <w:t>Acceptable Loan Facility</w:t>
      </w:r>
      <w:r>
        <w:rPr>
          <w:rFonts w:ascii="Times New Roman" w:cs="Times New Roman" w:eastAsia="Times New Roman" w:hAnsi="Times New Roman"/>
          <w:sz w:val="20"/>
          <w:szCs w:val="20"/>
          <w:color w:val="auto"/>
        </w:rPr>
        <w:t>”). If Lender determines in good faith, after using commercially reasonable efforts, that it cannot obtain an Acceptable Loan Facility, it will provide the Borrower with written notice of such determination within five (5) Business Days of receipt of a Borrowing Notice for the Second Loan (the “</w:t>
      </w:r>
      <w:r>
        <w:rPr>
          <w:rFonts w:ascii="Times New Roman" w:cs="Times New Roman" w:eastAsia="Times New Roman" w:hAnsi="Times New Roman"/>
          <w:sz w:val="20"/>
          <w:szCs w:val="20"/>
          <w:u w:val="single" w:color="auto"/>
          <w:color w:val="auto"/>
        </w:rPr>
        <w:t>Second Loan Lender Notice</w:t>
      </w:r>
      <w:r>
        <w:rPr>
          <w:rFonts w:ascii="Times New Roman" w:cs="Times New Roman" w:eastAsia="Times New Roman" w:hAnsi="Times New Roman"/>
          <w:sz w:val="20"/>
          <w:szCs w:val="20"/>
          <w:color w:val="auto"/>
        </w:rPr>
        <w:t>”) which notice shall set forth the commercially reasonable efforts taken by Lender to obtain an Acceptable Loan Facility, the funding sources consulted by Lender to obtain an Acceptable Loan Facility (subject to any applicable non-disclosure agreements), and the reason(s) Lender has determined that it cannot obtain an Acceptable Loan Facility. Subject to the Borrower obtaining a final, non-appealable order from a court of competent jurisdiction to the contrary, upon delivery of the Lender Notice, (i) Lender shall have no further obligation or commitment to the Borrower to fund any other Loans (other than the First Loan) under this Secured Note, and (ii) Lender shall have no liability to the Borrower for any claims, actions, causes of action, proceedings, obligations, liabilities, losses and/or damages of any kind or character, whether in law or in equity, for not funding the requested Second Loan or for any other purported breaches by Lender of its obligations under this Secured Note. As used herein, “commercially reasonable efforts” shall exclude the provision, in connection with obtaining an Acceptable Loan Facility, of any personal or other guarantees by any principals of Lender or by other any Releasee (as defined below) or the pledging of any assets by any principals of Lender or by other any Releasee (other than Lender); and</w:t>
      </w:r>
    </w:p>
    <w:p>
      <w:pPr>
        <w:spacing w:after="0" w:line="174" w:lineRule="exact"/>
        <w:rPr>
          <w:sz w:val="20"/>
          <w:szCs w:val="20"/>
          <w:color w:val="auto"/>
        </w:rPr>
      </w:pPr>
    </w:p>
    <w:p>
      <w:pPr>
        <w:ind w:left="1840" w:hanging="599"/>
        <w:spacing w:after="0"/>
        <w:tabs>
          <w:tab w:leader="none" w:pos="18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funding of the Second Loan, the Director Lenders shall have delivered the Director Lender Releases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Lender.</w:t>
      </w:r>
    </w:p>
    <w:p>
      <w:pPr>
        <w:spacing w:after="0" w:line="201" w:lineRule="exact"/>
        <w:rPr>
          <w:sz w:val="20"/>
          <w:szCs w:val="20"/>
          <w:color w:val="auto"/>
        </w:rPr>
      </w:pPr>
    </w:p>
    <w:p>
      <w:pPr>
        <w:jc w:val="both"/>
        <w:ind w:firstLine="622"/>
        <w:spacing w:after="0" w:line="247" w:lineRule="auto"/>
        <w:tabs>
          <w:tab w:leader="none" w:pos="123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Effective as of the Borrowing Date of the First Loan, the Borrower, for itself and its affiliates and their respective directors, managers, shareholders, members, officers, employees, counsel, accountants, investors, financial advisors, agents, consultants and other advisors and successors and assigns (collectively, the “</w:t>
      </w:r>
      <w:r>
        <w:rPr>
          <w:rFonts w:ascii="Times New Roman" w:cs="Times New Roman" w:eastAsia="Times New Roman" w:hAnsi="Times New Roman"/>
          <w:sz w:val="21"/>
          <w:szCs w:val="21"/>
          <w:u w:val="single" w:color="auto"/>
          <w:color w:val="auto"/>
        </w:rPr>
        <w:t>Releasing Persons</w:t>
      </w:r>
      <w:r>
        <w:rPr>
          <w:rFonts w:ascii="Times New Roman" w:cs="Times New Roman" w:eastAsia="Times New Roman" w:hAnsi="Times New Roman"/>
          <w:sz w:val="21"/>
          <w:szCs w:val="21"/>
          <w:color w:val="auto"/>
        </w:rPr>
        <w:t>”), does hereby and forever irrevocably release and discharge the Lender and each of its past, present and future affiliates and their respective directors, managers, shareholders, members, officers, employees, counsel, accountants, investors, financial advisors, agents, consultants and other advisors (each a “</w:t>
      </w:r>
      <w:r>
        <w:rPr>
          <w:rFonts w:ascii="Times New Roman" w:cs="Times New Roman" w:eastAsia="Times New Roman" w:hAnsi="Times New Roman"/>
          <w:sz w:val="21"/>
          <w:szCs w:val="21"/>
          <w:u w:val="single" w:color="auto"/>
          <w:color w:val="auto"/>
        </w:rPr>
        <w:t>Releasee</w:t>
      </w:r>
      <w:r>
        <w:rPr>
          <w:rFonts w:ascii="Times New Roman" w:cs="Times New Roman" w:eastAsia="Times New Roman" w:hAnsi="Times New Roman"/>
          <w:sz w:val="21"/>
          <w:szCs w:val="21"/>
          <w:color w:val="auto"/>
        </w:rPr>
        <w:t>”), from any and all claims, actions, causes of action, proceedings, judgments, debts, rights, interests, obligations, liabilities and all other losses and damages of whatsoever kind or character, known or unknown, suspected to exist or not suspected to exist, anticipated or not anticipated, whether or not heretofore brought, whether in law or in equity, whether in contract or in tort or otherwise, that such Releasing Person now has, has ever had or may hereafter have against any Releasee, in each case, which arises out of or relates to events, circumstances or actions occurring, existing or taken prior to the date hereof in respect of this Secured Note or any of the transactions contemplated hereby (each, a “</w:t>
      </w:r>
      <w:r>
        <w:rPr>
          <w:rFonts w:ascii="Times New Roman" w:cs="Times New Roman" w:eastAsia="Times New Roman" w:hAnsi="Times New Roman"/>
          <w:sz w:val="21"/>
          <w:szCs w:val="21"/>
          <w:u w:val="single" w:color="auto"/>
          <w:color w:val="auto"/>
        </w:rPr>
        <w:t>Released Claim</w:t>
      </w:r>
      <w:r>
        <w:rPr>
          <w:rFonts w:ascii="Times New Roman" w:cs="Times New Roman" w:eastAsia="Times New Roman" w:hAnsi="Times New Roman"/>
          <w:sz w:val="21"/>
          <w:szCs w:val="21"/>
          <w:color w:val="auto"/>
        </w:rPr>
        <w:t>”); provided, however,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Released Claims shall not include a release of any of the Borrower’s rights, or any of Lender’s obligations, under this Secured Note. Each Releasing Person further covenants and agrees</w:t>
      </w:r>
    </w:p>
    <w:p>
      <w:pPr>
        <w:spacing w:after="0" w:line="155" w:lineRule="exact"/>
        <w:rPr>
          <w:sz w:val="20"/>
          <w:szCs w:val="20"/>
          <w:color w:val="auto"/>
        </w:rPr>
      </w:pPr>
    </w:p>
    <w:p>
      <w:pPr>
        <w:jc w:val="both"/>
        <w:ind w:firstLine="1241"/>
        <w:spacing w:after="0" w:line="250" w:lineRule="auto"/>
        <w:tabs>
          <w:tab w:leader="none" w:pos="1853"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it will not, and will cause its affiliates not to, take any action inconsistent with this Section (including commencing any action or proceeding in respect of, or directly or indirectly transferring to another person or entity, any Released Claim). This Section shall survive the Maturity Date, the payment in full of the Obligations, or conversion to Common Stock, and the termination of this Secured Note, is intended for the benefit of and may be enforced directly by each of the Released Persons and is binding on all successors and assigns of the Releasing Person. The Borrower represents and warrants that no portion of any Released Claim has been assigned or transferred to any other person or entity, either directly or by way of subrogation or operation of law. Furthermore, the Borrower also represents and warrants that it will not fund, support, or cooperate with any claims by third parties against the Releasees related to the Released Claims.</w:t>
      </w:r>
    </w:p>
    <w:p>
      <w:pPr>
        <w:spacing w:after="0" w:line="179" w:lineRule="exact"/>
        <w:rPr>
          <w:rFonts w:ascii="Times New Roman" w:cs="Times New Roman" w:eastAsia="Times New Roman" w:hAnsi="Times New Roman"/>
          <w:sz w:val="21"/>
          <w:szCs w:val="21"/>
          <w:color w:val="auto"/>
        </w:rPr>
      </w:pPr>
    </w:p>
    <w:p>
      <w:pPr>
        <w:jc w:val="both"/>
        <w:ind w:firstLine="622"/>
        <w:spacing w:after="0" w:line="263" w:lineRule="auto"/>
        <w:tabs>
          <w:tab w:leader="none" w:pos="123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Each party shall hold, and shall use commercially reasonable efforts to cause its affiliates, and its and their respective Representatives (as defined below) to hold, in strict confidence from any person or entity (other than any such affiliate or Representative) the terms and conditions of this Secured Note and any facts or other information related to this Secured Note, unless</w:t>
      </w:r>
    </w:p>
    <w:p>
      <w:pPr>
        <w:jc w:val="both"/>
        <w:ind w:firstLine="3"/>
        <w:spacing w:after="0" w:line="247" w:lineRule="auto"/>
        <w:tabs>
          <w:tab w:leader="none" w:pos="27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party is required to disclose such information by applicable law, rule or regulation; (ii) such information is disclosed in an action or proceeding brought by a party hereto in pursuit of its rights or in the exercise of its remedies hereunder, or (iii) the party to whom disclosure of this Secured Note is made has executed a confidentiality agreement with Borrower. As used herein, “</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directors, managers, shareholders, members, officers, employees, counsel, accountants, lenders, investors, financial advisors, consultants, and other advisors, in each case with respect to the transactions contemplated by this Secured Note.</w:t>
      </w:r>
    </w:p>
    <w:p>
      <w:pPr>
        <w:spacing w:after="0" w:line="179" w:lineRule="exact"/>
        <w:rPr>
          <w:rFonts w:ascii="Times New Roman" w:cs="Times New Roman" w:eastAsia="Times New Roman" w:hAnsi="Times New Roman"/>
          <w:sz w:val="21"/>
          <w:szCs w:val="21"/>
          <w:color w:val="auto"/>
        </w:rPr>
      </w:pPr>
    </w:p>
    <w:p>
      <w:pPr>
        <w:jc w:val="both"/>
        <w:ind w:firstLine="622"/>
        <w:spacing w:after="0" w:line="273" w:lineRule="auto"/>
        <w:tabs>
          <w:tab w:leader="none" w:pos="123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 of Enforcement.</w:t>
      </w:r>
      <w:r>
        <w:rPr>
          <w:rFonts w:ascii="Times New Roman" w:cs="Times New Roman" w:eastAsia="Times New Roman" w:hAnsi="Times New Roman"/>
          <w:sz w:val="20"/>
          <w:szCs w:val="20"/>
          <w:color w:val="auto"/>
        </w:rPr>
        <w:t xml:space="preserve"> In connection with an Event of Default, the Borrower agrees to pay and shall pay, on demand, in addition to unpaid principal and interest and/or interest at the default rate, all of the fees, costs, and expenses incurred by the Lender in attempting or effecting collection or enforcement hereunder, including, but not limited to, the reasonable fees and expenses of any attorneys or agents engaged by the Lender in connection therewith, whether or not suit or other legal action is instituted or taken.</w:t>
      </w:r>
    </w:p>
    <w:p>
      <w:pPr>
        <w:spacing w:after="0" w:line="152" w:lineRule="exact"/>
        <w:rPr>
          <w:rFonts w:ascii="Times New Roman" w:cs="Times New Roman" w:eastAsia="Times New Roman" w:hAnsi="Times New Roman"/>
          <w:sz w:val="20"/>
          <w:szCs w:val="20"/>
          <w:color w:val="auto"/>
        </w:rPr>
      </w:pPr>
    </w:p>
    <w:p>
      <w:pPr>
        <w:jc w:val="both"/>
        <w:ind w:firstLine="622"/>
        <w:spacing w:after="0" w:line="256" w:lineRule="auto"/>
        <w:tabs>
          <w:tab w:leader="none" w:pos="123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xml:space="preserve"> The Borrower hereby waives presentment, demand, notice, protest, and all other demands and notices in connection with the delivery, acceptance, performance, default, or enforcement of this Secured Note, and assents to any extension or postponement of the time of payment or any other indulgence, to any substitution, exchange or release of collateral, if any, and to the addition or release of any other party or person primarily or secondarily liable.</w:t>
      </w:r>
    </w:p>
    <w:p>
      <w:pPr>
        <w:spacing w:after="0" w:line="164"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 xml:space="preserve"> THE BORROWER AND THE LENDER EACH IRREVOCABLY AND UNCONDITIONALLY AGREE THAT THE OBLIGATIONS OF THE BORROWER AND THE RIGHTS AND REMEDIES OF THE LENDER UNDER THIS SECURED NOTE, AND ANY CLAIM OR CONTROVERSY DIRECTLY OR INDIRECTLY BASED UPON OR ARISING OUT OF THIS SECURED NOTE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TRANSACTIONS CONTEMPLATED HEREBY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WHETHER BASED ON CONTRACT, TORT, OR OTHERWISE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INCLUDING ALL MATTERS OF CONSTRUCTION, VALIDITY, AND PERFORMANCE, SHALL IN ALL RESPECTS BE GOVERNED BY AND INTERPRETED, CONSTRUED AND DETERMINED IN ACCORDANCE WITH THE INTERNAL LAWS OF THE STATE OF DELAWARE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WITHOUT REGARD TO ANY CONFLICTS OF LAW PROVISION THEREOF THAT WOULD REQUIRE THE APPLICATION OF THE LAWS OF ANY OTHER JURISDICTION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159" w:lineRule="exact"/>
        <w:rPr>
          <w:sz w:val="20"/>
          <w:szCs w:val="20"/>
          <w:color w:val="auto"/>
        </w:rPr>
      </w:pPr>
    </w:p>
    <w:p>
      <w:pPr>
        <w:jc w:val="both"/>
        <w:ind w:firstLine="622"/>
        <w:spacing w:after="0" w:line="251" w:lineRule="auto"/>
        <w:tabs>
          <w:tab w:leader="none" w:pos="123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Jurisdiction.</w:t>
      </w:r>
      <w:r>
        <w:rPr>
          <w:rFonts w:ascii="Times New Roman" w:cs="Times New Roman" w:eastAsia="Times New Roman" w:hAnsi="Times New Roman"/>
          <w:sz w:val="21"/>
          <w:szCs w:val="21"/>
          <w:color w:val="auto"/>
        </w:rPr>
        <w:t xml:space="preserve"> The Borrower and the Lender hereby irrevocably and unconditionally submit to the jurisdiction of any state or federal court located in Delaware, in any action or proceeding arising out of or relating to this Secured Note. The Borrower and the Lender hereby irrevocably and unconditionally waive, to the fullest extent it may legally and effectively do so, (a) any objection that they may now or hereafter have to the laying of venue of any suit, action, or proceeding arising out of this Secured Note in any state or federal court located in Delaware, and (b) the defense of an inconvenient forum to the maintenance of such action or proceeding in any such court.</w:t>
      </w:r>
    </w:p>
    <w:p>
      <w:pPr>
        <w:spacing w:after="0" w:line="169" w:lineRule="exact"/>
        <w:rPr>
          <w:rFonts w:ascii="Times New Roman" w:cs="Times New Roman" w:eastAsia="Times New Roman" w:hAnsi="Times New Roman"/>
          <w:sz w:val="21"/>
          <w:szCs w:val="21"/>
          <w:color w:val="auto"/>
        </w:rPr>
      </w:pPr>
    </w:p>
    <w:p>
      <w:pPr>
        <w:jc w:val="both"/>
        <w:ind w:firstLine="622"/>
        <w:spacing w:after="0" w:line="252" w:lineRule="auto"/>
        <w:tabs>
          <w:tab w:leader="none" w:pos="123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JURY TRIAL.</w:t>
      </w:r>
      <w:r>
        <w:rPr>
          <w:rFonts w:ascii="Times New Roman" w:cs="Times New Roman" w:eastAsia="Times New Roman" w:hAnsi="Times New Roman"/>
          <w:sz w:val="21"/>
          <w:szCs w:val="21"/>
          <w:b w:val="1"/>
          <w:bCs w:val="1"/>
          <w:color w:val="auto"/>
        </w:rPr>
        <w:t xml:space="preserve"> THE BORROWER AND THE LENDER EACH IRREVOCABLY WAIVE ALL RIGHT TO TRIAL BY JURY IN ANY ACTION, PROCEEDING OR COUNTERCLAIM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WHETHER BASED ON CONTRACT, TORT OR OTHERWISE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ARISING OUT OF OR RELATING TO THIS SECURED NOTE OR THE ACTIONS OF THE</w:t>
      </w:r>
    </w:p>
    <w:p>
      <w:pPr>
        <w:spacing w:after="0" w:line="1" w:lineRule="exact"/>
        <w:rPr>
          <w:rFonts w:ascii="Times New Roman" w:cs="Times New Roman" w:eastAsia="Times New Roman" w:hAnsi="Times New Roman"/>
          <w:sz w:val="21"/>
          <w:szCs w:val="21"/>
          <w:color w:val="auto"/>
        </w:rPr>
      </w:pPr>
    </w:p>
    <w:p>
      <w:pPr>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BORROWER OR THE LENDER IN THE NEGOTIATION, ADMINISTRATION, PERFORMANCE OR ENFORCEMENT THEREOF.</w:t>
      </w:r>
    </w:p>
    <w:p>
      <w:pPr>
        <w:spacing w:after="0" w:line="161" w:lineRule="exact"/>
        <w:rPr>
          <w:rFonts w:ascii="Times New Roman" w:cs="Times New Roman" w:eastAsia="Times New Roman" w:hAnsi="Times New Roman"/>
          <w:sz w:val="21"/>
          <w:szCs w:val="21"/>
          <w:color w:val="auto"/>
        </w:rPr>
      </w:pPr>
    </w:p>
    <w:p>
      <w:pPr>
        <w:jc w:val="both"/>
        <w:ind w:firstLine="622"/>
        <w:spacing w:after="0" w:line="254" w:lineRule="auto"/>
        <w:tabs>
          <w:tab w:leader="none" w:pos="123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PREJUDGMENT REMEDIES.</w:t>
      </w:r>
      <w:r>
        <w:rPr>
          <w:rFonts w:ascii="Times New Roman" w:cs="Times New Roman" w:eastAsia="Times New Roman" w:hAnsi="Times New Roman"/>
          <w:sz w:val="21"/>
          <w:szCs w:val="21"/>
          <w:b w:val="1"/>
          <w:bCs w:val="1"/>
          <w:color w:val="auto"/>
        </w:rPr>
        <w:t xml:space="preserve"> THE BORROWER ACKNOWLEDGES THAT THE TRANSACTION OF WHICH THIS SECURED NOTE IS A PART IS A COMMERCIAL TRANSACTION, AND HEREBY VOLUNTARILY AND KNOWINGLY WAIVES ITS RIGHT TO NOTICE AND HEARING UNDER THE DELAWARE STATUTES, OR AS OTHERWISE ALLOWED BY LAW OR ANY STATE OR FEDERAL LAW WITH RESPECT TO ANY PREJUDGMENT REMEDY WHICH THE LENDER MAY DESIRE TO USE.</w:t>
      </w:r>
    </w:p>
    <w:p>
      <w:pPr>
        <w:spacing w:after="0" w:line="166" w:lineRule="exact"/>
        <w:rPr>
          <w:rFonts w:ascii="Times New Roman" w:cs="Times New Roman" w:eastAsia="Times New Roman" w:hAnsi="Times New Roman"/>
          <w:sz w:val="21"/>
          <w:szCs w:val="21"/>
          <w:color w:val="auto"/>
        </w:rPr>
      </w:pPr>
    </w:p>
    <w:p>
      <w:pPr>
        <w:jc w:val="both"/>
        <w:ind w:firstLine="622"/>
        <w:spacing w:after="0" w:line="252" w:lineRule="auto"/>
        <w:tabs>
          <w:tab w:leader="none" w:pos="123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LIMITATION ON LIABILITY.</w:t>
      </w:r>
      <w:r>
        <w:rPr>
          <w:rFonts w:ascii="Times New Roman" w:cs="Times New Roman" w:eastAsia="Times New Roman" w:hAnsi="Times New Roman"/>
          <w:sz w:val="21"/>
          <w:szCs w:val="21"/>
          <w:b w:val="1"/>
          <w:bCs w:val="1"/>
          <w:color w:val="auto"/>
        </w:rPr>
        <w:t xml:space="preserve"> TO THE GREATEST EXTENT PERMITTED BY LAW, THE BORROWER HEREBY WAIVES ALL RIGHTS TO THE ASSERTION OR RECOVERY OF PUNITIVE OR EXEMPLARY DAMAGES AGAINST THE LENDER IN CONNECTION WITH THIS SECURED NOTE OR ANY OTHER DOCUMENT OR INSTRUMENT EVIDENCING OR SECURING THIS SECURED NOTE. THE BORROWER SHALL HAVE NO CLAIMS FOR ANY ACTS OR OMISSIONS OF THE LENDER OTHER THAN THOSE CONSTITUTING GROSS NEGLIGENCE OR INTENTIONALLY WRONGFUL CONDUCT.</w:t>
      </w:r>
    </w:p>
    <w:p>
      <w:pPr>
        <w:spacing w:after="0" w:line="171"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This Secured Note, together with all other instruments, agreements, and certificates executed by the parties in connection therewith or with reference thereto, embody the entire understanding and agreement between the parties hereto and thereto with respect to the subject matter hereof and thereof and supersede all prior agreements, understandings, and inducements, whether express or implied, oral or written. This Secured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may not be contradicted by evidence of prior, contemporaneous, or subsequent oral agreements of the parties. There are no oral agreements between the parties. Each of the exhibits and schedules attached hereto are incorporated into this Secured Note and by this reference made a part hereof.</w:t>
      </w:r>
    </w:p>
    <w:p>
      <w:pPr>
        <w:spacing w:after="0" w:line="181" w:lineRule="exact"/>
        <w:rPr>
          <w:sz w:val="20"/>
          <w:szCs w:val="20"/>
          <w:color w:val="auto"/>
        </w:rPr>
      </w:pPr>
    </w:p>
    <w:p>
      <w:pPr>
        <w:jc w:val="both"/>
        <w:ind w:firstLine="622"/>
        <w:spacing w:after="0" w:line="252" w:lineRule="auto"/>
        <w:tabs>
          <w:tab w:leader="none" w:pos="123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No modification, amendment, or other revision of the provisions of this Secured Note shall be binding unless in writing and signed by the Lender and Borrower. No omission or delay by the Lender in exercising or continuing any right, remedy, or power under this Secured Note shall impair the exercise or continuation of any such right, remedy, or power or be construed to be a waiver of any default or Event of Default to be an acquiescence therein.</w:t>
      </w:r>
    </w:p>
    <w:p>
      <w:pPr>
        <w:spacing w:after="0" w:line="171"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that any one or more of the provisions of this Secured Note are deemed to be invalid, illegal, or otherwise unenforceable in any respect, (i) the validity, legality, and enforceability of the remaining provisions shall not in any manner be affected or impaired thereby and (ii) the parties hereto shall endeavor in good-faith negotiations to replace any prohibited or unenforceable provisions with valid and enforceable provisions, the economic effect of which comes as close as possible to that of the prohibited or unenforceable provisions.</w:t>
      </w:r>
    </w:p>
    <w:p>
      <w:pPr>
        <w:spacing w:after="0" w:line="171"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 by Counsel; Drafting</w:t>
      </w:r>
      <w:r>
        <w:rPr>
          <w:rFonts w:ascii="Times New Roman" w:cs="Times New Roman" w:eastAsia="Times New Roman" w:hAnsi="Times New Roman"/>
          <w:sz w:val="21"/>
          <w:szCs w:val="21"/>
          <w:color w:val="auto"/>
        </w:rPr>
        <w:t>. The Borrower has been provided the opportunity to be represented by counsel of its choice in connection with this Secured Note. The Borrower has executed this Secured Note freely and without coercion or duress. This Secured Note shall be deemed to have been drafted by both parties hereto and no presumptions shall be made against either party based on the actual drafting of this Secured Note or any provision of this Secured Note.</w:t>
      </w:r>
    </w:p>
    <w:p>
      <w:pPr>
        <w:spacing w:after="0" w:line="168"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Nature of Obligations; Assignment</w:t>
      </w:r>
      <w:r>
        <w:rPr>
          <w:rFonts w:ascii="Times New Roman" w:cs="Times New Roman" w:eastAsia="Times New Roman" w:hAnsi="Times New Roman"/>
          <w:sz w:val="21"/>
          <w:szCs w:val="21"/>
          <w:color w:val="auto"/>
        </w:rPr>
        <w:t>. This Secured Note shall be binding upon the Borrower and its successors and permitted assigns and shall inure to the benefit of the Lender and its successors, assigns, and transferees. This Secured Note may be transferred or assigned by the Lender, in whole or in part, in its sole discretion. The Borrower may not assign this Secured Note or delegate any of its obligations hereunder without the prior written consent of Lender, which consent may be withheld or conditioned in the sole discretion of Lender, and any assignment made in violation of this provision is void.</w:t>
      </w:r>
    </w:p>
    <w:p>
      <w:pPr>
        <w:spacing w:after="0" w:line="17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Sections l5-18, 20(h), and 21-34 shall survive the termination or repayment in full of this Secured Note.</w:t>
      </w:r>
    </w:p>
    <w:p>
      <w:pPr>
        <w:spacing w:after="0" w:line="21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this Secured Note has been executed and delivered by its duly authorized representative as of the date first written above.</w:t>
      </w:r>
    </w:p>
    <w:p>
      <w:pPr>
        <w:spacing w:after="0" w:line="1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BORROWER:</w:t>
      </w:r>
    </w:p>
    <w:p>
      <w:pPr>
        <w:spacing w:after="0" w:line="2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MOMENTUS INC.</w:t>
      </w:r>
    </w:p>
    <w:p>
      <w:pPr>
        <w:spacing w:after="0" w:line="21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By: /s/ 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-13970</wp:posOffset>
            </wp:positionV>
            <wp:extent cx="1308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Name: 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-27940</wp:posOffset>
            </wp:positionV>
            <wp:extent cx="1308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21"/>
          <w:szCs w:val="21"/>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-27940</wp:posOffset>
            </wp:positionV>
            <wp:extent cx="1308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36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b w:val="1"/>
          <w:bCs w:val="1"/>
          <w:color w:val="auto"/>
        </w:rPr>
        <w:t>LENDER:</w:t>
      </w:r>
    </w:p>
    <w:p>
      <w:pPr>
        <w:spacing w:after="0" w:line="2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SPACE INFRASTRUCTURES VENTURES, LLC</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By: /s/ Jose Alonso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-13970</wp:posOffset>
            </wp:positionV>
            <wp:extent cx="1308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Name: Jose Alonso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-20320</wp:posOffset>
            </wp:positionV>
            <wp:extent cx="1308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3220"/>
        <w:spacing w:after="0"/>
        <w:rPr>
          <w:sz w:val="20"/>
          <w:szCs w:val="20"/>
          <w:color w:val="auto"/>
        </w:rPr>
      </w:pPr>
      <w:r>
        <w:rPr>
          <w:rFonts w:ascii="Times New Roman" w:cs="Times New Roman" w:eastAsia="Times New Roman" w:hAnsi="Times New Roman"/>
          <w:sz w:val="21"/>
          <w:szCs w:val="2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-27940</wp:posOffset>
            </wp:positionV>
            <wp:extent cx="1308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9019"/>
          </w:cols>
          <w:pgMar w:left="1440" w:top="1440" w:right="1440" w:bottom="1440" w:gutter="0" w:footer="0" w:header="0"/>
        </w:sectPr>
      </w:pPr>
    </w:p>
    <w:bookmarkStart w:id="69" w:name="page70"/>
    <w:bookmarkEnd w:id="69"/>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Rood, certify that:</w:t>
      </w:r>
    </w:p>
    <w:p>
      <w:pPr>
        <w:spacing w:after="0" w:line="355"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287"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70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200" w:hanging="307"/>
        <w:spacing w:after="0" w:line="270"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400" w:hanging="309"/>
        <w:spacing w:after="0" w:line="270" w:lineRule="auto"/>
        <w:tabs>
          <w:tab w:leader="none" w:pos="123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60" w:hanging="309"/>
        <w:spacing w:after="0" w:line="270" w:lineRule="auto"/>
        <w:tabs>
          <w:tab w:leader="none" w:pos="122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820" w:hanging="309"/>
        <w:spacing w:after="0" w:line="287" w:lineRule="auto"/>
        <w:tabs>
          <w:tab w:leader="none" w:pos="123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400" w:hanging="309"/>
        <w:spacing w:after="0" w:line="270" w:lineRule="auto"/>
        <w:tabs>
          <w:tab w:leader="none" w:pos="122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620" w:hanging="307"/>
        <w:spacing w:after="0" w:line="287"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320" w:hanging="309"/>
        <w:spacing w:after="0" w:line="287" w:lineRule="auto"/>
        <w:tabs>
          <w:tab w:leader="none" w:pos="123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28"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/s/John C. Rood</w:t>
            </w:r>
          </w:p>
        </w:tc>
      </w:tr>
      <w:tr>
        <w:trPr>
          <w:trHeight w:val="234"/>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John C. Rood</w:t>
            </w:r>
          </w:p>
        </w:tc>
        <w:tc>
          <w:tcPr>
            <w:tcW w:w="400" w:type="dxa"/>
            <w:vAlign w:val="bottom"/>
          </w:tcPr>
          <w:p>
            <w:pPr>
              <w:spacing w:after="0"/>
              <w:rPr>
                <w:sz w:val="20"/>
                <w:szCs w:val="20"/>
                <w:color w:val="auto"/>
              </w:rPr>
            </w:pP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November 14,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Executive Office</w:t>
            </w:r>
          </w:p>
        </w:tc>
      </w:tr>
    </w:tbl>
    <w:p>
      <w:pPr>
        <w:sectPr>
          <w:pgSz w:w="11900" w:h="16838" w:orient="portrait"/>
          <w:cols w:equalWidth="0" w:num="1">
            <w:col w:w="11340"/>
          </w:cols>
          <w:pgMar w:left="320" w:top="738" w:right="239" w:bottom="1440" w:gutter="0" w:footer="0" w:header="0"/>
        </w:sectPr>
      </w:pPr>
    </w:p>
    <w:bookmarkStart w:id="70" w:name="page71"/>
    <w:bookmarkEnd w:id="70"/>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Lon Ensler, certify that:</w:t>
      </w:r>
    </w:p>
    <w:p>
      <w:pPr>
        <w:spacing w:after="0" w:line="355" w:lineRule="exact"/>
        <w:rPr>
          <w:sz w:val="20"/>
          <w:szCs w:val="20"/>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20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660" w:hanging="307"/>
        <w:spacing w:after="0" w:line="287"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ind w:left="620" w:right="160" w:hanging="307"/>
        <w:spacing w:after="0" w:line="270"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360" w:hanging="309"/>
        <w:spacing w:after="0" w:line="270" w:lineRule="auto"/>
        <w:tabs>
          <w:tab w:leader="none" w:pos="123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ind w:left="1240" w:right="620" w:hanging="309"/>
        <w:spacing w:after="0" w:line="270" w:lineRule="auto"/>
        <w:tabs>
          <w:tab w:leader="none" w:pos="122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780" w:hanging="309"/>
        <w:spacing w:after="0" w:line="287" w:lineRule="auto"/>
        <w:tabs>
          <w:tab w:leader="none" w:pos="123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ind w:left="1240" w:right="360" w:hanging="309"/>
        <w:spacing w:after="0" w:line="270" w:lineRule="auto"/>
        <w:tabs>
          <w:tab w:leader="none" w:pos="122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58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3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240" w:hanging="309"/>
        <w:spacing w:after="0" w:line="287" w:lineRule="auto"/>
        <w:tabs>
          <w:tab w:leader="none" w:pos="1228"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/s/Lon Ensler</w:t>
            </w:r>
          </w:p>
        </w:tc>
        <w:tc>
          <w:tcPr>
            <w:tcW w:w="500" w:type="dxa"/>
            <w:vAlign w:val="bottom"/>
          </w:tcPr>
          <w:p>
            <w:pPr>
              <w:spacing w:after="0"/>
              <w:rPr>
                <w:sz w:val="16"/>
                <w:szCs w:val="16"/>
                <w:color w:val="auto"/>
              </w:rPr>
            </w:pPr>
          </w:p>
        </w:tc>
      </w:tr>
      <w:tr>
        <w:trPr>
          <w:trHeight w:val="234"/>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180"/>
        </w:trPr>
        <w:tc>
          <w:tcPr>
            <w:tcW w:w="7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99"/>
              </w:rPr>
              <w:t>Interim Chief Financi</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November 14,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300"/>
          </w:cols>
          <w:pgMar w:left="320" w:top="738" w:right="27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September 30, 2024,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/s/John C. Rood</w:t>
            </w:r>
          </w:p>
        </w:tc>
        <w:tc>
          <w:tcPr>
            <w:tcW w:w="460" w:type="dxa"/>
            <w:vAlign w:val="bottom"/>
          </w:tcPr>
          <w:p>
            <w:pPr>
              <w:spacing w:after="0"/>
              <w:rPr>
                <w:sz w:val="17"/>
                <w:szCs w:val="17"/>
                <w:color w:val="auto"/>
              </w:rPr>
            </w:pPr>
          </w:p>
        </w:tc>
      </w:tr>
      <w:tr>
        <w:trPr>
          <w:trHeight w:val="234"/>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November 14,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38"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September 30, 2024, as filed with the Securities and Exchange Commission on the date hereof (the “Form 10-Q”), I, Lon Ensler, Interim Chief Financial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/s/Lon Ensler</w:t>
            </w:r>
          </w:p>
        </w:tc>
        <w:tc>
          <w:tcPr>
            <w:tcW w:w="640" w:type="dxa"/>
            <w:vAlign w:val="bottom"/>
          </w:tcPr>
          <w:p>
            <w:pPr>
              <w:spacing w:after="0"/>
              <w:rPr>
                <w:sz w:val="17"/>
                <w:szCs w:val="17"/>
                <w:color w:val="auto"/>
              </w:rPr>
            </w:pPr>
          </w:p>
        </w:tc>
      </w:tr>
      <w:tr>
        <w:trPr>
          <w:trHeight w:val="234"/>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171"/>
        </w:trPr>
        <w:tc>
          <w:tcPr>
            <w:tcW w:w="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gridSpan w:val="2"/>
          </w:tcPr>
          <w:p>
            <w:pPr>
              <w:spacing w:after="0" w:line="172" w:lineRule="exact"/>
              <w:rPr>
                <w:sz w:val="20"/>
                <w:szCs w:val="20"/>
                <w:color w:val="auto"/>
              </w:rPr>
            </w:pPr>
            <w:r>
              <w:rPr>
                <w:rFonts w:ascii="Times New Roman" w:cs="Times New Roman" w:eastAsia="Times New Roman" w:hAnsi="Times New Roman"/>
                <w:sz w:val="17"/>
                <w:szCs w:val="17"/>
                <w:color w:val="auto"/>
              </w:rPr>
              <w:t>Interim Chief Financial</w:t>
            </w:r>
          </w:p>
        </w:tc>
      </w:tr>
      <w:tr>
        <w:trPr>
          <w:trHeight w:val="232"/>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November 14,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00" w:lineRule="exact"/>
        <w:rPr>
          <w:sz w:val="20"/>
          <w:szCs w:val="20"/>
          <w:color w:val="auto"/>
        </w:rPr>
      </w:pPr>
    </w:p>
    <w:p>
      <w:pPr>
        <w:spacing w:after="0" w:line="260"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lowerRoman"/>
      <w:start w:val="2"/>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lowerLetter"/>
      <w:start w:val="1"/>
    </w:lvl>
    <w:lvl w:ilvl="1">
      <w:lvlJc w:val="left"/>
      <w:lvlText w:val="%2."/>
      <w:numFmt w:val="decimal"/>
      <w:start w:val="3"/>
    </w:lvl>
  </w:abstractNum>
  <w:abstractNum w:abstractNumId="12">
    <w:nsid w:val="1E7FF521"/>
    <w:multiLevelType w:val="hybridMultilevel"/>
    <w:lvl w:ilvl="0">
      <w:lvlJc w:val="left"/>
      <w:lvlText w:val="(%1)"/>
      <w:numFmt w:val="lowerLetter"/>
      <w:start w:val="4"/>
    </w:lvl>
    <w:lvl w:ilvl="1">
      <w:lvlJc w:val="left"/>
      <w:lvlText w:val="%2."/>
      <w:numFmt w:val="decimal"/>
      <w:start w:val="5"/>
    </w:lvl>
  </w:abstractNum>
  <w:abstractNum w:abstractNumId="13">
    <w:nsid w:val="7C3DBD3D"/>
    <w:multiLevelType w:val="hybridMultilevel"/>
    <w:lvl w:ilvl="0">
      <w:lvlJc w:val="left"/>
      <w:lvlText w:val="%1."/>
      <w:numFmt w:val="decimal"/>
      <w:start w:val="6"/>
    </w:lvl>
    <w:lvl w:ilvl="1">
      <w:lvlJc w:val="left"/>
      <w:lvlText w:val="(%2)"/>
      <w:numFmt w:val="lowerLetter"/>
      <w:start w:val="1"/>
    </w:lvl>
  </w:abstractNum>
  <w:abstractNum w:abstractNumId="14">
    <w:nsid w:val="737B8DDC"/>
    <w:multiLevelType w:val="hybridMultilevel"/>
    <w:lvl w:ilvl="0">
      <w:lvlJc w:val="left"/>
      <w:lvlText w:val="%1"/>
      <w:numFmt w:val="decimal"/>
      <w:start w:val="1"/>
    </w:lvl>
    <w:lvl w:ilvl="1">
      <w:lvlJc w:val="left"/>
      <w:lvlText w:val="(%2)"/>
      <w:numFmt w:val="lowerLetter"/>
      <w:start w:val="4"/>
    </w:lvl>
  </w:abstractNum>
  <w:abstractNum w:abstractNumId="15">
    <w:nsid w:val="6CEAF087"/>
    <w:multiLevelType w:val="hybridMultilevel"/>
    <w:lvl w:ilvl="0">
      <w:lvlJc w:val="left"/>
      <w:lvlText w:val="%1."/>
      <w:numFmt w:val="decimal"/>
      <w:start w:val="9"/>
    </w:lvl>
    <w:lvl w:ilvl="1">
      <w:lvlJc w:val="left"/>
      <w:lvlText w:val="%2"/>
      <w:numFmt w:val="lowerLetter"/>
      <w:start w:val="1"/>
    </w:lvl>
  </w:abstractNum>
  <w:abstractNum w:abstractNumId="16">
    <w:nsid w:val="22221A70"/>
    <w:multiLevelType w:val="hybridMultilevel"/>
    <w:lvl w:ilvl="0">
      <w:lvlJc w:val="left"/>
      <w:lvlText w:val="%1."/>
      <w:numFmt w:val="decimal"/>
      <w:start w:val="10"/>
    </w:lvl>
  </w:abstractNum>
  <w:abstractNum w:abstractNumId="17">
    <w:nsid w:val="4516DDE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lowerRoman"/>
      <w:start w:val="2"/>
    </w:lvl>
  </w:abstractNum>
  <w:abstractNum w:abstractNumId="20">
    <w:nsid w:val="419AC241"/>
    <w:multiLevelType w:val="hybridMultilevel"/>
    <w:lvl w:ilvl="0">
      <w:lvlJc w:val="left"/>
      <w:lvlText w:val="%1."/>
      <w:numFmt w:val="decimal"/>
      <w:start w:val="14"/>
    </w:lvl>
    <w:lvl w:ilvl="1">
      <w:lvlJc w:val="left"/>
      <w:lvlText w:val="(%2)"/>
      <w:numFmt w:val="lowerLetter"/>
      <w:start w:val="1"/>
    </w:lvl>
  </w:abstractNum>
  <w:abstractNum w:abstractNumId="21">
    <w:nsid w:val="5577F8E1"/>
    <w:multiLevelType w:val="hybridMultilevel"/>
    <w:lvl w:ilvl="0">
      <w:lvlJc w:val="left"/>
      <w:lvlText w:val="(%1)"/>
      <w:numFmt w:val="lowerLetter"/>
      <w:start w:val="7"/>
    </w:lvl>
  </w:abstractNum>
  <w:abstractNum w:abstractNumId="22">
    <w:nsid w:val="440BADFC"/>
    <w:multiLevelType w:val="hybridMultilevel"/>
    <w:lvl w:ilvl="0">
      <w:lvlJc w:val="left"/>
      <w:lvlText w:val="%1."/>
      <w:numFmt w:val="decimal"/>
      <w:start w:val="15"/>
    </w:lvl>
    <w:lvl w:ilvl="1">
      <w:lvlJc w:val="left"/>
      <w:lvlText w:val="(%2)"/>
      <w:numFmt w:val="lowerLetter"/>
      <w:start w:val="1"/>
    </w:lvl>
  </w:abstractNum>
  <w:abstractNum w:abstractNumId="23">
    <w:nsid w:val="5072367"/>
    <w:multiLevelType w:val="hybridMultilevel"/>
    <w:lvl w:ilvl="0">
      <w:lvlJc w:val="left"/>
      <w:lvlText w:val="%1"/>
      <w:numFmt w:val="lowerLetter"/>
      <w:start w:val="1"/>
    </w:lvl>
    <w:lvl w:ilvl="1">
      <w:lvlJc w:val="left"/>
      <w:lvlText w:val="%2."/>
      <w:numFmt w:val="decimal"/>
      <w:start w:val="17"/>
    </w:lvl>
  </w:abstractNum>
  <w:abstractNum w:abstractNumId="24">
    <w:nsid w:val="3804823E"/>
    <w:multiLevelType w:val="hybridMultilevel"/>
    <w:lvl w:ilvl="0">
      <w:lvlJc w:val="left"/>
      <w:lvlText w:val="(%1)"/>
      <w:numFmt w:val="lowerLetter"/>
      <w:start w:val="1"/>
    </w:lvl>
    <w:lvl w:ilvl="1">
      <w:lvlJc w:val="left"/>
      <w:lvlText w:val="%2."/>
      <w:numFmt w:val="decimal"/>
      <w:start w:val="18"/>
    </w:lvl>
  </w:abstractNum>
  <w:abstractNum w:abstractNumId="25">
    <w:nsid w:val="77465F01"/>
    <w:multiLevelType w:val="hybridMultilevel"/>
    <w:lvl w:ilvl="0">
      <w:lvlJc w:val="left"/>
      <w:lvlText w:val="%1."/>
      <w:numFmt w:val="decimal"/>
      <w:start w:val="19"/>
    </w:lvl>
  </w:abstractNum>
  <w:abstractNum w:abstractNumId="26">
    <w:nsid w:val="7724C67E"/>
    <w:multiLevelType w:val="hybridMultilevel"/>
    <w:lvl w:ilvl="0">
      <w:lvlJc w:val="left"/>
      <w:lvlText w:val="%1."/>
      <w:numFmt w:val="decimal"/>
      <w:start w:val="20"/>
    </w:lvl>
    <w:lvl w:ilvl="1">
      <w:lvlJc w:val="left"/>
      <w:lvlText w:val="(%2)"/>
      <w:numFmt w:val="lowerLetter"/>
      <w:start w:val="1"/>
    </w:lvl>
  </w:abstractNum>
  <w:abstractNum w:abstractNumId="27">
    <w:nsid w:val="5C482A97"/>
    <w:multiLevelType w:val="hybridMultilevel"/>
    <w:lvl w:ilvl="0">
      <w:lvlJc w:val="left"/>
      <w:lvlText w:val="%1"/>
      <w:numFmt w:val="lowerLetter"/>
      <w:start w:val="1"/>
    </w:lvl>
    <w:lvl w:ilvl="1">
      <w:lvlJc w:val="left"/>
      <w:lvlText w:val="%2."/>
      <w:numFmt w:val="decimal"/>
      <w:start w:val="21"/>
    </w:lvl>
    <w:lvl w:ilvl="2">
      <w:lvlJc w:val="left"/>
      <w:lvlText w:val="(%3)"/>
      <w:numFmt w:val="lowerLetter"/>
      <w:start w:val="1"/>
    </w:lvl>
  </w:abstractNum>
  <w:abstractNum w:abstractNumId="28">
    <w:nsid w:val="2463B9E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8"/>
    </w:lvl>
  </w:abstractNum>
  <w:abstractNum w:abstractNumId="29">
    <w:nsid w:val="5E884ADC"/>
    <w:multiLevelType w:val="hybridMultilevel"/>
    <w:lvl w:ilvl="0">
      <w:lvlJc w:val="left"/>
      <w:lvlText w:val="(%1)"/>
      <w:numFmt w:val="lowerRoman"/>
      <w:start w:val="1"/>
    </w:lvl>
  </w:abstractNum>
  <w:abstractNum w:abstractNumId="30">
    <w:nsid w:val="51EAD36B"/>
    <w:multiLevelType w:val="hybridMultilevel"/>
    <w:lvl w:ilvl="0">
      <w:lvlJc w:val="left"/>
      <w:lvlText w:val="%1."/>
      <w:numFmt w:val="decimal"/>
      <w:start w:val="22"/>
    </w:lvl>
  </w:abstractNum>
  <w:abstractNum w:abstractNumId="31">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2">
    <w:nsid w:val="580BD78F"/>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33">
    <w:nsid w:val="153EA438"/>
    <w:multiLevelType w:val="hybridMultilevel"/>
    <w:lvl w:ilvl="0">
      <w:lvlJc w:val="left"/>
      <w:lvlText w:val="(%1)"/>
      <w:numFmt w:val="lowerLetter"/>
      <w:start w:val="9"/>
    </w:lvl>
    <w:lvl w:ilvl="1">
      <w:lvlJc w:val="left"/>
      <w:lvlText w:val="%2."/>
      <w:numFmt w:val="decimal"/>
      <w:start w:val="24"/>
    </w:lvl>
    <w:lvl w:ilvl="2">
      <w:lvlJc w:val="left"/>
      <w:lvlText w:val="%3"/>
      <w:numFmt w:val="lowerLetter"/>
      <w:start w:val="1"/>
    </w:lvl>
  </w:abstractNum>
  <w:abstractNum w:abstractNumId="34">
    <w:nsid w:val="3855585C"/>
    <w:multiLevelType w:val="hybridMultilevel"/>
    <w:lvl w:ilvl="0">
      <w:lvlJc w:val="left"/>
      <w:lvlText w:val="%1."/>
      <w:numFmt w:val="decimal"/>
      <w:start w:val="27"/>
    </w:lvl>
  </w:abstractNum>
  <w:abstractNum w:abstractNumId="35">
    <w:nsid w:val="70A64E2A"/>
    <w:multiLevelType w:val="hybridMultilevel"/>
    <w:lvl w:ilvl="0">
      <w:lvlJc w:val="left"/>
      <w:lvlText w:val="%1."/>
      <w:numFmt w:val="decimal"/>
      <w:start w:val="32"/>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2"/>
      <w:numFmt w:val="bullet"/>
      <w:start w:val="1"/>
    </w:lvl>
  </w:abstractNum>
  <w:abstractNum w:abstractNumId="38">
    <w:nsid w:val="1D4ED43B"/>
    <w:multiLevelType w:val="hybridMultilevel"/>
    <w:lvl w:ilvl="0">
      <w:lvlJc w:val="left"/>
      <w:lvlText w:val="3"/>
      <w:numFmt w:val="bullet"/>
      <w:start w:val="1"/>
    </w:lvl>
  </w:abstractNum>
  <w:abstractNum w:abstractNumId="39">
    <w:nsid w:val="725A06FB"/>
    <w:multiLevelType w:val="hybridMultilevel"/>
    <w:lvl w:ilvl="0">
      <w:lvlJc w:val="left"/>
      <w:lvlText w:val="4"/>
      <w:numFmt w:val="bullet"/>
      <w:start w:val="1"/>
    </w:lvl>
    <w:lvl w:ilvl="1">
      <w:lvlJc w:val="left"/>
      <w:lvlText w:val="%2)"/>
      <w:numFmt w:val="lowerLetter"/>
      <w:start w:val="1"/>
    </w:lvl>
  </w:abstractNum>
  <w:abstractNum w:abstractNumId="40">
    <w:nsid w:val="2CD89A32"/>
    <w:multiLevelType w:val="hybridMultilevel"/>
    <w:lvl w:ilvl="0">
      <w:lvlJc w:val="left"/>
      <w:lvlText w:val="5"/>
      <w:numFmt w:val="bullet"/>
      <w:start w:val="1"/>
    </w:lvl>
    <w:lvl w:ilvl="1">
      <w:lvlJc w:val="left"/>
      <w:lvlText w:val="%2)"/>
      <w:numFmt w:val="lowerLetter"/>
      <w:start w:val="1"/>
    </w:lvl>
  </w:abstractNum>
  <w:abstractNum w:abstractNumId="41">
    <w:nsid w:val="57E4CCAF"/>
    <w:multiLevelType w:val="hybridMultilevel"/>
    <w:lvl w:ilvl="0">
      <w:lvlJc w:val="left"/>
      <w:lvlText w:val="1"/>
      <w:numFmt w:val="bullet"/>
      <w:start w:val="1"/>
    </w:lvl>
  </w:abstractNum>
  <w:abstractNum w:abstractNumId="42">
    <w:nsid w:val="7A6D8D3C"/>
    <w:multiLevelType w:val="hybridMultilevel"/>
    <w:lvl w:ilvl="0">
      <w:lvlJc w:val="left"/>
      <w:lvlText w:val="2"/>
      <w:numFmt w:val="bullet"/>
      <w:start w:val="1"/>
    </w:lvl>
  </w:abstractNum>
  <w:abstractNum w:abstractNumId="43">
    <w:nsid w:val="4B588F54"/>
    <w:multiLevelType w:val="hybridMultilevel"/>
    <w:lvl w:ilvl="0">
      <w:lvlJc w:val="left"/>
      <w:lvlText w:val="3"/>
      <w:numFmt w:val="bullet"/>
      <w:start w:val="1"/>
    </w:lvl>
  </w:abstractNum>
  <w:abstractNum w:abstractNumId="44">
    <w:nsid w:val="542289EC"/>
    <w:multiLevelType w:val="hybridMultilevel"/>
    <w:lvl w:ilvl="0">
      <w:lvlJc w:val="left"/>
      <w:lvlText w:val="4"/>
      <w:numFmt w:val="bullet"/>
      <w:start w:val="1"/>
    </w:lvl>
    <w:lvl w:ilvl="1">
      <w:lvlJc w:val="left"/>
      <w:lvlText w:val="%2)"/>
      <w:numFmt w:val="lowerLetter"/>
      <w:start w:val="1"/>
    </w:lvl>
  </w:abstractNum>
  <w:abstractNum w:abstractNumId="45">
    <w:nsid w:val="6DE91B18"/>
    <w:multiLevelType w:val="hybridMultilevel"/>
    <w:lvl w:ilvl="0">
      <w:lvlJc w:val="left"/>
      <w:lvlText w:val="5"/>
      <w:numFmt w:val="bullet"/>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92" Type="http://schemas.openxmlformats.org/officeDocument/2006/relationships/hyperlink" Target="https://www.sec.gov/ix?doc=/Archives/edgar/data/0001781162/000114036124041174/ef20035903_8k.htm" TargetMode="External"/><Relationship Id="rId93" Type="http://schemas.openxmlformats.org/officeDocument/2006/relationships/hyperlink" Target="https://www.sec.gov/Archives/edgar/data/1781162/000114036124042073/ef20036367_ex99-1.htmhttps://www.sec.gov/Archives/edgar/data/1781162/000114036124042073/ef20036367_ex99-1.htm" TargetMode="External"/><Relationship Id="rId94" Type="http://schemas.openxmlformats.org/officeDocument/2006/relationships/hyperlink" Target="https://www.sec.gov/ix?doc=/Archives/edgar/data/0001781162/000114036124042073/ef20036367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2024-11-14T16:29:01Z</dcterms:created>
  <dcterms:modified xsi:type="dcterms:W3CDTF">2024-11-14T16:29:01Z</dcterms:modified>
</cp:coreProperties>
</file>