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5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780" w:type="dxa"/>
            <w:vAlign w:val="bottom"/>
          </w:tcPr>
          <w:p>
            <w:pPr>
              <w:ind w:left="460"/>
              <w:spacing w:after="0"/>
              <w:rPr>
                <w:sz w:val="20"/>
                <w:szCs w:val="20"/>
                <w:color w:val="auto"/>
              </w:rPr>
            </w:pPr>
            <w:r>
              <w:rPr>
                <w:rFonts w:ascii="Arial" w:cs="Arial" w:eastAsia="Arial" w:hAnsi="Arial"/>
                <w:sz w:val="18"/>
                <w:szCs w:val="18"/>
                <w:b w:val="1"/>
                <w:bCs w:val="1"/>
                <w:color w:val="auto"/>
              </w:rPr>
              <w:t>to</w:t>
            </w:r>
          </w:p>
        </w:tc>
      </w:tr>
      <w:tr>
        <w:trPr>
          <w:trHeight w:val="324"/>
        </w:trPr>
        <w:tc>
          <w:tcPr>
            <w:tcW w:w="3560" w:type="dxa"/>
            <w:vAlign w:val="bottom"/>
            <w:gridSpan w:val="2"/>
          </w:tcPr>
          <w:p>
            <w:pPr>
              <w:ind w:left="700"/>
              <w:spacing w:after="0"/>
              <w:rPr>
                <w:sz w:val="20"/>
                <w:szCs w:val="20"/>
                <w:color w:val="auto"/>
              </w:rPr>
            </w:pPr>
            <w:r>
              <w:rPr>
                <w:rFonts w:ascii="Arial" w:cs="Arial" w:eastAsia="Arial" w:hAnsi="Arial"/>
                <w:sz w:val="18"/>
                <w:szCs w:val="18"/>
                <w:b w:val="1"/>
                <w:bCs w:val="1"/>
                <w:color w:val="auto"/>
                <w:w w:val="90"/>
              </w:rPr>
              <w:t>Commission File Number: 001-39128</w:t>
            </w:r>
          </w:p>
        </w:tc>
      </w:tr>
      <w:tr>
        <w:trPr>
          <w:trHeight w:val="20"/>
        </w:trPr>
        <w:tc>
          <w:tcPr>
            <w:tcW w:w="2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1345 Abbot Kinney Blvd.</w:t>
            </w:r>
          </w:p>
        </w:tc>
        <w:tc>
          <w:tcPr>
            <w:tcW w:w="3560" w:type="dxa"/>
            <w:vAlign w:val="bottom"/>
          </w:tcPr>
          <w:p>
            <w:pPr>
              <w:spacing w:after="0"/>
              <w:rPr>
                <w:sz w:val="24"/>
                <w:szCs w:val="24"/>
                <w:color w:val="auto"/>
              </w:rPr>
            </w:pPr>
          </w:p>
        </w:tc>
      </w:tr>
      <w:tr>
        <w:trPr>
          <w:trHeight w:val="241"/>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1"/>
              </w:rPr>
              <w:t>Venice, California</w:t>
            </w:r>
          </w:p>
        </w:tc>
        <w:tc>
          <w:tcPr>
            <w:tcW w:w="3560" w:type="dxa"/>
            <w:vAlign w:val="bottom"/>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1"/>
              </w:rPr>
              <w:t>(Zip Code)</w:t>
            </w:r>
          </w:p>
        </w:tc>
      </w:tr>
      <w:tr>
        <w:trPr>
          <w:trHeight w:val="357"/>
        </w:trPr>
        <w:tc>
          <w:tcPr>
            <w:tcW w:w="7680" w:type="dxa"/>
            <w:vAlign w:val="bottom"/>
            <w:tcBorders>
              <w:bottom w:val="single" w:sz="8" w:color="auto"/>
            </w:tcBorders>
            <w:gridSpan w:val="3"/>
          </w:tcPr>
          <w:p>
            <w:pPr>
              <w:jc w:val="right"/>
              <w:ind w:right="1500"/>
              <w:spacing w:after="0"/>
              <w:rPr>
                <w:sz w:val="20"/>
                <w:szCs w:val="20"/>
                <w:color w:val="auto"/>
              </w:rPr>
            </w:pPr>
            <w:r>
              <w:rPr>
                <w:rFonts w:ascii="Arial" w:cs="Arial" w:eastAsia="Arial" w:hAnsi="Arial"/>
                <w:sz w:val="18"/>
                <w:szCs w:val="18"/>
                <w:b w:val="1"/>
                <w:bCs w:val="1"/>
                <w:color w:val="auto"/>
              </w:rPr>
              <w:t>(883) 478-2253</w:t>
            </w:r>
          </w:p>
        </w:tc>
        <w:tc>
          <w:tcPr>
            <w:tcW w:w="3560" w:type="dxa"/>
            <w:vAlign w:val="bottom"/>
            <w:tcBorders>
              <w:bottom w:val="single" w:sz="8" w:color="auto"/>
            </w:tcBorders>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5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share of Class A Common Stock and one-</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SRACU</w:t>
            </w:r>
          </w:p>
        </w:tc>
        <w:tc>
          <w:tcPr>
            <w:tcW w:w="120" w:type="dxa"/>
            <w:vAlign w:val="bottom"/>
            <w:tcBorders>
              <w:top w:val="single" w:sz="8" w:color="CCEEFF"/>
            </w:tcBorders>
            <w:shd w:val="clear" w:color="auto" w:fill="CCEEFF"/>
          </w:tcPr>
          <w:p>
            <w:pPr>
              <w:spacing w:after="0"/>
              <w:rPr>
                <w:sz w:val="17"/>
                <w:szCs w:val="17"/>
                <w:color w:val="auto"/>
              </w:rPr>
            </w:pPr>
          </w:p>
        </w:tc>
        <w:tc>
          <w:tcPr>
            <w:tcW w:w="39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half of one Redeemable Warrant</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A Common Stock, par value $0.0001 per share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SRAC</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02"/>
        </w:trPr>
        <w:tc>
          <w:tcPr>
            <w:tcW w:w="55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Redeemable Warrants, each whole warrant exercisable for one share of</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5"/>
              </w:rPr>
              <w:t>SRACW</w:t>
            </w:r>
          </w:p>
        </w:tc>
        <w:tc>
          <w:tcPr>
            <w:tcW w:w="3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5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Class A Common Stock at an exercise price of $11.50</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00" w:type="dxa"/>
            <w:vAlign w:val="bottom"/>
          </w:tcPr>
          <w:p>
            <w:pPr>
              <w:ind w:left="144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13, 2020, there were 17,795,000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98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9"/>
              </w:rPr>
              <w:t>STABLE ROAD ACQUISITION CORP.</w:t>
            </w:r>
          </w:p>
        </w:tc>
        <w:tc>
          <w:tcPr>
            <w:tcW w:w="100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98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8"/>
              </w:rPr>
              <w:t>FORM 10-Q FOR THE QUARTER ENDED SEPTEMBER 30, 2020</w:t>
            </w:r>
          </w:p>
        </w:tc>
        <w:tc>
          <w:tcPr>
            <w:tcW w:w="100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98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9"/>
        </w:trPr>
        <w:tc>
          <w:tcPr>
            <w:tcW w:w="3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216"/>
        </w:trPr>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360" w:type="dxa"/>
            <w:vAlign w:val="bottom"/>
            <w:shd w:val="clear" w:color="auto" w:fill="CCEEFF"/>
          </w:tcPr>
          <w:p>
            <w:pPr>
              <w:spacing w:after="0"/>
              <w:rPr>
                <w:sz w:val="18"/>
                <w:szCs w:val="18"/>
                <w:color w:val="auto"/>
              </w:rPr>
            </w:pPr>
          </w:p>
        </w:tc>
        <w:tc>
          <w:tcPr>
            <w:tcW w:w="9880" w:type="dxa"/>
            <w:vAlign w:val="bottom"/>
            <w:gridSpan w:val="6"/>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of September 30, 2020 (unaudited) and December 31, 2019</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176"/>
        </w:trPr>
        <w:tc>
          <w:tcPr>
            <w:tcW w:w="360" w:type="dxa"/>
            <w:vAlign w:val="bottom"/>
          </w:tcPr>
          <w:p>
            <w:pPr>
              <w:spacing w:after="0"/>
              <w:rPr>
                <w:sz w:val="15"/>
                <w:szCs w:val="15"/>
                <w:color w:val="auto"/>
              </w:rPr>
            </w:pPr>
          </w:p>
        </w:tc>
        <w:tc>
          <w:tcPr>
            <w:tcW w:w="9440" w:type="dxa"/>
            <w:vAlign w:val="bottom"/>
            <w:tcBorders>
              <w:bottom w:val="single" w:sz="8" w:color="0000EE"/>
            </w:tcBorders>
            <w:gridSpan w:val="3"/>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(unaudited) for the three and nine months ended September 30, 2020, the three months ended</w:t>
              </w:r>
            </w:hyperlink>
          </w:p>
        </w:tc>
        <w:tc>
          <w:tcPr>
            <w:tcW w:w="440" w:type="dxa"/>
            <w:vAlign w:val="bottom"/>
            <w:gridSpan w:val="3"/>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196"/>
        </w:trPr>
        <w:tc>
          <w:tcPr>
            <w:tcW w:w="36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2019, and the period from May 28, 2019 (inception) through September 30, 2019</w:t>
              </w:r>
            </w:hyperlink>
          </w:p>
        </w:tc>
        <w:tc>
          <w:tcPr>
            <w:tcW w:w="1000" w:type="dxa"/>
            <w:vAlign w:val="bottom"/>
          </w:tcPr>
          <w:p>
            <w:pPr>
              <w:spacing w:after="0"/>
              <w:rPr>
                <w:sz w:val="17"/>
                <w:szCs w:val="17"/>
                <w:color w:val="auto"/>
              </w:rPr>
            </w:pPr>
          </w:p>
        </w:tc>
      </w:tr>
      <w:tr>
        <w:trPr>
          <w:trHeight w:val="21"/>
        </w:trPr>
        <w:tc>
          <w:tcPr>
            <w:tcW w:w="36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404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9880" w:type="dxa"/>
            <w:vAlign w:val="bottom"/>
            <w:gridSpan w:val="6"/>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Statements of Changes in Stockholders’ Equity (unaudited) for the three and nine months ended September 30, 2020, the</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9560" w:type="dxa"/>
            <w:vAlign w:val="bottom"/>
            <w:tcBorders>
              <w:top w:val="single" w:sz="8" w:color="0000EE"/>
            </w:tcBorders>
            <w:gridSpan w:val="5"/>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three months ended September 30, 2019, and the period from May 28, 2019 (inception) through September 30, 2019</w:t>
              </w:r>
            </w:hyperlink>
          </w:p>
        </w:tc>
        <w:tc>
          <w:tcPr>
            <w:tcW w:w="3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r>
      <w:tr>
        <w:trPr>
          <w:trHeight w:val="175"/>
        </w:trPr>
        <w:tc>
          <w:tcPr>
            <w:tcW w:w="360" w:type="dxa"/>
            <w:vAlign w:val="bottom"/>
          </w:tcPr>
          <w:p>
            <w:pPr>
              <w:spacing w:after="0"/>
              <w:rPr>
                <w:sz w:val="15"/>
                <w:szCs w:val="15"/>
                <w:color w:val="auto"/>
              </w:rPr>
            </w:pPr>
          </w:p>
        </w:tc>
        <w:tc>
          <w:tcPr>
            <w:tcW w:w="9540" w:type="dxa"/>
            <w:vAlign w:val="bottom"/>
            <w:tcBorders>
              <w:bottom w:val="single" w:sz="8" w:color="0000EE"/>
            </w:tcBorders>
            <w:gridSpan w:val="4"/>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Cash Flows (unaudited) for the nine months ended September 30, 2020 and the period from May 28, 2019</w:t>
              </w:r>
            </w:hyperlink>
          </w:p>
        </w:tc>
        <w:tc>
          <w:tcPr>
            <w:tcW w:w="340" w:type="dxa"/>
            <w:vAlign w:val="bottom"/>
            <w:gridSpan w:val="2"/>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196"/>
        </w:trPr>
        <w:tc>
          <w:tcPr>
            <w:tcW w:w="36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(inception) through September 30, 2019</w:t>
              </w:r>
            </w:hyperlink>
          </w:p>
        </w:tc>
        <w:tc>
          <w:tcPr>
            <w:tcW w:w="1000" w:type="dxa"/>
            <w:vAlign w:val="bottom"/>
          </w:tcPr>
          <w:p>
            <w:pPr>
              <w:spacing w:after="0"/>
              <w:rPr>
                <w:sz w:val="17"/>
                <w:szCs w:val="17"/>
                <w:color w:val="auto"/>
              </w:rPr>
            </w:pPr>
          </w:p>
        </w:tc>
      </w:tr>
      <w:tr>
        <w:trPr>
          <w:trHeight w:val="21"/>
        </w:trPr>
        <w:tc>
          <w:tcPr>
            <w:tcW w:w="36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9880" w:type="dxa"/>
            <w:vAlign w:val="bottom"/>
            <w:gridSpan w:val="6"/>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Financial Statements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Management’s Discussion and Analysis of Financial Condition and Results of Operations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0240" w:type="dxa"/>
            <w:vAlign w:val="bottom"/>
            <w:gridSpan w:val="7"/>
            <w:shd w:val="clear" w:color="auto" w:fill="CCEEFF"/>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3. Quantitative and Qualitative Disclosures About Market Risk</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 Controls and Procedures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 Legal Proceedings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 Risk Factors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Unregistered Sales of Equity Securities and Use of Proceeds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Defaults Upon Senior Securities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 Mine Safety Disclosures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shd w:val="clear" w:color="auto" w:fill="CCEEFF"/>
          </w:tcPr>
          <w:p>
            <w:pPr>
              <w:ind w:left="1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 Other Information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240" w:type="dxa"/>
            <w:vAlign w:val="bottom"/>
            <w:gridSpan w:val="7"/>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 Exhibits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240" w:type="dxa"/>
            <w:vAlign w:val="bottom"/>
            <w:gridSpan w:val="7"/>
            <w:shd w:val="clear" w:color="auto" w:fill="CCEEFF"/>
          </w:tcPr>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Signatures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STABLE ROAD ACQUISITION CORP.</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780,336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1,093,184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40,387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268,616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327,751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1,148,474</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1,361,800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173,084,402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172,846,011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174,232,876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6,989,141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7,095,309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16,224,373 and 16,211,250 shares at $10.00 per share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redemption value at September 30, 2020 and 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162,243,730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162,112,500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1,570,627 and 1,583,750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outstanding (excluding 16,224,373 and 16,211,250 shares subject to possible redemption) at September 30, 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4,805,825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4,937,054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193,592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174,232,876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5"/>
              </w:rPr>
              <w:t>May 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55"/>
        </w:trPr>
        <w:tc>
          <w:tcPr>
            <w:tcW w:w="5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223,942</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776,516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(223,942)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(776,516)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61,541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1,087,154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(162,401)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(2,209)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(179,405)</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(164,610</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131,233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outstanding of Class A redeemable common stock</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9"/>
              </w:rPr>
              <w:t>17,250,000</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17,250,000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6"/>
              </w:rPr>
              <w:t>Basic and diluted income per share, Class A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80" w:type="dxa"/>
            <w:vAlign w:val="bottom"/>
          </w:tcPr>
          <w:p>
            <w:pPr>
              <w:spacing w:after="0" w:line="206" w:lineRule="exact"/>
              <w:rPr>
                <w:sz w:val="20"/>
                <w:szCs w:val="20"/>
                <w:color w:val="auto"/>
              </w:rPr>
            </w:pPr>
            <w:r>
              <w:rPr>
                <w:rFonts w:ascii="Arial" w:cs="Arial" w:eastAsia="Arial" w:hAnsi="Arial"/>
                <w:sz w:val="18"/>
                <w:szCs w:val="18"/>
                <w:color w:val="auto"/>
                <w:w w:val="94"/>
              </w:rPr>
              <w:t>Weighted average shares outstanding of Class A and Class B non-redeemable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5980" w:type="dxa"/>
            <w:vAlign w:val="bottom"/>
          </w:tcPr>
          <w:p>
            <w:pPr>
              <w:ind w:left="180"/>
              <w:spacing w:after="0" w:line="308"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9"/>
                <w:szCs w:val="29"/>
                <w:color w:val="auto"/>
                <w:vertAlign w:val="superscript"/>
              </w:rPr>
              <w:t>(1)</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4,857,500</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4,857,500</w:t>
            </w:r>
          </w:p>
        </w:tc>
        <w:tc>
          <w:tcPr>
            <w:tcW w:w="100" w:type="dxa"/>
            <w:vAlign w:val="bottom"/>
          </w:tcPr>
          <w:p>
            <w:pPr>
              <w:spacing w:after="0"/>
              <w:rPr>
                <w:sz w:val="24"/>
                <w:szCs w:val="24"/>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157"/>
        </w:trPr>
        <w:tc>
          <w:tcPr>
            <w:tcW w:w="598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w w:val="93"/>
              </w:rPr>
              <w:t>Basic and diluted net loss per share, Class A and Class B non-redeemable</w:t>
            </w: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21"/>
              <w:spacing w:after="0" w:line="275" w:lineRule="exact"/>
              <w:rPr>
                <w:sz w:val="20"/>
                <w:szCs w:val="20"/>
                <w:color w:val="auto"/>
              </w:rPr>
            </w:pPr>
            <w:r>
              <w:rPr>
                <w:rFonts w:ascii="Arial" w:cs="Arial" w:eastAsia="Arial" w:hAnsi="Arial"/>
                <w:sz w:val="17"/>
                <w:szCs w:val="17"/>
                <w:b w:val="1"/>
                <w:bCs w:val="1"/>
                <w:color w:val="auto"/>
              </w:rPr>
              <w:t>(0.04</w:t>
            </w:r>
            <w:r>
              <w:rPr>
                <w:rFonts w:ascii="Arial" w:cs="Arial" w:eastAsia="Arial" w:hAnsi="Arial"/>
                <w:sz w:val="31"/>
                <w:szCs w:val="31"/>
                <w:b w:val="1"/>
                <w:bCs w:val="1"/>
                <w:color w:val="auto"/>
                <w:vertAlign w:val="superscript"/>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60"/>
              <w:spacing w:after="0" w:line="275" w:lineRule="exact"/>
              <w:rPr>
                <w:sz w:val="20"/>
                <w:szCs w:val="20"/>
                <w:color w:val="auto"/>
              </w:rPr>
            </w:pPr>
            <w:r>
              <w:rPr>
                <w:rFonts w:ascii="Arial" w:cs="Arial" w:eastAsia="Arial" w:hAnsi="Arial"/>
                <w:sz w:val="17"/>
                <w:szCs w:val="17"/>
                <w:b w:val="1"/>
                <w:bCs w:val="1"/>
                <w:color w:val="auto"/>
              </w:rPr>
              <w:t>(0.00</w:t>
            </w:r>
            <w:r>
              <w:rPr>
                <w:rFonts w:ascii="Arial" w:cs="Arial" w:eastAsia="Arial" w:hAnsi="Arial"/>
                <w:sz w:val="31"/>
                <w:szCs w:val="31"/>
                <w:b w:val="1"/>
                <w:bCs w:val="1"/>
                <w:color w:val="auto"/>
                <w:vertAlign w:val="superscript"/>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line="275" w:lineRule="exact"/>
              <w:rPr>
                <w:sz w:val="20"/>
                <w:szCs w:val="20"/>
                <w:color w:val="auto"/>
              </w:rPr>
            </w:pPr>
            <w:r>
              <w:rPr>
                <w:rFonts w:ascii="Arial" w:cs="Arial" w:eastAsia="Arial" w:hAnsi="Arial"/>
                <w:sz w:val="17"/>
                <w:szCs w:val="17"/>
                <w:b w:val="1"/>
                <w:bCs w:val="1"/>
                <w:color w:val="auto"/>
              </w:rPr>
              <w:t>(0.13</w:t>
            </w:r>
            <w:r>
              <w:rPr>
                <w:rFonts w:ascii="Arial" w:cs="Arial" w:eastAsia="Arial" w:hAnsi="Arial"/>
                <w:sz w:val="31"/>
                <w:szCs w:val="31"/>
                <w:b w:val="1"/>
                <w:bCs w:val="1"/>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spacing w:after="0" w:line="275" w:lineRule="exact"/>
              <w:rPr>
                <w:sz w:val="20"/>
                <w:szCs w:val="20"/>
                <w:color w:val="auto"/>
              </w:rPr>
            </w:pPr>
            <w:r>
              <w:rPr>
                <w:rFonts w:ascii="Arial" w:cs="Arial" w:eastAsia="Arial" w:hAnsi="Arial"/>
                <w:sz w:val="17"/>
                <w:szCs w:val="17"/>
                <w:b w:val="1"/>
                <w:bCs w:val="1"/>
                <w:color w:val="auto"/>
              </w:rPr>
              <w:t>(0.00</w:t>
            </w:r>
            <w:r>
              <w:rPr>
                <w:rFonts w:ascii="Arial" w:cs="Arial" w:eastAsia="Arial" w:hAnsi="Arial"/>
                <w:sz w:val="31"/>
                <w:szCs w:val="31"/>
                <w:b w:val="1"/>
                <w:bCs w:val="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September 30, 2019, excluded up to 562,500 shares subject to forfeiture if the over-allotment option was not exercised in full or in part by the underwriter.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left="340" w:right="2500"/>
        <w:spacing w:after="0" w:line="275" w:lineRule="auto"/>
        <w:rPr>
          <w:sz w:val="20"/>
          <w:szCs w:val="20"/>
          <w:color w:val="auto"/>
        </w:rPr>
      </w:pPr>
      <w:r>
        <w:rPr>
          <w:rFonts w:ascii="Arial" w:cs="Arial" w:eastAsia="Arial" w:hAnsi="Arial"/>
          <w:sz w:val="18"/>
          <w:szCs w:val="18"/>
          <w:b w:val="1"/>
          <w:bCs w:val="1"/>
          <w:color w:val="auto"/>
        </w:rPr>
        <w:t>STABLE ROAD ACQUISITION CORP. CONDENSED STATEMENTS OF CHANGES IN STOCKHOLDERS’ EQUITY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Class A</w:t>
            </w:r>
          </w:p>
        </w:tc>
        <w:tc>
          <w:tcPr>
            <w:tcW w:w="22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Class B</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3440" w:type="dxa"/>
            <w:vAlign w:val="bottom"/>
          </w:tcPr>
          <w:p>
            <w:pPr>
              <w:spacing w:after="0"/>
              <w:rPr>
                <w:sz w:val="22"/>
                <w:szCs w:val="22"/>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Common Stock</w:t>
            </w:r>
          </w:p>
        </w:tc>
        <w:tc>
          <w:tcPr>
            <w:tcW w:w="22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1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Earnings</w:t>
            </w:r>
          </w:p>
        </w:tc>
        <w:tc>
          <w:tcPr>
            <w:tcW w:w="1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1,583,750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$ 4,937,054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value of common stock subject to</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(25,947)</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(259,468)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(259,470)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259,471</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259,471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March 31, 2020</w:t>
            </w:r>
          </w:p>
        </w:tc>
        <w:tc>
          <w:tcPr>
            <w:tcW w:w="8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b w:val="1"/>
                <w:bCs w:val="1"/>
                <w:color w:val="auto"/>
                <w:w w:val="87"/>
              </w:rPr>
              <w:t>1,557,803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156</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4,312,500</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4,677,586</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321,830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w w:val="96"/>
              </w:rPr>
              <w:t>Change in value of common stock subject to</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(3,637)</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(36,369)</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(36,370)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36,372</w:t>
            </w:r>
          </w:p>
        </w:tc>
        <w:tc>
          <w:tcPr>
            <w:tcW w:w="1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36,372</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30, 2020</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7"/>
              </w:rPr>
              <w:t>1,554,166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4,641,217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358,202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value of common stock subject to</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164,608</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164,610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(164,610)</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(164,610)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September 30, 2020</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1,570,627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4,312,500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$ 4,805,825</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193,592</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2019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MAY 28, 2019 (INCEPTION) THROUGH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4"/>
              </w:rPr>
              <w:t>Class B</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28, 2019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Class B common stock to Sponsor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24,569</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June 30, 2019</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(865)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24,135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2019</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4,312,500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24,569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80" w:right="1200" w:hanging="2272"/>
        <w:spacing w:after="0" w:line="623" w:lineRule="auto"/>
        <w:tabs>
          <w:tab w:leader="none" w:pos="47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up to 562,500 shares subject to forfeiture if the over-allotment option was not exercised in full or in part by the underwriter. The accompanying notes are an integral part of the unaudited condensed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70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22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1220" w:type="dxa"/>
            <w:vAlign w:val="bottom"/>
          </w:tcPr>
          <w:p>
            <w:pPr>
              <w:spacing w:after="0"/>
              <w:rPr>
                <w:sz w:val="18"/>
                <w:szCs w:val="18"/>
                <w:color w:val="auto"/>
              </w:rPr>
            </w:pPr>
          </w:p>
        </w:tc>
        <w:tc>
          <w:tcPr>
            <w:tcW w:w="120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1220" w:type="dxa"/>
            <w:vAlign w:val="bottom"/>
          </w:tcPr>
          <w:p>
            <w:pPr>
              <w:spacing w:after="0"/>
              <w:rPr>
                <w:sz w:val="18"/>
                <w:szCs w:val="18"/>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2019</w:t>
            </w:r>
          </w:p>
        </w:tc>
      </w:tr>
      <w:tr>
        <w:trPr>
          <w:trHeight w:val="216"/>
        </w:trPr>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Nine Months</w:t>
            </w: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Through</w:t>
            </w:r>
          </w:p>
        </w:tc>
      </w:tr>
      <w:tr>
        <w:trPr>
          <w:trHeight w:val="229"/>
        </w:trPr>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0</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Formation costs paid by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520" w:val="left"/>
          <w:tab w:leader="none" w:pos="1320" w:val="left"/>
          <w:tab w:leader="none" w:pos="2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131,233</w:t>
        <w:tab/>
        <w:t>$</w:t>
      </w:r>
      <w:r>
        <w:rPr>
          <w:sz w:val="20"/>
          <w:szCs w:val="20"/>
          <w:color w:val="auto"/>
        </w:rPr>
        <w:tab/>
      </w:r>
      <w:r>
        <w:rPr>
          <w:rFonts w:ascii="Arial" w:cs="Arial" w:eastAsia="Arial" w:hAnsi="Arial"/>
          <w:sz w:val="17"/>
          <w:szCs w:val="17"/>
          <w:color w:val="auto"/>
        </w:rPr>
        <w:t>(865)</w:t>
      </w:r>
    </w:p>
    <w:p>
      <w:pPr>
        <w:spacing w:after="0" w:line="225" w:lineRule="exact"/>
        <w:rPr>
          <w:sz w:val="20"/>
          <w:szCs w:val="20"/>
          <w:color w:val="auto"/>
        </w:rPr>
      </w:pPr>
    </w:p>
    <w:p>
      <w:pPr>
        <w:ind w:left="340"/>
        <w:spacing w:after="0"/>
        <w:tabs>
          <w:tab w:leader="none" w:pos="2260" w:val="left"/>
        </w:tabs>
        <w:rPr>
          <w:sz w:val="20"/>
          <w:szCs w:val="20"/>
          <w:color w:val="auto"/>
        </w:rPr>
      </w:pPr>
      <w:r>
        <w:rPr>
          <w:rFonts w:ascii="Arial" w:cs="Arial" w:eastAsia="Arial" w:hAnsi="Arial"/>
          <w:sz w:val="18"/>
          <w:szCs w:val="18"/>
          <w:color w:val="auto"/>
        </w:rPr>
        <w:t>(1,087,154)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865</w:t>
      </w:r>
    </w:p>
    <w:p>
      <w:pPr>
        <w:spacing w:after="0" w:line="207"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228,229</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color w:val="auto"/>
        </w:rPr>
        <w:t>(327,751)</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(58,601)</w:t>
      </w:r>
      <w:r>
        <w:rPr>
          <w:sz w:val="20"/>
          <w:szCs w:val="20"/>
          <w:color w:val="auto"/>
        </w:rPr>
        <w:tab/>
      </w:r>
      <w:r>
        <w:rPr>
          <w:rFonts w:ascii="Arial" w:cs="Arial" w:eastAsia="Arial" w:hAnsi="Arial"/>
          <w:sz w:val="18"/>
          <w:szCs w:val="18"/>
          <w:b w:val="1"/>
          <w:bCs w:val="1"/>
          <w:color w:val="auto"/>
        </w:rPr>
        <w:t>—</w:t>
      </w:r>
    </w:p>
    <w:p>
      <w:pPr>
        <w:spacing w:after="0" w:line="9"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8"/>
          <w:szCs w:val="18"/>
          <w:color w:val="auto"/>
        </w:rPr>
        <w:t>(47,567)</w:t>
      </w:r>
      <w:r>
        <w:rPr>
          <w:sz w:val="20"/>
          <w:szCs w:val="20"/>
          <w:color w:val="auto"/>
        </w:rPr>
        <w:tab/>
      </w:r>
      <w:r>
        <w:rPr>
          <w:rFonts w:ascii="Arial" w:cs="Arial" w:eastAsia="Arial" w:hAnsi="Arial"/>
          <w:sz w:val="18"/>
          <w:szCs w:val="18"/>
          <w:b w:val="1"/>
          <w:bCs w:val="1"/>
          <w:color w:val="auto"/>
        </w:rPr>
        <w:t>—</w:t>
      </w:r>
    </w:p>
    <w:p>
      <w:pPr>
        <w:spacing w:after="0" w:line="23"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color w:val="auto"/>
        </w:rPr>
        <w:t>(1,161,611)</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0"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color w:val="auto"/>
        </w:rPr>
        <w:t>848,763</w:t>
      </w:r>
      <w:r>
        <w:rPr>
          <w:sz w:val="20"/>
          <w:szCs w:val="20"/>
          <w:color w:val="auto"/>
        </w:rPr>
        <w:tab/>
      </w:r>
      <w:r>
        <w:rPr>
          <w:rFonts w:ascii="Arial" w:cs="Arial" w:eastAsia="Arial" w:hAnsi="Arial"/>
          <w:sz w:val="18"/>
          <w:szCs w:val="18"/>
          <w:b w:val="1"/>
          <w:bCs w:val="1"/>
          <w:color w:val="auto"/>
        </w:rPr>
        <w:t>—</w:t>
      </w:r>
    </w:p>
    <w:p>
      <w:pPr>
        <w:spacing w:after="0" w:line="36" w:lineRule="exact"/>
        <w:rPr>
          <w:sz w:val="20"/>
          <w:szCs w:val="20"/>
          <w:color w:val="auto"/>
        </w:rPr>
      </w:pPr>
    </w:p>
    <w:p>
      <w:pPr>
        <w:ind w:left="540"/>
        <w:spacing w:after="0"/>
        <w:tabs>
          <w:tab w:leader="none" w:pos="2260" w:val="left"/>
        </w:tabs>
        <w:rPr>
          <w:sz w:val="20"/>
          <w:szCs w:val="20"/>
          <w:color w:val="auto"/>
        </w:rPr>
      </w:pPr>
      <w:r>
        <w:rPr>
          <w:rFonts w:ascii="Arial" w:cs="Arial" w:eastAsia="Arial" w:hAnsi="Arial"/>
          <w:sz w:val="18"/>
          <w:szCs w:val="18"/>
          <w:b w:val="1"/>
          <w:bCs w:val="1"/>
          <w:color w:val="auto"/>
        </w:rPr>
        <w:t>848,763</w:t>
      </w:r>
      <w:r>
        <w:rPr>
          <w:sz w:val="20"/>
          <w:szCs w:val="20"/>
          <w:color w:val="auto"/>
        </w:rPr>
        <w:tab/>
      </w:r>
      <w:r>
        <w:rPr>
          <w:rFonts w:ascii="Arial" w:cs="Arial" w:eastAsia="Arial" w:hAnsi="Arial"/>
          <w:sz w:val="18"/>
          <w:szCs w:val="18"/>
          <w:b w:val="1"/>
          <w:bCs w:val="1"/>
          <w:color w:val="auto"/>
        </w:rPr>
        <w:t>—</w:t>
      </w:r>
    </w:p>
    <w:p>
      <w:pPr>
        <w:spacing w:after="0" w:line="252" w:lineRule="exact"/>
        <w:rPr>
          <w:sz w:val="20"/>
          <w:szCs w:val="20"/>
          <w:color w:val="auto"/>
        </w:rPr>
      </w:pPr>
    </w:p>
    <w:p>
      <w:pPr>
        <w:ind w:left="480"/>
        <w:spacing w:after="0"/>
        <w:tabs>
          <w:tab w:leader="none" w:pos="2260" w:val="left"/>
        </w:tabs>
        <w:rPr>
          <w:sz w:val="20"/>
          <w:szCs w:val="20"/>
          <w:color w:val="auto"/>
        </w:rPr>
      </w:pPr>
      <w:r>
        <w:rPr>
          <w:rFonts w:ascii="Arial" w:cs="Arial" w:eastAsia="Arial" w:hAnsi="Arial"/>
          <w:sz w:val="18"/>
          <w:szCs w:val="18"/>
          <w:b w:val="1"/>
          <w:bCs w:val="1"/>
          <w:color w:val="auto"/>
        </w:rPr>
        <w:t>(312,848)</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ind w:left="400"/>
        <w:spacing w:after="0"/>
        <w:tabs>
          <w:tab w:leader="none" w:pos="2260" w:val="left"/>
        </w:tabs>
        <w:rPr>
          <w:sz w:val="20"/>
          <w:szCs w:val="20"/>
          <w:color w:val="auto"/>
        </w:rPr>
      </w:pPr>
      <w:r>
        <w:rPr>
          <w:rFonts w:ascii="Arial" w:cs="Arial" w:eastAsia="Arial" w:hAnsi="Arial"/>
          <w:sz w:val="18"/>
          <w:szCs w:val="18"/>
          <w:color w:val="auto"/>
        </w:rPr>
        <w:t>1,093,184</w:t>
      </w:r>
      <w:r>
        <w:rPr>
          <w:sz w:val="20"/>
          <w:szCs w:val="20"/>
          <w:color w:val="auto"/>
        </w:rPr>
        <w:tab/>
      </w:r>
      <w:r>
        <w:rPr>
          <w:rFonts w:ascii="Arial" w:cs="Arial" w:eastAsia="Arial" w:hAnsi="Arial"/>
          <w:sz w:val="18"/>
          <w:szCs w:val="18"/>
          <w:b w:val="1"/>
          <w:bCs w:val="1"/>
          <w:color w:val="auto"/>
        </w:rPr>
        <w:t>—</w:t>
      </w:r>
    </w:p>
    <w:p>
      <w:pPr>
        <w:spacing w:after="0" w:line="58" w:lineRule="exact"/>
        <w:rPr>
          <w:sz w:val="20"/>
          <w:szCs w:val="20"/>
          <w:color w:val="auto"/>
        </w:rPr>
      </w:pPr>
    </w:p>
    <w:p>
      <w:pPr>
        <w:spacing w:after="0"/>
        <w:tabs>
          <w:tab w:leader="none" w:pos="520" w:val="left"/>
          <w:tab w:leader="none" w:pos="1320" w:val="left"/>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780,336</w:t>
        <w:tab/>
        <w:t>$</w:t>
      </w:r>
      <w:r>
        <w:rPr>
          <w:sz w:val="20"/>
          <w:szCs w:val="20"/>
          <w:color w:val="auto"/>
        </w:rPr>
        <w:tab/>
      </w:r>
      <w:r>
        <w:rPr>
          <w:rFonts w:ascii="Arial" w:cs="Arial" w:eastAsia="Arial" w:hAnsi="Arial"/>
          <w:sz w:val="18"/>
          <w:szCs w:val="18"/>
          <w:b w:val="1"/>
          <w:bCs w:val="1"/>
          <w:color w:val="auto"/>
        </w:rPr>
        <w:t>—</w:t>
      </w:r>
    </w:p>
    <w:p>
      <w:pPr>
        <w:spacing w:after="0" w:line="27"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657,590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131,230</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included in accrued offering costs</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w:t>
            </w: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directly by Sponsor from proceeds from issuance of Class B common stock</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Stable Road Acquisition Corp. (the “Company”)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is not limited to a particular industry or sector for purposes of consummating a Business Combination, the Company is focusing its search on companies in the cannabis industry.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the Company had not commenced any operations. All activity through September 30, 2020 relates to the Company’s formation, the initial public offering (“Initial Public Offering”), which is described below, identifying a target company for a Business Combination, and the proposed acquisition of Momentus Inc., a Delaware corporation (“Momentus”), as more fully discussed in Note 9.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 In addition, as of September 30, 2020, cash of $780,336 was held outside of the Trust Account (as defined below) and is available for working capital purposes.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 (i) 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until May 13, 2021 to complete a Business Combination (the “Combination Period”).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13, 2021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May 13,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 for the year ended December 31, 2019 as filed with the SEC on March 26, 2020, which contains the audited financial statements and notes thereto. The financial information as of December 31, 2019 is derived from the audited financial statements presented in the Company’s Annual Report on Form 10-K for the year ended December 31, 2019. The interim results for the three and nine months ended September 30, 2020 are not necessarily indicative of the results to be expected for the year ending December 31, 2020 or for any future interim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September 30, 2020 and December 31, 2019, there were 16,224,373 and 16,211,250 shares of Class A common stock subject to possible redemption, respectively, presented as temporary equity, outside of the stockholders’ equity section of the Company’s condensed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closing date of the Initial Public Offering that are directly related to the Initial Public Offering. Offering costs amounting to $10,924,857 were charged to stockholders’ equity upon the completion of the Initial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and December 31, 2019, the Company had a deferred tax asset of approximately $208,000 and $24,000, respectively, which had a full valuation allowance recorded against it of approximately $208,000 and $24,000, respectively.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current taxable income primarily consists of interest income on the Trust Account. The Company’s general and administrative costs are generally considered start-up costs and are not currently deductible. During the three and nine months ended September 30, 2020, the Company recorded income tax expense of approximately $2,000 and $179,000, respectively, primarily related to interest income earned on the Trust Account. The Company’s effective tax rate of (1)% and 58% for the three and nine months ended September 30, 2020, respectively, differs from the expected income tax rate due to the start-up costs (discussed above) which are not currently deductible. The provision for income taxes was deemed to be de minimis for the three months ended September 30, 2019 and for the period from May 28, 2019 (inception) through September 30, 2019.</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shares of common stock outstanding for the period. The Company has not considered the effect of warrants sold in the Initial Public Offering and as part of the Placement Units to purchase 8,897,500 shares of Class A common stock in the calculation of diluted income (loss) per share, since the exercise of such warrants are contingent upon the occurrence of future events and the inclusion of such warrants would be anti-dilutive.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unaudited condensed statements of operations include a presentation of income (loss) per share for common shares subject to redemption in a manner similar to the two-class method of income per share. Net income per common share, basic and diluted, for Class A redeemable common stock held by Public Stockholders for the three and nine months ended September 30, 2020 is calculated by dividing the interest income earned on the Trust Account of $61,541 and $1,087,154, respectively, net of applicable franchise and income taxes of approximately $2,000 and $179,000, respectively, for the three and nine months ended September 30, 2020, by the weighted average number of shares of Class A redeemable common stock held by Public Stockholders since issuance. Net loss per common share, basic and diluted, for Class A and Class B non-redeemable common stock is calculated by dividing net (loss) income for the three and nine months ended September 30, 2020 of ($164,610) and $131,233, less income attributable to Class A redeemable common stock of $9,332 and $757,749, respectively, by the weighted average number of Class A and Class B non-redeemable common stock outstanding for the periods. Class A and Class B non-redeemable common stock includes the Founder Shares and the shares included in the Placement Units as these shares do not have any redemption features and do not participate in the income earned on the Trust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September 30, 2020 and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three and nine months ended September 30, 2020, the Company incurred $30,000 and $90,000, respectively, in fees for these services, of which $0 and $20,000, are included in accrued expenses in the accompanying condensed balance sheets at September 30, 2020 and December 31,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completion of a business combination, the specific impact is not readily determinable as of the date of these financial statements. The financial statements do not include any adjustments that might result from the outcome of this uncertainty.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September 30, 2020 and December 31, 2019, there were no shares of preferred stock issued or outstanding.</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A common stock are entitled to one vote for each share. At September 30, 2020 and December 31, 2019, there were 1,570,627 and 1,583,750 shares of Class A common stock issued or outstanding, excluding 16,224,373 and 16,211,250 shares of common stock subject to possible redemption, respectively.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Class B common stock are entitled to one vote for each share. At September 30, 2020 and December 31, 2019, there were 4,312,500 shares of Class B common stock issued and outstanding.</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 Public Warrants may only be exercised for a whole number of shares. No fractional warrants will be issued upon separation of the Units and</w:t>
      </w:r>
      <w:r>
        <w:rPr>
          <w:rFonts w:ascii="Arial" w:cs="Arial" w:eastAsia="Arial" w:hAnsi="Arial"/>
          <w:sz w:val="16"/>
          <w:szCs w:val="16"/>
          <w:b w:val="1"/>
          <w:bCs w:val="1"/>
          <w:color w:val="auto"/>
        </w:rPr>
        <w:t xml:space="preserve"> </w:t>
      </w:r>
      <w:r>
        <w:rPr>
          <w:rFonts w:ascii="Arial" w:cs="Arial" w:eastAsia="Arial" w:hAnsi="Arial"/>
          <w:sz w:val="16"/>
          <w:szCs w:val="16"/>
          <w:color w:val="auto"/>
        </w:rPr>
        <w:t>only whole warrants will trade. The Public Warrants will become exercisable on the later of (a) 30 days after the completion of a Business Combination or</w:t>
      </w:r>
    </w:p>
    <w:p>
      <w:pPr>
        <w:spacing w:after="0" w:line="1" w:lineRule="exact"/>
        <w:rPr>
          <w:sz w:val="20"/>
          <w:szCs w:val="20"/>
          <w:color w:val="auto"/>
        </w:rPr>
      </w:pPr>
    </w:p>
    <w:p>
      <w:pPr>
        <w:ind w:firstLine="8"/>
        <w:spacing w:after="0" w:line="260"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800" w:hanging="333"/>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 w:lineRule="exact"/>
        <w:rPr>
          <w:rFonts w:ascii="Arial" w:cs="Arial" w:eastAsia="Arial" w:hAnsi="Arial"/>
          <w:sz w:val="18"/>
          <w:szCs w:val="18"/>
          <w:color w:val="auto"/>
        </w:rPr>
      </w:pPr>
    </w:p>
    <w:p>
      <w:pPr>
        <w:ind w:left="800" w:hanging="333"/>
        <w:spacing w:after="0" w:line="323"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condensed balance sheets and adjusted for the amortization or accretion of premiums or discounts.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2020, assets held in the Trust Account were comprised of $179 in cash and $173,084,223 in U.S. Treasury securities. During the nine months ended September 30, 2020, the Company withdrew $848,763 of interest income from the Trust Account to pay for franchise taxes.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10"/>
          </w:tcPr>
          <w:p>
            <w:pPr>
              <w:spacing w:after="0"/>
              <w:rPr>
                <w:sz w:val="20"/>
                <w:szCs w:val="20"/>
                <w:color w:val="auto"/>
              </w:rPr>
            </w:pPr>
            <w:r>
              <w:rPr>
                <w:rFonts w:ascii="Arial" w:cs="Arial" w:eastAsia="Arial" w:hAnsi="Arial"/>
                <w:sz w:val="18"/>
                <w:szCs w:val="18"/>
                <w:color w:val="auto"/>
                <w:w w:val="96"/>
              </w:rPr>
              <w:t>The gross holding gains and fair value of held-to-maturity securities at September 30, 2020 and December 31, 2019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7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30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Borders>
              <w:bottom w:val="single" w:sz="8" w:color="CCEEFF"/>
            </w:tcBorders>
          </w:tcPr>
          <w:p>
            <w:pPr>
              <w:spacing w:after="0"/>
              <w:rPr>
                <w:sz w:val="20"/>
                <w:szCs w:val="20"/>
                <w:color w:val="auto"/>
              </w:rPr>
            </w:pPr>
          </w:p>
        </w:tc>
      </w:tr>
      <w:tr>
        <w:trPr>
          <w:trHeight w:val="263"/>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240" w:type="dxa"/>
            <w:vAlign w:val="bottom"/>
            <w:shd w:val="clear" w:color="auto" w:fill="CCEEFF"/>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 (Mature on 11/12/2020)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173,084,223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173,093,958</w:t>
            </w:r>
          </w:p>
        </w:tc>
      </w:tr>
      <w:tr>
        <w:trPr>
          <w:trHeight w:val="21"/>
        </w:trPr>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5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U.S. Treasury Securities (Mature on 5/14/2020)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172,845,138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172,858,548</w:t>
            </w:r>
          </w:p>
        </w:tc>
      </w:tr>
      <w:tr>
        <w:trPr>
          <w:trHeight w:val="21"/>
        </w:trPr>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1" w:lineRule="exact"/>
        <w:rPr>
          <w:sz w:val="20"/>
          <w:szCs w:val="20"/>
          <w:color w:val="auto"/>
        </w:rPr>
      </w:pPr>
    </w:p>
    <w:p>
      <w:pPr>
        <w:ind w:left="1360" w:hanging="890"/>
        <w:spacing w:after="0" w:line="308" w:lineRule="auto"/>
        <w:tabs>
          <w:tab w:leader="none" w:pos="13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5" w:lineRule="exact"/>
        <w:rPr>
          <w:sz w:val="20"/>
          <w:szCs w:val="20"/>
          <w:color w:val="auto"/>
        </w:rPr>
      </w:pPr>
    </w:p>
    <w:p>
      <w:pPr>
        <w:ind w:left="1360" w:right="20" w:hanging="890"/>
        <w:spacing w:after="0" w:line="277" w:lineRule="auto"/>
        <w:tabs>
          <w:tab w:leader="none" w:pos="13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89" w:lineRule="exact"/>
        <w:rPr>
          <w:sz w:val="20"/>
          <w:szCs w:val="20"/>
          <w:color w:val="auto"/>
        </w:rPr>
      </w:pPr>
    </w:p>
    <w:p>
      <w:pPr>
        <w:jc w:val="center"/>
        <w:ind w:right="-19"/>
        <w:spacing w:after="0"/>
        <w:tabs>
          <w:tab w:leader="none" w:pos="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September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indicates the fair value hierarchy of the valuation inputs the Company utilized to determine such fair value: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0"/>
              </w:rPr>
              <w:t>Quoted Prices in Active Markets</w:t>
            </w:r>
          </w:p>
        </w:tc>
      </w:tr>
      <w:tr>
        <w:trPr>
          <w:trHeight w:val="198"/>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September</w:t>
            </w: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held in Trust Account – U.S. Treasury Securities Money Market Fund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  173,094,137</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172,846,011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were issued. Based upon this review, other than as described below, the Company did not identify subsequent events that would have required adjustment or disclosure in the unaudited condensed financial statements. Capitalized terms used in this Note 9 but not otherwise defined herein have the meanings given to them in the Merger Agreement (as defined below).</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7, 2020, the Company entered into an Agreement and Plan of Merger (the “Merger Agreement”), by and among the Company, Project Marvel First Merger Sub, Inc., a Delaware corporation (“First Merger Sub”), Project Marvel Second Merger Sub, LLC, a Delaware limited liability company (“Second Merger Sub”), and Momentus, pursuant to which: (a) First Merger Sub will merge with and into Momentus (the “First Merger”), with Momentus being the surviving corporation of the First Merger (such company, in its capacity as the surviving corporation of the First Merger, the “Surviving Corporation”) and (b) immediately following the First Merger and as part of the same overall transaction as the First Merger, the Surviving Corporation will merge with and into Second Merger Sub (the “Second Merger” and, together with the First Merger, the “Mergers”), with Second Merger Sub being the surviving company of the Second Merger. The transactions set forth in the Merger Agreement, including the Mergers, will constitute a “Business Combination” as contemplated by the Company’s Amended and Restated Certificate of Incorporation.</w:t>
      </w:r>
    </w:p>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the Company (“Parent Class A Common Stock”), with a deemed value of $10 per share. In addition, the Company will pay off, or cause to be paid off, on behalf of Momentus and in connection with the Closing, Momentus’ outstanding indebtedness for borrowed money.</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2020, the Company entered into Subscription Agreements with certain investors pursuant to which the investors have agreed to purchase an aggregate of 17,500,000 shares of Parent Class A Common Stock in a private placement for $10.00 per share, including 1,000,000 shares which were agreed to be purchased by SRAC PIPE Partners LLC, a Delaware limited liability company.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742"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Stable Road Acquisition Corp. References to our “management” or our “management team” refer to our officers and directors, and references to the “Sponsor” refer to SRC-NI Holdings,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2019 filed with the SEC on March 26,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225" w:lineRule="exact"/>
        <w:rPr>
          <w:sz w:val="20"/>
          <w:szCs w:val="20"/>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common stock resulted in the issuance of Class A shares on a greater than one-to-one basis upon conversion of the Class B common stock;</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may subordinate the rights of holders of our common stock if preferred stock is issued with rights senior to those afforded our common stock;</w:t>
      </w:r>
    </w:p>
    <w:p>
      <w:pPr>
        <w:spacing w:after="0" w:line="32" w:lineRule="exact"/>
        <w:rPr>
          <w:rFonts w:ascii="Arial" w:cs="Arial" w:eastAsia="Arial" w:hAnsi="Arial"/>
          <w:sz w:val="16"/>
          <w:szCs w:val="16"/>
          <w:color w:val="auto"/>
        </w:rPr>
      </w:pPr>
    </w:p>
    <w:p>
      <w:pPr>
        <w:ind w:left="980" w:hanging="324"/>
        <w:spacing w:after="0" w:line="28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debt to banks or other lenders or the owners of a target, it could result in:</w:t>
      </w:r>
    </w:p>
    <w:p>
      <w:pPr>
        <w:spacing w:after="0" w:line="225" w:lineRule="exact"/>
        <w:rPr>
          <w:sz w:val="20"/>
          <w:szCs w:val="20"/>
          <w:color w:val="auto"/>
        </w:rPr>
      </w:pPr>
    </w:p>
    <w:p>
      <w:pPr>
        <w:ind w:left="980" w:right="20" w:hanging="324"/>
        <w:spacing w:after="0" w:line="258"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980" w:hanging="324"/>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2020, we entered into the Merger Agreement with First Merger Sub, Second Merger Sub and Momentus, pursuant to which we will effectuate the Mergers. Pursuant to the Merger Agreement, the aggregate merger consideration payable to the equityholders of Momentus will be paid in equity consideration equal to $1,131,000,000, minus Momentus’ indebtedness for borrowed money as of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with a deemed value of $10 per share. See Note 9 to Item 1 above for a description of the Merger Agreement and the transactions contemplated thereby.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our Initial Public Offering, described below, identifying a target for our initial Business Combination and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2020, we had net loss of $164,610, which consists of operating costs of $223,942 and a provision for income taxes of $2,209, offset by interest income on marketable securities held in the trust account (“Trust Account”) of $61,541.</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we had net income of $131,233, which consists of operating costs of $776,516 and a provision for income taxes of $179,405, offset by interest income on marketable securities held in the Trust Account of $1,087,154.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2019 and the period from May 28, 2019 (inception) through September 30, 2019, we had net loss of $0 and $865, respectively, which consists of formation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cash used in operating activities was $1,161,611. Net income of $131,233 was offset by interest earned on marketable securities held in the Trust Account of $1,087,154 and changes in operating assets and liabilities, which used $205,690 of cash from operating activities.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2020, we had cash and marketable securities in the Trust Account of $173,084,402.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nine months ended September 30, 2020, we withdrew $848,763 of interest income from the Trust Account to pay for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As of September 30, 2020, we had cash of $780,336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currently believe we will need to raise additional funds in order to meet the expenditures required for operating our business. However, 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May 13, 2021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the common stock subject to possible redemption is presented as temporary equity, outside of the stockholders’ equity section of our condensed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income per common share, basic and diluted, for Class A and Class B non-redeemable common stock is calculated by dividing net income less income attributable to Class A redeemable common stock, by the weighted average number of shares of Class A and Class B non-redeemable common stock outstanding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our disclosure controls and procedures (as defined in Rules 13a-15(e) and 15d-15(e)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described in our Annual Report on Form 10-K for the year ended December 31, 2019 filed with the SEC on March 26, 2020. As of the date of this Report, other than as described below and in the Form S-4 filed by the company on November 2, 2020, there have been no material changes to the risk factors disclosed in our Annual Report filed with the SEC.</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stockholders may be less than $10.00 per share.</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stockholders are entitled to receive their pro-rata share of the proceeds held in the Trust Account, plus any interest income not released to us, net of taxes payable. Negative interest rates could impact the per-share redemption amount that may be received by public stockholders.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11, 2020, the World Health Organization officially declared the outbreak of the COVID-19 a “pandemic.” COVID-19 has caused a widespread health crisis that has adversely affected the economies and financial markets worldwide as well as the businesses of many potential business combination targets. Furthermore, we may be unable to complete a business combination if continued concerns relating to COVID-19 restrict travel, limit the ability to have meetings with potential investors or Momentus’ or any other target company’s personnel, vendors and services providers are unavailable to negotiate and consummate a transaction in a timely manner. The extent to which COVID-19 impacts our ability to consummate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Momentus’ or any other target business with which we ultimately consummate a business combination, may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680" w:type="dxa"/>
            <w:vAlign w:val="bottom"/>
          </w:tcPr>
          <w:p>
            <w:pPr>
              <w:ind w:left="780"/>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Principal Executive Officer Pursuant to Securities Exchange Act Rules 13a-14(a) and 15(d)-14(a), as adopted Pursuant to</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 of the Sarbanes-Oxley Act of 2002</w:t>
              </w:r>
            </w:hyperlink>
          </w:p>
        </w:tc>
        <w:tc>
          <w:tcPr>
            <w:tcW w:w="668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Certification of Principal Financial Officer Pursuant to Securities Exchange Act Rules 13a-14(a) and 15(d)-14(a), as adopted Pursuant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Section 302 of the Sarbanes-Oxley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ind w:right="9800" w:firstLine="8"/>
        <w:spacing w:after="0" w:line="342" w:lineRule="auto"/>
        <w:tabs>
          <w:tab w:leader="none" w:pos="3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STABLE ROAD ACQUISITION CORP.</w:t>
      </w:r>
    </w:p>
    <w:p>
      <w:pPr>
        <w:spacing w:after="0" w:line="229"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James Norris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Stable Road Acquisition Corp.;</w:t>
      </w:r>
    </w:p>
    <w:p>
      <w:pPr>
        <w:spacing w:after="0" w:line="225"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hanging="448"/>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1360" w:hanging="448"/>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60" w:hanging="448"/>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20" w:hanging="453"/>
        <w:spacing w:after="0" w:line="34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60" w:hanging="448"/>
        <w:spacing w:after="0" w:line="308" w:lineRule="auto"/>
        <w:tabs>
          <w:tab w:leader="none" w:pos="1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60" w:hanging="448"/>
        <w:spacing w:after="0" w:line="277" w:lineRule="auto"/>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September 30, 2020,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Stable Road Acquisition Corp. (the “Company”) on Form 10-Q for the quarterly period ended September 30, 2020,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Letter"/>
      <w:start w:val="2"/>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2020-11-16T05:49:22Z</dcterms:created>
  <dcterms:modified xsi:type="dcterms:W3CDTF">2020-11-16T05:49:22Z</dcterms:modified>
</cp:coreProperties>
</file>