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19,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220" w:type="dxa"/>
        <w:tblCellMar>
          <w:top w:w="0" w:type="dxa"/>
          <w:left w:w="0" w:type="dxa"/>
          <w:bottom w:w="0" w:type="dxa"/>
          <w:right w:w="0" w:type="dxa"/>
        </w:tblCellMar>
      </w:tblPr>
      <w:tr>
        <w:trPr>
          <w:trHeight w:val="220"/>
        </w:trPr>
        <w:tc>
          <w:tcPr>
            <w:tcW w:w="42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001-39128</w:t>
            </w:r>
          </w:p>
        </w:tc>
        <w:tc>
          <w:tcPr>
            <w:tcW w:w="33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84-1905538</w:t>
            </w:r>
          </w:p>
        </w:tc>
        <w:tc>
          <w:tcPr>
            <w:tcW w:w="0" w:type="dxa"/>
            <w:vAlign w:val="bottom"/>
          </w:tcPr>
          <w:p>
            <w:pPr>
              <w:spacing w:after="0"/>
              <w:rPr>
                <w:sz w:val="1"/>
                <w:szCs w:val="1"/>
                <w:color w:val="auto"/>
              </w:rPr>
            </w:pPr>
          </w:p>
        </w:tc>
      </w:tr>
      <w:tr>
        <w:trPr>
          <w:trHeight w:val="216"/>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42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organization)</w:t>
            </w:r>
          </w:p>
        </w:tc>
        <w:tc>
          <w:tcPr>
            <w:tcW w:w="2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1762 Automation Parkway</w:t>
            </w:r>
          </w:p>
        </w:tc>
        <w:tc>
          <w:tcPr>
            <w:tcW w:w="2920" w:type="dxa"/>
            <w:vAlign w:val="bottom"/>
          </w:tcPr>
          <w:p>
            <w:pPr>
              <w:spacing w:after="0"/>
              <w:rPr>
                <w:sz w:val="24"/>
                <w:szCs w:val="24"/>
                <w:color w:val="auto"/>
              </w:rPr>
            </w:pPr>
          </w:p>
        </w:tc>
        <w:tc>
          <w:tcPr>
            <w:tcW w:w="33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95131</w:t>
            </w:r>
          </w:p>
        </w:tc>
        <w:tc>
          <w:tcPr>
            <w:tcW w:w="0" w:type="dxa"/>
            <w:vAlign w:val="bottom"/>
          </w:tcPr>
          <w:p>
            <w:pPr>
              <w:spacing w:after="0"/>
              <w:rPr>
                <w:sz w:val="1"/>
                <w:szCs w:val="1"/>
                <w:color w:val="auto"/>
              </w:rPr>
            </w:pPr>
          </w:p>
        </w:tc>
      </w:tr>
      <w:tr>
        <w:trPr>
          <w:trHeight w:val="130"/>
        </w:trPr>
        <w:tc>
          <w:tcPr>
            <w:tcW w:w="4220" w:type="dxa"/>
            <w:vAlign w:val="bottom"/>
            <w:vMerge w:val="restart"/>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29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20" w:type="dxa"/>
            <w:vAlign w:val="bottom"/>
          </w:tcPr>
          <w:p>
            <w:pPr>
              <w:spacing w:after="0"/>
              <w:rPr>
                <w:sz w:val="20"/>
                <w:szCs w:val="20"/>
                <w:color w:val="auto"/>
              </w:rPr>
            </w:pPr>
          </w:p>
        </w:tc>
        <w:tc>
          <w:tcPr>
            <w:tcW w:w="3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MNTSW</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19, 2026, Momentus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 quorum was present at the meeting. The final results of voting for each matter submitted to a vote of stockholders at the Annual Meeting are set forth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Election of Two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results for the election of directors were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74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Momentus Nominees</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Withheld</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Chris Hadfield</w:t>
            </w:r>
          </w:p>
        </w:tc>
        <w:tc>
          <w:tcPr>
            <w:tcW w:w="2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892,532</w:t>
            </w: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22,286</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1,361,297</w:t>
            </w:r>
          </w:p>
        </w:tc>
      </w:tr>
      <w:tr>
        <w:trPr>
          <w:trHeight w:val="223"/>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C. Rood</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890,446</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24,372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1,361,297</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Accordingly, both of the Company’s nominees were elected to serve as directors of the Company until the 2029 Annual Meeting of Stockholders and until their respective successors are appointed, elected, and qualified.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Ratification of Appointment of Auditors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Ratification of the appointment of Frank, Rimerman + Co. LLP as the Company’s independent registered public accounting firm for the 2026 fiscal year was approved by the following vote: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880" w:type="dxa"/>
            <w:vAlign w:val="bottom"/>
            <w:tcBorders>
              <w:top w:val="single" w:sz="8" w:color="auto"/>
              <w:bottom w:val="single" w:sz="8" w:color="auto"/>
            </w:tcBorders>
          </w:tcPr>
          <w:p>
            <w:pPr>
              <w:spacing w:after="0"/>
              <w:rPr>
                <w:sz w:val="21"/>
                <w:szCs w:val="21"/>
                <w:color w:val="auto"/>
              </w:rPr>
            </w:pPr>
          </w:p>
        </w:tc>
        <w:tc>
          <w:tcPr>
            <w:tcW w:w="2580" w:type="dxa"/>
            <w:vAlign w:val="bottom"/>
            <w:tcBorders>
              <w:top w:val="single" w:sz="8" w:color="auto"/>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Against</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23"/>
        </w:trPr>
        <w:tc>
          <w:tcPr>
            <w:tcW w:w="3620" w:type="dxa"/>
            <w:vAlign w:val="bottom"/>
            <w:tcBorders>
              <w:left w:val="single" w:sz="8" w:color="auto"/>
              <w:bottom w:val="single" w:sz="8" w:color="auto"/>
              <w:right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2,256,257</w:t>
            </w:r>
          </w:p>
        </w:tc>
        <w:tc>
          <w:tcPr>
            <w:tcW w:w="3120" w:type="dxa"/>
            <w:vAlign w:val="bottom"/>
            <w:tcBorders>
              <w:bottom w:val="single" w:sz="8" w:color="auto"/>
            </w:tcBorders>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14,739</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3600" w:type="dxa"/>
            <w:vAlign w:val="bottom"/>
            <w:tcBorders>
              <w:bottom w:val="single" w:sz="8" w:color="auto"/>
              <w:right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5,119</w:t>
            </w:r>
          </w:p>
        </w:tc>
      </w:tr>
      <w:tr>
        <w:trPr>
          <w:trHeight w:val="414"/>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Proposal 3</w:t>
            </w:r>
          </w:p>
        </w:tc>
        <w:tc>
          <w:tcPr>
            <w:tcW w:w="3600" w:type="dxa"/>
            <w:vAlign w:val="bottom"/>
          </w:tcPr>
          <w:p>
            <w:pPr>
              <w:spacing w:after="0"/>
              <w:rPr>
                <w:sz w:val="24"/>
                <w:szCs w:val="24"/>
                <w:color w:val="auto"/>
              </w:rPr>
            </w:pPr>
          </w:p>
        </w:tc>
      </w:tr>
      <w:tr>
        <w:trPr>
          <w:trHeight w:val="194"/>
        </w:trPr>
        <w:tc>
          <w:tcPr>
            <w:tcW w:w="3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rPr>
              <w:t>Equity Incentive Plan Proposal</w:t>
            </w:r>
          </w:p>
        </w:tc>
        <w:tc>
          <w:tcPr>
            <w:tcW w:w="3600" w:type="dxa"/>
            <w:vAlign w:val="bottom"/>
          </w:tcPr>
          <w:p>
            <w:pPr>
              <w:spacing w:after="0"/>
              <w:rPr>
                <w:sz w:val="16"/>
                <w:szCs w:val="16"/>
                <w:color w:val="auto"/>
              </w:rPr>
            </w:pPr>
          </w:p>
        </w:tc>
      </w:tr>
      <w:tr>
        <w:trPr>
          <w:trHeight w:val="20"/>
        </w:trPr>
        <w:tc>
          <w:tcPr>
            <w:tcW w:w="3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Approval of an amendment to the Company’s 2021 Equity Incentive Plan to increase the number of shares available for issuance thereunder was approved by the following vote: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198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Against</w:t>
            </w:r>
          </w:p>
        </w:tc>
        <w:tc>
          <w:tcPr>
            <w:tcW w:w="600" w:type="dxa"/>
            <w:vAlign w:val="bottom"/>
            <w:tcBorders>
              <w:top w:val="single" w:sz="8" w:color="auto"/>
              <w:bottom w:val="single" w:sz="8" w:color="auto"/>
              <w:right w:val="single" w:sz="8" w:color="auto"/>
            </w:tcBorders>
          </w:tcPr>
          <w:p>
            <w:pPr>
              <w:spacing w:after="0"/>
              <w:rPr>
                <w:sz w:val="21"/>
                <w:szCs w:val="21"/>
                <w:color w:val="auto"/>
              </w:rPr>
            </w:pPr>
          </w:p>
        </w:tc>
        <w:tc>
          <w:tcPr>
            <w:tcW w:w="258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Broker Non-Vote</w:t>
            </w:r>
          </w:p>
        </w:tc>
      </w:tr>
      <w:tr>
        <w:trPr>
          <w:trHeight w:val="223"/>
        </w:trPr>
        <w:tc>
          <w:tcPr>
            <w:tcW w:w="2720" w:type="dxa"/>
            <w:vAlign w:val="bottom"/>
            <w:tcBorders>
              <w:left w:val="single" w:sz="8" w:color="auto"/>
              <w:bottom w:val="single" w:sz="8" w:color="auto"/>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795,227</w:t>
            </w:r>
          </w:p>
        </w:tc>
        <w:tc>
          <w:tcPr>
            <w:tcW w:w="19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113,598</w:t>
            </w:r>
          </w:p>
        </w:tc>
        <w:tc>
          <w:tcPr>
            <w:tcW w:w="600" w:type="dxa"/>
            <w:vAlign w:val="bottom"/>
            <w:tcBorders>
              <w:bottom w:val="single" w:sz="8" w:color="auto"/>
              <w:right w:val="single" w:sz="8" w:color="auto"/>
            </w:tcBorders>
            <w:shd w:val="clear" w:color="auto" w:fill="CCEEFF"/>
          </w:tcPr>
          <w:p>
            <w:pPr>
              <w:spacing w:after="0"/>
              <w:rPr>
                <w:sz w:val="19"/>
                <w:szCs w:val="19"/>
                <w:color w:val="auto"/>
              </w:rPr>
            </w:pPr>
          </w:p>
        </w:tc>
        <w:tc>
          <w:tcPr>
            <w:tcW w:w="2580" w:type="dxa"/>
            <w:vAlign w:val="bottom"/>
            <w:tcBorders>
              <w:bottom w:val="single" w:sz="8" w:color="auto"/>
              <w:right w:val="single" w:sz="8" w:color="auto"/>
            </w:tcBorders>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5,993</w:t>
            </w:r>
          </w:p>
        </w:tc>
        <w:tc>
          <w:tcPr>
            <w:tcW w:w="2800" w:type="dxa"/>
            <w:vAlign w:val="bottom"/>
            <w:tcBorders>
              <w:bottom w:val="single" w:sz="8" w:color="auto"/>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1,361,297</w:t>
            </w:r>
          </w:p>
        </w:tc>
      </w:tr>
      <w:tr>
        <w:trPr>
          <w:trHeight w:val="414"/>
        </w:trPr>
        <w:tc>
          <w:tcPr>
            <w:tcW w:w="2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Proposal 4</w:t>
            </w:r>
          </w:p>
        </w:tc>
        <w:tc>
          <w:tcPr>
            <w:tcW w:w="2800" w:type="dxa"/>
            <w:vAlign w:val="bottom"/>
          </w:tcPr>
          <w:p>
            <w:pPr>
              <w:spacing w:after="0"/>
              <w:rPr>
                <w:sz w:val="24"/>
                <w:szCs w:val="24"/>
                <w:color w:val="auto"/>
              </w:rPr>
            </w:pPr>
          </w:p>
        </w:tc>
      </w:tr>
      <w:tr>
        <w:trPr>
          <w:trHeight w:val="194"/>
        </w:trPr>
        <w:tc>
          <w:tcPr>
            <w:tcW w:w="2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Evergreen Share Proposal</w:t>
            </w:r>
          </w:p>
        </w:tc>
        <w:tc>
          <w:tcPr>
            <w:tcW w:w="1320" w:type="dxa"/>
            <w:vAlign w:val="bottom"/>
          </w:tcPr>
          <w:p>
            <w:pPr>
              <w:spacing w:after="0"/>
              <w:rPr>
                <w:sz w:val="16"/>
                <w:szCs w:val="16"/>
                <w:color w:val="auto"/>
              </w:rPr>
            </w:pPr>
          </w:p>
        </w:tc>
        <w:tc>
          <w:tcPr>
            <w:tcW w:w="2800" w:type="dxa"/>
            <w:vAlign w:val="bottom"/>
          </w:tcPr>
          <w:p>
            <w:pPr>
              <w:spacing w:after="0"/>
              <w:rPr>
                <w:sz w:val="16"/>
                <w:szCs w:val="16"/>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Approval of an amendment to the Company’s 2021 Equity Incentive Plan to increase annual evergreen percentage increase to the number of shares available for issuance thereunder was approved by the following vote: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540" w:type="dxa"/>
            <w:vAlign w:val="bottom"/>
            <w:tcBorders>
              <w:top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Against</w:t>
            </w:r>
          </w:p>
        </w:tc>
        <w:tc>
          <w:tcPr>
            <w:tcW w:w="2600" w:type="dxa"/>
            <w:vAlign w:val="bottom"/>
            <w:tcBorders>
              <w:top w:val="single" w:sz="8" w:color="auto"/>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Broker Non-Vote</w:t>
            </w:r>
          </w:p>
        </w:tc>
        <w:tc>
          <w:tcPr>
            <w:tcW w:w="560" w:type="dxa"/>
            <w:vAlign w:val="bottom"/>
          </w:tcPr>
          <w:p>
            <w:pPr>
              <w:spacing w:after="0"/>
              <w:rPr>
                <w:sz w:val="21"/>
                <w:szCs w:val="21"/>
                <w:color w:val="auto"/>
              </w:rPr>
            </w:pPr>
          </w:p>
        </w:tc>
      </w:tr>
      <w:tr>
        <w:trPr>
          <w:trHeight w:val="223"/>
        </w:trPr>
        <w:tc>
          <w:tcPr>
            <w:tcW w:w="2740" w:type="dxa"/>
            <w:vAlign w:val="bottom"/>
            <w:tcBorders>
              <w:left w:val="single" w:sz="8" w:color="auto"/>
              <w:bottom w:val="single" w:sz="8" w:color="auto"/>
              <w:right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668,009</w:t>
            </w:r>
          </w:p>
        </w:tc>
        <w:tc>
          <w:tcPr>
            <w:tcW w:w="2540" w:type="dxa"/>
            <w:vAlign w:val="bottom"/>
            <w:tcBorders>
              <w:bottom w:val="single" w:sz="8" w:color="auto"/>
              <w:right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117,635</w:t>
            </w:r>
          </w:p>
        </w:tc>
        <w:tc>
          <w:tcPr>
            <w:tcW w:w="2600" w:type="dxa"/>
            <w:vAlign w:val="bottom"/>
            <w:tcBorders>
              <w:bottom w:val="single" w:sz="8" w:color="auto"/>
              <w:right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129,174</w:t>
            </w:r>
          </w:p>
        </w:tc>
        <w:tc>
          <w:tcPr>
            <w:tcW w:w="2800" w:type="dxa"/>
            <w:vAlign w:val="bottom"/>
            <w:tcBorders>
              <w:bottom w:val="single" w:sz="8" w:color="auto"/>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1,361,297</w:t>
            </w:r>
          </w:p>
        </w:tc>
        <w:tc>
          <w:tcPr>
            <w:tcW w:w="560" w:type="dxa"/>
            <w:vAlign w:val="bottom"/>
          </w:tcPr>
          <w:p>
            <w:pPr>
              <w:spacing w:after="0"/>
              <w:rPr>
                <w:sz w:val="19"/>
                <w:szCs w:val="19"/>
                <w:color w:val="auto"/>
              </w:rPr>
            </w:pPr>
          </w:p>
        </w:tc>
      </w:tr>
      <w:tr>
        <w:trPr>
          <w:trHeight w:val="830"/>
        </w:trPr>
        <w:tc>
          <w:tcPr>
            <w:tcW w:w="2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Proposal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Say-on-Pay Proposal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on an advisory basis, of the compensation of the Company’s named executive officers was approved by the following vote: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Broker Non-Vote</w:t>
            </w:r>
          </w:p>
        </w:tc>
      </w:tr>
      <w:tr>
        <w:trPr>
          <w:trHeight w:val="223"/>
        </w:trPr>
        <w:tc>
          <w:tcPr>
            <w:tcW w:w="2740" w:type="dxa"/>
            <w:vAlign w:val="bottom"/>
            <w:tcBorders>
              <w:left w:val="single" w:sz="8" w:color="auto"/>
              <w:bottom w:val="single" w:sz="8" w:color="auto"/>
              <w:right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842,147</w:t>
            </w:r>
          </w:p>
        </w:tc>
        <w:tc>
          <w:tcPr>
            <w:tcW w:w="2540" w:type="dxa"/>
            <w:vAlign w:val="bottom"/>
            <w:tcBorders>
              <w:bottom w:val="single" w:sz="8" w:color="auto"/>
              <w:right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54,357</w:t>
            </w:r>
          </w:p>
        </w:tc>
        <w:tc>
          <w:tcPr>
            <w:tcW w:w="2600" w:type="dxa"/>
            <w:vAlign w:val="bottom"/>
            <w:tcBorders>
              <w:bottom w:val="single" w:sz="8" w:color="auto"/>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18,314</w:t>
            </w:r>
          </w:p>
        </w:tc>
        <w:tc>
          <w:tcPr>
            <w:tcW w:w="2800" w:type="dxa"/>
            <w:vAlign w:val="bottom"/>
            <w:tcBorders>
              <w:bottom w:val="single" w:sz="8" w:color="auto"/>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1,361,297</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Say-on-Pay Frequency Proposal</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Approval, on an advisory basis, of the frequency of future advisory votes on the compensation of the Company’s named executive officers was approved at a frequency of every “three years” by the following vote: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00" w:type="dxa"/>
            <w:vAlign w:val="bottom"/>
            <w:tcBorders>
              <w:top w:val="single" w:sz="8" w:color="auto"/>
              <w:left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4"/>
              </w:rPr>
              <w:t>1 Year</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Borders>
              <w:top w:val="single" w:sz="8" w:color="auto"/>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5"/>
              </w:rPr>
              <w:t>Years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23"/>
        </w:trPr>
        <w:tc>
          <w:tcPr>
            <w:tcW w:w="900" w:type="dxa"/>
            <w:vAlign w:val="bottom"/>
            <w:tcBorders>
              <w:left w:val="single" w:sz="8" w:color="auto"/>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218,956</w:t>
            </w:r>
          </w:p>
        </w:tc>
        <w:tc>
          <w:tcPr>
            <w:tcW w:w="2580" w:type="dxa"/>
            <w:vAlign w:val="bottom"/>
            <w:tcBorders>
              <w:bottom w:val="single" w:sz="8" w:color="auto"/>
              <w:right w:val="single" w:sz="8" w:color="auto"/>
            </w:tcBorders>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3,315</w:t>
            </w:r>
          </w:p>
        </w:tc>
        <w:tc>
          <w:tcPr>
            <w:tcW w:w="2580" w:type="dxa"/>
            <w:vAlign w:val="bottom"/>
            <w:tcBorders>
              <w:bottom w:val="single" w:sz="8" w:color="auto"/>
              <w:right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667,946</w:t>
            </w:r>
          </w:p>
        </w:tc>
        <w:tc>
          <w:tcPr>
            <w:tcW w:w="2800" w:type="dxa"/>
            <w:vAlign w:val="bottom"/>
            <w:tcBorders>
              <w:bottom w:val="single" w:sz="8" w:color="auto"/>
              <w:right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24,601</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exhibits listed on the exhibit index accompanying this Current Report on Form 8-K are furnished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5"/>
                <w:szCs w:val="15"/>
                <w:color w:val="auto"/>
              </w:rPr>
            </w:pPr>
          </w:p>
        </w:tc>
        <w:tc>
          <w:tcPr>
            <w:tcW w:w="99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Second Amendment to the 2021 Equity Incentive Plan.</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Lon Ensler</w:t>
            </w:r>
          </w:p>
        </w:tc>
        <w:tc>
          <w:tcPr>
            <w:tcW w:w="3220" w:type="dxa"/>
            <w:vAlign w:val="bottom"/>
          </w:tcPr>
          <w:p>
            <w:pPr>
              <w:spacing w:after="0"/>
              <w:rPr>
                <w:sz w:val="17"/>
                <w:szCs w:val="17"/>
                <w:color w:val="auto"/>
              </w:rPr>
            </w:pPr>
          </w:p>
        </w:tc>
      </w:tr>
      <w:tr>
        <w:trPr>
          <w:trHeight w:val="218"/>
        </w:trPr>
        <w:tc>
          <w:tcPr>
            <w:tcW w:w="1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 Ensler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May 22, 2026</w:t>
            </w:r>
          </w:p>
        </w:tc>
        <w:tc>
          <w:tcPr>
            <w:tcW w:w="2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1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MOMENTUS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EQUITY INCENTIVE PLAN</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SECOND AMENDMENT TO THE MOMENTUS INC. 2021 EQUITY INCENTIVE PLAN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effective as of May 19, 2026. Capitalized terms used and not defined herein shall have the meanings ascribed to them in the Plan (as defined below), and all section references shall refer to the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84"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WHEREAS, Momentus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currently awards long-term compensation to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employees, and consultants under its 2021 Equity Incentive Plan, as amended by that certain First Amendment dated as of May 19, 2025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Plan reserves 60,260 shares of Class A common stock, on a split-adjusted basis, for issuance in connection with awards granted thereunder;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to amend the Plan to increase the number of shares of Class A common stock reserved for issuance under the Plan by 500,000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this Amendment requires the approval of the Company’s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Board has determined that it is in the best interests of the Company, subject to the approval of the Company’s stockholders at the Company’s 2026 Annual Meeting of Stockholders, to amend the Plan to increase the number of shares of Class A common stock reserved for issuance under the Plan by an additional 500,000 shares, from 60,260 shares to 560,260 shares, and to amend the Plan as set forth in this Amendment; and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WHEREAS, the Board has determined that it is in the best interests of the Company, subject to the approval of the Company’s stockholders at the Company’s 2026 Annual Meeting of Stockholders, to amend the Plan to increase the evergreen provision percentage by which the number of shares of our Class A common stock available for issuance under the Plan increases each year from 3.0% of the outstanding shares of Class A common stock on the last day of the immediately preceding fiscal year to 5.0% of the outstanding shares of Class A common stock the last day of the immediately preceding fiscal year, and to amend the Plan as set forth in this Amendment.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Plan shall be amended effective as of the date hereof as follows: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Paragraph 3(a) of the Plan is deleted in its entirety and replaced with the following:</w:t>
      </w:r>
    </w:p>
    <w:p>
      <w:pPr>
        <w:spacing w:after="0" w:line="225" w:lineRule="exact"/>
        <w:rPr>
          <w:sz w:val="20"/>
          <w:szCs w:val="20"/>
          <w:color w:val="auto"/>
        </w:rPr>
      </w:pPr>
    </w:p>
    <w:p>
      <w:pPr>
        <w:jc w:val="both"/>
        <w:ind w:firstLine="8"/>
        <w:spacing w:after="0" w:line="254"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Sections 3(b) and 15 of the Plan, the maximum aggregate number of Shares that may be issued under the Plan is will not exceed the sum of (i) 560,260 new Shares, plus (ii) the number of Shares subject to awards or issued under the Company’s Amended and Restated 2018 Stock Plan and Space Apprentices Enterprise Inc. 2018 Stock Plan (the “</w:t>
      </w:r>
      <w:r>
        <w:rPr>
          <w:rFonts w:ascii="Times New Roman" w:cs="Times New Roman" w:eastAsia="Times New Roman" w:hAnsi="Times New Roman"/>
          <w:sz w:val="18"/>
          <w:szCs w:val="18"/>
          <w:b w:val="1"/>
          <w:bCs w:val="1"/>
          <w:i w:val="1"/>
          <w:iCs w:val="1"/>
          <w:color w:val="auto"/>
        </w:rPr>
        <w:t>Existing Plans</w:t>
      </w:r>
      <w:r>
        <w:rPr>
          <w:rFonts w:ascii="Times New Roman" w:cs="Times New Roman" w:eastAsia="Times New Roman" w:hAnsi="Times New Roman"/>
          <w:sz w:val="18"/>
          <w:szCs w:val="18"/>
          <w:color w:val="auto"/>
        </w:rPr>
        <w:t>”) that otherwise would have been returned to the Existing Plans on or after the Effective Date on account of the expiration, cancellation, forfeiture or repurchase of awards granted thereunder. The Shares may be authorized, but unissued, or reacquired Common Stock. Notwithstanding the foregoing, subject to the provisions of Section 15 below, in no event shall the maximum aggregate number of Shares that may be issued under the Plan pursuant to Incentive Stock Options exceed the number set forth in this Section 3(a) plus, to the extent allowable under Section 422 of the Code and the regulations promulgated thereunder, any Shares that again become available for issuance pursuant to Sections 3(b) and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left="360"/>
        <w:spacing w:after="0"/>
        <w:rPr>
          <w:sz w:val="20"/>
          <w:szCs w:val="20"/>
          <w:color w:val="auto"/>
        </w:rPr>
      </w:pPr>
      <w:r>
        <w:rPr>
          <w:rFonts w:ascii="Times New Roman" w:cs="Times New Roman" w:eastAsia="Times New Roman" w:hAnsi="Times New Roman"/>
          <w:sz w:val="18"/>
          <w:szCs w:val="18"/>
          <w:color w:val="auto"/>
        </w:rPr>
        <w:t>2.   Paragraph 3(b) of the Plan is deleted in its entirety and replaced with the following:</w:t>
      </w:r>
    </w:p>
    <w:p>
      <w:pPr>
        <w:spacing w:after="0" w:line="225" w:lineRule="exact"/>
        <w:rPr>
          <w:sz w:val="20"/>
          <w:szCs w:val="20"/>
          <w:color w:val="auto"/>
        </w:rPr>
      </w:pPr>
    </w:p>
    <w:p>
      <w:pPr>
        <w:jc w:val="both"/>
        <w:ind w:firstLine="8"/>
        <w:spacing w:after="0" w:line="26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The number of Shares available for issuance under the Plan will be increased on the first day of each Fiscal Year beginning with the 2022 Fiscal Year and ending on (and including) the first day of the 2031 Fiscal Year, in each case, in an amount equal to the lessor of (i) five percent (5.0%) of the outstanding Shares on the last day of the immediately preceding Fiscal Year and (iii) such number of Shares determined by the Board.</w:t>
      </w:r>
    </w:p>
    <w:p>
      <w:pPr>
        <w:spacing w:after="0" w:line="180"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2.  Except as modified herein, all other terms and conditions of the Plan shall remain in full force and effect. In the event of a conflict between this Amendment and the Plan, this Amendment shall control.</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Amendment to the Plan, to be effective as of the date first written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Lon Ensler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Lon Ensler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2026-05-22T05:10:23Z</dcterms:created>
  <dcterms:modified xsi:type="dcterms:W3CDTF">2026-05-22T05:10:23Z</dcterms:modified>
</cp:coreProperties>
</file>