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11,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Momentus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001-39128</w:t>
            </w:r>
          </w:p>
        </w:tc>
        <w:tc>
          <w:tcPr>
            <w:tcW w:w="3240" w:type="dxa"/>
            <w:vAlign w:val="bottom"/>
          </w:tcPr>
          <w:p>
            <w:pPr>
              <w:jc w:val="right"/>
              <w:ind w:right="790"/>
              <w:spacing w:after="0"/>
              <w:rPr>
                <w:sz w:val="20"/>
                <w:szCs w:val="20"/>
                <w:color w:val="auto"/>
              </w:rPr>
            </w:pPr>
            <w:r>
              <w:rPr>
                <w:rFonts w:ascii="Arial" w:cs="Arial" w:eastAsia="Arial" w:hAnsi="Arial"/>
                <w:sz w:val="18"/>
                <w:szCs w:val="18"/>
                <w:b w:val="1"/>
                <w:bCs w:val="1"/>
                <w:color w:val="auto"/>
              </w:rPr>
              <w:t>84-1905538</w:t>
            </w:r>
          </w:p>
        </w:tc>
        <w:tc>
          <w:tcPr>
            <w:tcW w:w="0" w:type="dxa"/>
            <w:vAlign w:val="bottom"/>
          </w:tcPr>
          <w:p>
            <w:pPr>
              <w:spacing w:after="0"/>
              <w:rPr>
                <w:sz w:val="1"/>
                <w:szCs w:val="1"/>
                <w:color w:val="auto"/>
              </w:rPr>
            </w:pPr>
          </w:p>
        </w:tc>
      </w:tr>
      <w:tr>
        <w:trPr>
          <w:trHeight w:val="216"/>
        </w:trPr>
        <w:tc>
          <w:tcPr>
            <w:tcW w:w="374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tcPr>
          <w:p>
            <w:pPr>
              <w:jc w:val="center"/>
              <w:ind w:left="5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2"/>
              </w:rPr>
              <w:t>organization)</w:t>
            </w:r>
          </w:p>
        </w:tc>
        <w:tc>
          <w:tcPr>
            <w:tcW w:w="30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3901 N. First Street</w:t>
            </w:r>
          </w:p>
        </w:tc>
        <w:tc>
          <w:tcPr>
            <w:tcW w:w="3060" w:type="dxa"/>
            <w:vAlign w:val="bottom"/>
          </w:tcPr>
          <w:p>
            <w:pPr>
              <w:spacing w:after="0"/>
              <w:rPr>
                <w:sz w:val="24"/>
                <w:szCs w:val="24"/>
                <w:color w:val="auto"/>
              </w:rPr>
            </w:pPr>
          </w:p>
        </w:tc>
        <w:tc>
          <w:tcPr>
            <w:tcW w:w="324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95134</w:t>
            </w:r>
          </w:p>
        </w:tc>
        <w:tc>
          <w:tcPr>
            <w:tcW w:w="0" w:type="dxa"/>
            <w:vAlign w:val="bottom"/>
          </w:tcPr>
          <w:p>
            <w:pPr>
              <w:spacing w:after="0"/>
              <w:rPr>
                <w:sz w:val="1"/>
                <w:szCs w:val="1"/>
                <w:color w:val="auto"/>
              </w:rPr>
            </w:pPr>
          </w:p>
        </w:tc>
      </w:tr>
      <w:tr>
        <w:trPr>
          <w:trHeight w:val="126"/>
        </w:trPr>
        <w:tc>
          <w:tcPr>
            <w:tcW w:w="374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w w:val="89"/>
              </w:rPr>
              <w:t>San Jose, California</w:t>
            </w:r>
          </w:p>
        </w:tc>
        <w:tc>
          <w:tcPr>
            <w:tcW w:w="306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74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4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spacing w:after="0"/>
              <w:rPr>
                <w:sz w:val="20"/>
                <w:szCs w:val="20"/>
                <w:color w:val="auto"/>
              </w:rPr>
            </w:pPr>
          </w:p>
        </w:tc>
        <w:tc>
          <w:tcPr>
            <w:tcW w:w="3240" w:type="dxa"/>
            <w:vAlign w:val="bottom"/>
          </w:tcPr>
          <w:p>
            <w:pPr>
              <w:jc w:val="center"/>
              <w:ind w:left="53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564-7820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80" w:hanging="32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80" w:hanging="32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2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0" w:hanging="32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266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r>
      <w:tr>
        <w:trPr>
          <w:trHeight w:val="223"/>
        </w:trPr>
        <w:tc>
          <w:tcPr>
            <w:tcW w:w="412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Title of each class</w:t>
            </w:r>
          </w:p>
        </w:tc>
        <w:tc>
          <w:tcPr>
            <w:tcW w:w="26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2"/>
              </w:rPr>
              <w:t>Trading Symbol(s)</w:t>
            </w:r>
          </w:p>
        </w:tc>
        <w:tc>
          <w:tcPr>
            <w:tcW w:w="448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9"/>
              </w:rPr>
              <w:t>Name of each exchange on which registered</w:t>
            </w:r>
          </w:p>
        </w:tc>
      </w:tr>
      <w:tr>
        <w:trPr>
          <w:trHeight w:val="207"/>
        </w:trPr>
        <w:tc>
          <w:tcPr>
            <w:tcW w:w="412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Class A common stock</w:t>
            </w:r>
          </w:p>
        </w:tc>
        <w:tc>
          <w:tcPr>
            <w:tcW w:w="26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7"/>
              </w:rPr>
              <w:t>MNTS</w:t>
            </w:r>
          </w:p>
        </w:tc>
        <w:tc>
          <w:tcPr>
            <w:tcW w:w="448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1"/>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11, 2023, Momentus Inc. (the “Company”) issued a press release announcing the closing of a previously announced registered direct issuance and sale of (i) an aggregate of 210,000 shares of the Company’s Class A common stock, par value $0.00001 per share (the “Class A Stock”), at a purchase price of $7.43 per share, (ii) in lieu of Class A Stock, at the election of the Investor, pre-funded warrants to purchase 462,948 shares of Class A Stock, at a purchase price of $7.43 per Pre-Funded Warrant less the exercise price per Pre-Funded Warrant, (iii) Series A warrants to purchase 672,948 shares of Class A Stock, and (iv) Series B warrants to purchase 672,948 shares of Class A Stock. In connection with the Offering, the Company also amended the terms of certain warrants to purchase 231,321 shares of Class A Stock in order to modify the exercise price and expiration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to this Form 8-K.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information and the information contained in Exhibit 99.1 is furnished and shall not be deemed “filed” for purposes of Section 18 of the Exchange Act, or otherwise subject to the liabilities of that section, and shall not be deemed to be incorporated by reference in any filing under the Securities Act of 1933, as amended, or the Exchange Act, except as may be expressly set forth by specific reference in any such filing, regardless of any general incorporation language in the filing.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have, and expressly disclaims, any obligation to release publicly any updates or any changes in its expectations or any change in events, conditions, or circumstances on which any forward-looking statement is based.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40" w:type="dxa"/>
            <w:vAlign w:val="bottom"/>
          </w:tcPr>
          <w:p>
            <w:pPr>
              <w:spacing w:after="0"/>
              <w:rPr>
                <w:sz w:val="20"/>
                <w:szCs w:val="20"/>
                <w:color w:val="auto"/>
              </w:rPr>
            </w:pPr>
          </w:p>
        </w:tc>
      </w:tr>
      <w:tr>
        <w:trPr>
          <w:trHeight w:val="41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20"/>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340"/>
              <w:spacing w:after="0"/>
              <w:rPr>
                <w:sz w:val="20"/>
                <w:szCs w:val="20"/>
                <w:color w:val="auto"/>
              </w:rPr>
            </w:pPr>
            <w:r>
              <w:rPr>
                <w:rFonts w:ascii="Arial" w:cs="Arial" w:eastAsia="Arial" w:hAnsi="Arial"/>
                <w:sz w:val="18"/>
                <w:szCs w:val="18"/>
                <w:b w:val="1"/>
                <w:bCs w:val="1"/>
                <w:color w:val="auto"/>
              </w:rPr>
              <w:t>Exhibit Description</w:t>
            </w: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40" w:type="dxa"/>
            <w:vAlign w:val="bottom"/>
          </w:tcPr>
          <w:p>
            <w:pPr>
              <w:ind w:left="340"/>
              <w:spacing w:after="0" w:line="190" w:lineRule="exact"/>
              <w:rPr>
                <w:sz w:val="20"/>
                <w:szCs w:val="20"/>
                <w:color w:val="auto"/>
              </w:rPr>
            </w:pPr>
            <w:r>
              <w:rPr>
                <w:rFonts w:ascii="Arial" w:cs="Arial" w:eastAsia="Arial" w:hAnsi="Arial"/>
                <w:sz w:val="18"/>
                <w:szCs w:val="18"/>
                <w:color w:val="auto"/>
              </w:rPr>
              <w:t>Press Release, dated September 11, 2023, issued by Momentus Inc.</w:t>
            </w:r>
          </w:p>
        </w:tc>
      </w:tr>
      <w:tr>
        <w:trPr>
          <w:trHeight w:val="237"/>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r>
        <w:trPr>
          <w:trHeight w:val="398"/>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Ney</w:t>
            </w:r>
          </w:p>
        </w:tc>
      </w:tr>
      <w:tr>
        <w:trPr>
          <w:trHeight w:val="202"/>
        </w:trPr>
        <w:tc>
          <w:tcPr>
            <w:tcW w:w="9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Paul Ney</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Dated:</w:t>
            </w:r>
          </w:p>
        </w:tc>
        <w:tc>
          <w:tcPr>
            <w:tcW w:w="3640" w:type="dxa"/>
            <w:vAlign w:val="bottom"/>
          </w:tcPr>
          <w:p>
            <w:pPr>
              <w:ind w:left="440"/>
              <w:spacing w:after="0"/>
              <w:rPr>
                <w:sz w:val="20"/>
                <w:szCs w:val="20"/>
                <w:color w:val="auto"/>
              </w:rPr>
            </w:pPr>
            <w:r>
              <w:rPr>
                <w:rFonts w:ascii="Arial" w:cs="Arial" w:eastAsia="Arial" w:hAnsi="Arial"/>
                <w:sz w:val="18"/>
                <w:szCs w:val="18"/>
                <w:color w:val="auto"/>
              </w:rPr>
              <w:t>September 11, 2023</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533"/>
        </w:trPr>
        <w:tc>
          <w:tcPr>
            <w:tcW w:w="9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Momentus Announces Closing of $5.0 Million Registered Direct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Priced At-the-Market Under Nasdaq Rules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SAN JOSE, Calif., September 11, 2023–Momentus Inc. </w:t>
      </w:r>
      <w:r>
        <w:rPr>
          <w:rFonts w:ascii="Arial" w:cs="Arial" w:eastAsia="Arial" w:hAnsi="Arial"/>
          <w:sz w:val="16"/>
          <w:szCs w:val="16"/>
          <w:color w:val="1E1E1E"/>
        </w:rPr>
        <w:t>(NASDAQ: MNTS) (“Momentus” or the “Company”), a</w:t>
      </w:r>
      <w:r>
        <w:rPr>
          <w:rFonts w:ascii="Arial" w:cs="Arial" w:eastAsia="Arial" w:hAnsi="Arial"/>
          <w:sz w:val="16"/>
          <w:szCs w:val="16"/>
          <w:color w:val="auto"/>
        </w:rPr>
        <w:t xml:space="preserve"> U.S. </w:t>
      </w:r>
      <w:r>
        <w:rPr>
          <w:rFonts w:ascii="Arial" w:cs="Arial" w:eastAsia="Arial" w:hAnsi="Arial"/>
          <w:sz w:val="16"/>
          <w:szCs w:val="16"/>
          <w:color w:val="1E1E1E"/>
        </w:rPr>
        <w:t>commercial space company that</w:t>
      </w:r>
      <w:r>
        <w:rPr>
          <w:rFonts w:ascii="Arial" w:cs="Arial" w:eastAsia="Arial" w:hAnsi="Arial"/>
          <w:sz w:val="16"/>
          <w:szCs w:val="16"/>
          <w:color w:val="auto"/>
        </w:rPr>
        <w:t xml:space="preserve"> </w:t>
      </w:r>
      <w:r>
        <w:rPr>
          <w:rFonts w:ascii="Arial" w:cs="Arial" w:eastAsia="Arial" w:hAnsi="Arial"/>
          <w:sz w:val="16"/>
          <w:szCs w:val="16"/>
          <w:color w:val="1E1E1E"/>
        </w:rPr>
        <w:t xml:space="preserve">offers satellite buses, transportation, and other in-space infrastructure services, </w:t>
      </w:r>
      <w:r>
        <w:rPr>
          <w:rFonts w:ascii="Arial" w:cs="Arial" w:eastAsia="Arial" w:hAnsi="Arial"/>
          <w:sz w:val="16"/>
          <w:szCs w:val="16"/>
          <w:color w:val="000000"/>
        </w:rPr>
        <w:t>today announced that it has closed its previously announced registered direct</w:t>
      </w:r>
      <w:r>
        <w:rPr>
          <w:rFonts w:ascii="Arial" w:cs="Arial" w:eastAsia="Arial" w:hAnsi="Arial"/>
          <w:sz w:val="16"/>
          <w:szCs w:val="16"/>
          <w:color w:val="1E1E1E"/>
        </w:rPr>
        <w:t xml:space="preserve"> </w:t>
      </w:r>
      <w:r>
        <w:rPr>
          <w:rFonts w:ascii="Arial" w:cs="Arial" w:eastAsia="Arial" w:hAnsi="Arial"/>
          <w:sz w:val="16"/>
          <w:szCs w:val="16"/>
          <w:color w:val="000000"/>
        </w:rPr>
        <w:t>offering priced at-the-market under Nasdaq rules with a single institutional investor for the purchase and sale of 672,948 shares of common stock (or common stock equivalents in lieu thereof) at a purchase price of $7.43 per share, resulting in total gross proceeds of approximately $5.0 million before deducting placement agent commissions and other estimated offering expenses. The Company further agreed to issue to the investor Series A warrants to purchase up to an aggregate of 672,948 shares of common stock and Series B warrants to purchase up to an aggregate of 672,948 shares of common stock. The Series A and Series B warrants have an exercise price of $7.18, are exercisable immediately and expire after five years and one year,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A.G.P./Alliance Global Partners acted as the sole placement agent for the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offering is being made pursuant to an effective shelf registration statement on Form S-3 (File No 333-267230) previously filed with the U.S. Securities and Exchange Commission (the “SEC”). A final prospectus supplement describing the terms of the proposed offering has been filed with the SEC and is available on the SEC's website located at http://www.sec.gov. Electronic copies of the prospectus supplement may be obtained, when available, from A.G.P./Alliance Global Partners, 590 Madison Avenue, 28th Floor, New York, NY 10022, or by telephone at (212) 624-2060, or by email at prospectus@allianceg.com.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agreed that certain existing warrants to purchase up to an aggregate of 231,321 shares at an exercise price of $57.50 per share and a termination date of August 27, 2028 have been amended, so that the amended warrants will have a reduced exercise price of $7.18 per share and a termination date of September 11, 2028.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Momentus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Momentus </w:t>
      </w:r>
      <w:r>
        <w:rPr>
          <w:rFonts w:ascii="Arial" w:cs="Arial" w:eastAsia="Arial" w:hAnsi="Arial"/>
          <w:sz w:val="18"/>
          <w:szCs w:val="18"/>
          <w:color w:val="1E1E1E"/>
        </w:rPr>
        <w:t>is a</w:t>
      </w:r>
      <w:r>
        <w:rPr>
          <w:rFonts w:ascii="Arial" w:cs="Arial" w:eastAsia="Arial" w:hAnsi="Arial"/>
          <w:sz w:val="18"/>
          <w:szCs w:val="18"/>
          <w:color w:val="auto"/>
        </w:rPr>
        <w:t xml:space="preserve"> U.S. </w:t>
      </w:r>
      <w:r>
        <w:rPr>
          <w:rFonts w:ascii="Arial" w:cs="Arial" w:eastAsia="Arial" w:hAnsi="Arial"/>
          <w:sz w:val="18"/>
          <w:szCs w:val="18"/>
          <w:color w:val="1E1E1E"/>
        </w:rPr>
        <w:t>commercial space company that offers commercial satellite buses and in-space infrastructure services including in-space</w:t>
      </w:r>
      <w:r>
        <w:rPr>
          <w:rFonts w:ascii="Arial" w:cs="Arial" w:eastAsia="Arial" w:hAnsi="Arial"/>
          <w:sz w:val="18"/>
          <w:szCs w:val="18"/>
          <w:color w:val="auto"/>
        </w:rPr>
        <w:t xml:space="preserve"> </w:t>
      </w:r>
      <w:r>
        <w:rPr>
          <w:rFonts w:ascii="Arial" w:cs="Arial" w:eastAsia="Arial" w:hAnsi="Arial"/>
          <w:sz w:val="18"/>
          <w:szCs w:val="18"/>
          <w:color w:val="1E1E1E"/>
        </w:rPr>
        <w:t>transportation, hosted payloads, and other in-orbit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certain statements which may constitute “forward-looking statements” for purposes of the federal securities laws. Forward-looking statements include, but are not limited to, statements regarding the expected closing of the offering and fulfillment of customary closing conditions, Momentus or its management team’s expectations, hopes, beliefs, intentions or strategies regarding the future, projections, forecasts or other characterizations of future events or circumstances, including any underlying assumptions, and are not guarantees of future performance. Because forward-looking statements relate to the future, they are subject to inherent uncertainties, risks and changes in circumstances that are difficult to predict and many of which are outside of Momentus’ control. Many factors could cause actual future events to differ materially from the forward-looking statements in this press release, including but not limited to risks and uncertainties included under the heading “Risk Factors” in the Annual Report on Form 10-K filed by the Company on March 8, 2023, as such factors may be updated from time to time in our other filings with the Securities and Exchange Commission (the “SEC”), accessible on the SEC’s website at www.sec.gov and the Investor Relations section of our website at investors.momentus.space.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View source version on businesswire.com: https://www.businesswire.com/news/home/20230823001461/en/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Momentus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investors@momentus.space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press@momentus.space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2023-09-12T05:24:45Z</dcterms:created>
  <dcterms:modified xsi:type="dcterms:W3CDTF">2023-09-12T05:24:45Z</dcterms:modified>
</cp:coreProperties>
</file>