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right"/>
        <w:ind w:right="447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3051F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0" w:lineRule="exact"/>
        <w:rPr>
          <w:sz w:val="20"/>
          <w:szCs w:val="20"/>
          <w:color w:val="auto"/>
        </w:rPr>
      </w:pPr>
    </w:p>
    <w:p>
      <w:pPr>
        <w:ind w:left="620" w:hanging="594"/>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77" w:lineRule="exact"/>
        <w:rPr>
          <w:sz w:val="20"/>
          <w:szCs w:val="20"/>
          <w:color w:val="auto"/>
        </w:rPr>
      </w:pPr>
    </w:p>
    <w:p>
      <w:pPr>
        <w:ind w:left="500" w:right="1480" w:hanging="474"/>
        <w:spacing w:after="0" w:line="391" w:lineRule="auto"/>
        <w:tabs>
          <w:tab w:leader="none" w:pos="62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001-39128</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36"/>
          <w:szCs w:val="36"/>
          <w:b w:val="1"/>
          <w:bCs w:val="1"/>
          <w:color w:val="auto"/>
        </w:rPr>
        <w:t>Momentus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9" w:lineRule="exact"/>
        <w:rPr>
          <w:sz w:val="20"/>
          <w:szCs w:val="20"/>
          <w:color w:val="auto"/>
        </w:rPr>
      </w:pPr>
    </w:p>
    <w:p>
      <w:pPr>
        <w:ind w:left="2460"/>
        <w:spacing w:after="0"/>
        <w:tabs>
          <w:tab w:leader="none" w:pos="79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84-1905538</w:t>
      </w:r>
    </w:p>
    <w:p>
      <w:pPr>
        <w:spacing w:after="0" w:line="54" w:lineRule="exact"/>
        <w:rPr>
          <w:sz w:val="20"/>
          <w:szCs w:val="20"/>
          <w:color w:val="auto"/>
        </w:rPr>
      </w:pPr>
    </w:p>
    <w:p>
      <w:pPr>
        <w:ind w:left="660"/>
        <w:spacing w:after="0"/>
        <w:tabs>
          <w:tab w:leader="none" w:pos="710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ectPr>
          <w:pgSz w:w="11900" w:h="16838" w:orient="portrait"/>
          <w:cols w:equalWidth="0" w:num="1">
            <w:col w:w="11260"/>
          </w:cols>
          <w:pgMar w:left="320" w:top="125" w:right="319" w:bottom="1440" w:gutter="0" w:footer="0" w:header="0"/>
        </w:sectPr>
      </w:pPr>
    </w:p>
    <w:p>
      <w:pPr>
        <w:spacing w:after="0" w:line="10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3901 N. First Street</w:t>
      </w:r>
    </w:p>
    <w:p>
      <w:pPr>
        <w:spacing w:after="0" w:line="1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San Jose, California</w:t>
      </w:r>
    </w:p>
    <w:p>
      <w:pPr>
        <w:spacing w:after="0" w:line="4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(Address of Principal Executive Offices)</w:t>
      </w:r>
    </w:p>
    <w:p>
      <w:pPr>
        <w:spacing w:after="0" w:line="316" w:lineRule="exact"/>
        <w:rPr>
          <w:sz w:val="20"/>
          <w:szCs w:val="20"/>
          <w:color w:val="auto"/>
        </w:rPr>
      </w:pPr>
    </w:p>
    <w:p>
      <w:pPr>
        <w:jc w:val="center"/>
        <w:ind w:left="3780"/>
        <w:spacing w:after="0"/>
        <w:rPr>
          <w:sz w:val="20"/>
          <w:szCs w:val="20"/>
          <w:color w:val="auto"/>
        </w:rPr>
      </w:pPr>
      <w:r>
        <w:rPr>
          <w:rFonts w:ascii="Arial" w:cs="Arial" w:eastAsia="Arial" w:hAnsi="Arial"/>
          <w:sz w:val="18"/>
          <w:szCs w:val="18"/>
          <w:b w:val="1"/>
          <w:bCs w:val="1"/>
          <w:color w:val="auto"/>
        </w:rPr>
        <w:t>(650) 564-7820</w:t>
      </w:r>
    </w:p>
    <w:p>
      <w:pPr>
        <w:spacing w:after="0" w:line="27" w:lineRule="exact"/>
        <w:rPr>
          <w:sz w:val="20"/>
          <w:szCs w:val="20"/>
          <w:color w:val="auto"/>
        </w:rPr>
      </w:pPr>
    </w:p>
    <w:p>
      <w:pPr>
        <w:jc w:val="center"/>
        <w:ind w:left="3780"/>
        <w:spacing w:after="0"/>
        <w:rPr>
          <w:sz w:val="20"/>
          <w:szCs w:val="20"/>
          <w:color w:val="auto"/>
        </w:rPr>
      </w:pPr>
      <w:r>
        <w:rPr>
          <w:rFonts w:ascii="Arial" w:cs="Arial" w:eastAsia="Arial" w:hAnsi="Arial"/>
          <w:sz w:val="16"/>
          <w:szCs w:val="16"/>
          <w:color w:val="auto"/>
        </w:rPr>
        <w:t>Registrant's telephone number, including area code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95134</w:t>
      </w:r>
    </w:p>
    <w:p>
      <w:pPr>
        <w:spacing w:after="0" w:line="162" w:lineRule="exact"/>
        <w:rPr>
          <w:sz w:val="20"/>
          <w:szCs w:val="20"/>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1410" w:lineRule="exact"/>
        <w:rPr>
          <w:sz w:val="20"/>
          <w:szCs w:val="20"/>
          <w:color w:val="auto"/>
        </w:rPr>
      </w:pPr>
    </w:p>
    <w:p>
      <w:pPr>
        <w:sectPr>
          <w:pgSz w:w="11900" w:h="16838" w:orient="portrait"/>
          <w:cols w:equalWidth="0" w:num="2">
            <w:col w:w="7460" w:space="580"/>
            <w:col w:w="3220"/>
          </w:cols>
          <w:pgMar w:left="320" w:top="125" w:right="319" w:bottom="1440" w:gutter="0" w:footer="0" w:header="0"/>
          <w:type w:val="continuous"/>
        </w:sectPr>
      </w:pP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MNTS</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50"/>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MNTSW</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o</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800"/>
              <w:spacing w:after="0"/>
              <w:rPr>
                <w:sz w:val="20"/>
                <w:szCs w:val="20"/>
                <w:color w:val="auto"/>
              </w:rPr>
            </w:pPr>
            <w:r>
              <w:rPr>
                <w:rFonts w:ascii="Arial" w:cs="Arial" w:eastAsia="Arial" w:hAnsi="Arial"/>
                <w:sz w:val="18"/>
                <w:szCs w:val="18"/>
                <w:color w:val="auto"/>
              </w:rPr>
              <w:t>o</w:t>
            </w:r>
          </w:p>
        </w:tc>
        <w:tc>
          <w:tcPr>
            <w:tcW w:w="3760" w:type="dxa"/>
            <w:vAlign w:val="bottom"/>
          </w:tcPr>
          <w:p>
            <w:pPr>
              <w:ind w:left="1160"/>
              <w:spacing w:after="0"/>
              <w:rPr>
                <w:sz w:val="20"/>
                <w:szCs w:val="20"/>
                <w:color w:val="auto"/>
              </w:rPr>
            </w:pPr>
            <w:r>
              <w:rPr>
                <w:rFonts w:ascii="Arial" w:cs="Arial" w:eastAsia="Arial" w:hAnsi="Arial"/>
                <w:sz w:val="18"/>
                <w:szCs w:val="18"/>
                <w:color w:val="auto"/>
              </w:rPr>
              <w:t>Accelerated filer</w:t>
            </w:r>
          </w:p>
        </w:tc>
        <w:tc>
          <w:tcPr>
            <w:tcW w:w="3000" w:type="dxa"/>
            <w:vAlign w:val="bottom"/>
          </w:tcPr>
          <w:p>
            <w:pPr>
              <w:ind w:left="640"/>
              <w:spacing w:after="0"/>
              <w:rPr>
                <w:sz w:val="20"/>
                <w:szCs w:val="20"/>
                <w:color w:val="auto"/>
              </w:rPr>
            </w:pPr>
            <w:r>
              <w:rPr>
                <w:rFonts w:ascii="Arial" w:cs="Arial" w:eastAsia="Arial" w:hAnsi="Arial"/>
                <w:sz w:val="18"/>
                <w:szCs w:val="18"/>
                <w:color w:val="auto"/>
              </w:rPr>
              <w:t>o</w:t>
            </w:r>
          </w:p>
        </w:tc>
      </w:tr>
      <w:tr>
        <w:trPr>
          <w:trHeight w:val="256"/>
        </w:trPr>
        <w:tc>
          <w:tcPr>
            <w:tcW w:w="246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800"/>
              <w:spacing w:after="0"/>
              <w:rPr>
                <w:sz w:val="20"/>
                <w:szCs w:val="20"/>
                <w:color w:val="auto"/>
              </w:rPr>
            </w:pPr>
            <w:r>
              <w:rPr>
                <w:rFonts w:ascii="Arial" w:cs="Arial" w:eastAsia="Arial" w:hAnsi="Arial"/>
                <w:sz w:val="18"/>
                <w:szCs w:val="18"/>
                <w:color w:val="auto"/>
              </w:rPr>
              <w:t>x</w:t>
            </w:r>
          </w:p>
        </w:tc>
        <w:tc>
          <w:tcPr>
            <w:tcW w:w="3760" w:type="dxa"/>
            <w:vAlign w:val="bottom"/>
          </w:tcPr>
          <w:p>
            <w:pPr>
              <w:ind w:left="1160"/>
              <w:spacing w:after="0"/>
              <w:rPr>
                <w:sz w:val="20"/>
                <w:szCs w:val="20"/>
                <w:color w:val="auto"/>
              </w:rPr>
            </w:pPr>
            <w:r>
              <w:rPr>
                <w:rFonts w:ascii="Arial" w:cs="Arial" w:eastAsia="Arial" w:hAnsi="Arial"/>
                <w:sz w:val="18"/>
                <w:szCs w:val="18"/>
                <w:color w:val="auto"/>
              </w:rPr>
              <w:t>Smaller reporting company</w:t>
            </w:r>
          </w:p>
        </w:tc>
        <w:tc>
          <w:tcPr>
            <w:tcW w:w="3000" w:type="dxa"/>
            <w:vAlign w:val="bottom"/>
          </w:tcPr>
          <w:p>
            <w:pPr>
              <w:ind w:left="640"/>
              <w:spacing w:after="0"/>
              <w:rPr>
                <w:sz w:val="20"/>
                <w:szCs w:val="20"/>
                <w:color w:val="auto"/>
              </w:rPr>
            </w:pPr>
            <w:r>
              <w:rPr>
                <w:rFonts w:ascii="Arial" w:cs="Arial" w:eastAsia="Arial" w:hAnsi="Arial"/>
                <w:sz w:val="18"/>
                <w:szCs w:val="18"/>
                <w:color w:val="auto"/>
              </w:rPr>
              <w:t>x</w:t>
            </w:r>
          </w:p>
        </w:tc>
      </w:tr>
      <w:tr>
        <w:trPr>
          <w:trHeight w:val="256"/>
        </w:trPr>
        <w:tc>
          <w:tcPr>
            <w:tcW w:w="24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760" w:type="dxa"/>
            <w:vAlign w:val="bottom"/>
          </w:tcPr>
          <w:p>
            <w:pPr>
              <w:ind w:left="1160"/>
              <w:spacing w:after="0"/>
              <w:rPr>
                <w:sz w:val="20"/>
                <w:szCs w:val="20"/>
                <w:color w:val="auto"/>
              </w:rPr>
            </w:pPr>
            <w:r>
              <w:rPr>
                <w:rFonts w:ascii="Arial" w:cs="Arial" w:eastAsia="Arial" w:hAnsi="Arial"/>
                <w:sz w:val="18"/>
                <w:szCs w:val="18"/>
                <w:color w:val="auto"/>
              </w:rPr>
              <w:t>Emerging growth company</w:t>
            </w:r>
          </w:p>
        </w:tc>
        <w:tc>
          <w:tcPr>
            <w:tcW w:w="3000" w:type="dxa"/>
            <w:vAlign w:val="bottom"/>
          </w:tcPr>
          <w:p>
            <w:pPr>
              <w:ind w:left="640"/>
              <w:spacing w:after="0"/>
              <w:rPr>
                <w:sz w:val="20"/>
                <w:szCs w:val="20"/>
                <w:color w:val="auto"/>
              </w:rPr>
            </w:pPr>
            <w:r>
              <w:rPr>
                <w:rFonts w:ascii="Arial" w:cs="Arial" w:eastAsia="Arial" w:hAnsi="Arial"/>
                <w:sz w:val="18"/>
                <w:szCs w:val="18"/>
                <w:color w:val="auto"/>
              </w:rPr>
              <w:t>x</w:t>
            </w:r>
          </w:p>
        </w:tc>
      </w:tr>
      <w:tr>
        <w:trPr>
          <w:trHeight w:val="743"/>
        </w:trPr>
        <w:tc>
          <w:tcPr>
            <w:tcW w:w="2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60" w:type="dxa"/>
            <w:vAlign w:val="bottom"/>
          </w:tcPr>
          <w:p>
            <w:pPr>
              <w:jc w:val="right"/>
              <w:ind w:right="2490"/>
              <w:spacing w:after="0"/>
              <w:rPr>
                <w:sz w:val="20"/>
                <w:szCs w:val="20"/>
                <w:color w:val="auto"/>
              </w:rPr>
            </w:pPr>
            <w:r>
              <w:rPr>
                <w:rFonts w:ascii="Arial" w:cs="Arial" w:eastAsia="Arial" w:hAnsi="Arial"/>
                <w:sz w:val="18"/>
                <w:szCs w:val="18"/>
                <w:color w:val="auto"/>
              </w:rPr>
              <w:t>1</w:t>
            </w:r>
          </w:p>
        </w:tc>
        <w:tc>
          <w:tcPr>
            <w:tcW w:w="3000" w:type="dxa"/>
            <w:vAlign w:val="bottom"/>
          </w:tcPr>
          <w:p>
            <w:pPr>
              <w:spacing w:after="0"/>
              <w:rPr>
                <w:sz w:val="24"/>
                <w:szCs w:val="24"/>
                <w:color w:val="auto"/>
              </w:rPr>
            </w:pPr>
          </w:p>
        </w:tc>
      </w:tr>
      <w:tr>
        <w:trPr>
          <w:trHeight w:val="115"/>
        </w:trPr>
        <w:tc>
          <w:tcPr>
            <w:tcW w:w="24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rPr>
          <w:sz w:val="20"/>
          <w:szCs w:val="20"/>
          <w:color w:val="auto"/>
        </w:rPr>
      </w:pPr>
      <w:r>
        <w:rPr>
          <w:rFonts w:ascii="Arial" w:cs="Arial" w:eastAsia="Arial" w:hAnsi="Arial"/>
          <w:sz w:val="18"/>
          <w:szCs w:val="18"/>
          <w:color w:val="auto"/>
        </w:rPr>
        <w:t>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outstanding 97,866,756 shares of common stock as of August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Amendment No. 1 on Form 10-Q/A (“Form 10-Q/A”) of Momentus Inc. amends the Quarterly Report on Form 10-Q for the quarter ended June 30, 2023, as originally filed with the Securities and Exchange Commission on August 14, 2023 (the “Original Filing”). As a result of a typographical error, the Section 906 Certifications attached as Exhibits 32.1 and 32.2 to the Original Filing referenced the incorrect quarterly period. This Form 10-Q/A is being filed solely to include revised Section 906 Certifications that reference the correct quarterly period.</w:t>
      </w:r>
    </w:p>
    <w:p>
      <w:pPr>
        <w:spacing w:after="0" w:line="2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Except for the revisions to the Section 906 Certifications specified in this Explanatory Note, this Form 10-Q/A does not amend the Original Filing in any way and does not modify or otherwise update any disclosures contained in the Original Filing.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3051F2"/>
        </w:rPr>
        <w:t>Tables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Page</w:t>
            </w:r>
          </w:p>
        </w:tc>
      </w:tr>
      <w:tr>
        <w:trPr>
          <w:trHeight w:val="223"/>
        </w:trPr>
        <w:tc>
          <w:tcPr>
            <w:tcW w:w="10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 I - Financial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30"/>
        </w:trPr>
        <w:tc>
          <w:tcPr>
            <w:tcW w:w="10320" w:type="dxa"/>
            <w:vAlign w:val="bottom"/>
          </w:tcPr>
          <w:p>
            <w:pPr>
              <w:ind w:left="240"/>
              <w:spacing w:after="0"/>
              <w:rPr>
                <w:sz w:val="20"/>
                <w:szCs w:val="20"/>
                <w:color w:val="auto"/>
              </w:rPr>
            </w:pPr>
            <w:r>
              <w:rPr>
                <w:rFonts w:ascii="Arial" w:cs="Arial" w:eastAsia="Arial" w:hAnsi="Arial"/>
                <w:sz w:val="18"/>
                <w:szCs w:val="18"/>
                <w:color w:val="auto"/>
              </w:rPr>
              <w:t>Item 1. Unaudited Condensed Consolidated Financial Statements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29"/>
        </w:trPr>
        <w:tc>
          <w:tcPr>
            <w:tcW w:w="10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Condensed Consolidated Balance Sheets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30"/>
        </w:trPr>
        <w:tc>
          <w:tcPr>
            <w:tcW w:w="10320" w:type="dxa"/>
            <w:vAlign w:val="bottom"/>
          </w:tcPr>
          <w:p>
            <w:pPr>
              <w:ind w:left="360"/>
              <w:spacing w:after="0"/>
              <w:rPr>
                <w:sz w:val="20"/>
                <w:szCs w:val="20"/>
                <w:color w:val="auto"/>
              </w:rPr>
            </w:pPr>
            <w:r>
              <w:rPr>
                <w:rFonts w:ascii="Arial" w:cs="Arial" w:eastAsia="Arial" w:hAnsi="Arial"/>
                <w:sz w:val="18"/>
                <w:szCs w:val="18"/>
                <w:color w:val="auto"/>
              </w:rPr>
              <w:t>Condensed Consolidated Statements of Operations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29"/>
        </w:trPr>
        <w:tc>
          <w:tcPr>
            <w:tcW w:w="10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Condensed Consolidated Statements of Stockholders’ Equity</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29"/>
        </w:trPr>
        <w:tc>
          <w:tcPr>
            <w:tcW w:w="10320" w:type="dxa"/>
            <w:vAlign w:val="bottom"/>
          </w:tcPr>
          <w:p>
            <w:pPr>
              <w:ind w:left="360"/>
              <w:spacing w:after="0"/>
              <w:rPr>
                <w:sz w:val="20"/>
                <w:szCs w:val="20"/>
                <w:color w:val="auto"/>
              </w:rPr>
            </w:pPr>
            <w:r>
              <w:rPr>
                <w:rFonts w:ascii="Arial" w:cs="Arial" w:eastAsia="Arial" w:hAnsi="Arial"/>
                <w:sz w:val="18"/>
                <w:szCs w:val="18"/>
                <w:color w:val="auto"/>
              </w:rPr>
              <w:t>Condensed Consolidated Statements of Cash Flows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30"/>
        </w:trPr>
        <w:tc>
          <w:tcPr>
            <w:tcW w:w="10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to the Condensed Consolidated Financial Statements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10320" w:type="dxa"/>
            <w:vAlign w:val="bottom"/>
          </w:tcPr>
          <w:p>
            <w:pPr>
              <w:ind w:left="24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29"/>
        </w:trPr>
        <w:tc>
          <w:tcPr>
            <w:tcW w:w="10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30"/>
        </w:trPr>
        <w:tc>
          <w:tcPr>
            <w:tcW w:w="10320" w:type="dxa"/>
            <w:vAlign w:val="bottom"/>
          </w:tcPr>
          <w:p>
            <w:pPr>
              <w:ind w:left="240"/>
              <w:spacing w:after="0"/>
              <w:rPr>
                <w:sz w:val="20"/>
                <w:szCs w:val="20"/>
                <w:color w:val="auto"/>
              </w:rPr>
            </w:pPr>
            <w:r>
              <w:rPr>
                <w:rFonts w:ascii="Arial" w:cs="Arial" w:eastAsia="Arial" w:hAnsi="Arial"/>
                <w:sz w:val="18"/>
                <w:szCs w:val="18"/>
                <w:color w:val="auto"/>
              </w:rPr>
              <w:t>Item 4. Controls and Procedures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29"/>
        </w:trPr>
        <w:tc>
          <w:tcPr>
            <w:tcW w:w="10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 II - Other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30"/>
        </w:trPr>
        <w:tc>
          <w:tcPr>
            <w:tcW w:w="10320" w:type="dxa"/>
            <w:vAlign w:val="bottom"/>
          </w:tcPr>
          <w:p>
            <w:pPr>
              <w:ind w:left="240"/>
              <w:spacing w:after="0"/>
              <w:rPr>
                <w:sz w:val="20"/>
                <w:szCs w:val="20"/>
                <w:color w:val="auto"/>
              </w:rPr>
            </w:pPr>
            <w:r>
              <w:rPr>
                <w:rFonts w:ascii="Arial" w:cs="Arial" w:eastAsia="Arial" w:hAnsi="Arial"/>
                <w:sz w:val="18"/>
                <w:szCs w:val="18"/>
                <w:color w:val="auto"/>
              </w:rPr>
              <w:t>Item 1. Legal Proceedings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29"/>
        </w:trPr>
        <w:tc>
          <w:tcPr>
            <w:tcW w:w="10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1A. Risk Factors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29"/>
        </w:trPr>
        <w:tc>
          <w:tcPr>
            <w:tcW w:w="10320" w:type="dxa"/>
            <w:vAlign w:val="bottom"/>
          </w:tcPr>
          <w:p>
            <w:pPr>
              <w:ind w:left="24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30"/>
        </w:trPr>
        <w:tc>
          <w:tcPr>
            <w:tcW w:w="10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3. Defaults Upon Senior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29"/>
        </w:trPr>
        <w:tc>
          <w:tcPr>
            <w:tcW w:w="10320" w:type="dxa"/>
            <w:vAlign w:val="bottom"/>
          </w:tcPr>
          <w:p>
            <w:pPr>
              <w:ind w:left="240"/>
              <w:spacing w:after="0"/>
              <w:rPr>
                <w:sz w:val="20"/>
                <w:szCs w:val="20"/>
                <w:color w:val="auto"/>
              </w:rPr>
            </w:pPr>
            <w:r>
              <w:rPr>
                <w:rFonts w:ascii="Arial" w:cs="Arial" w:eastAsia="Arial" w:hAnsi="Arial"/>
                <w:sz w:val="18"/>
                <w:szCs w:val="18"/>
                <w:color w:val="auto"/>
              </w:rPr>
              <w:t>Item 4. Mine Safety Disclosures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30"/>
        </w:trPr>
        <w:tc>
          <w:tcPr>
            <w:tcW w:w="10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5. Other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29"/>
        </w:trPr>
        <w:tc>
          <w:tcPr>
            <w:tcW w:w="10320" w:type="dxa"/>
            <w:vAlign w:val="bottom"/>
          </w:tcPr>
          <w:p>
            <w:pPr>
              <w:ind w:left="240"/>
              <w:spacing w:after="0"/>
              <w:rPr>
                <w:sz w:val="20"/>
                <w:szCs w:val="20"/>
                <w:color w:val="auto"/>
              </w:rPr>
            </w:pPr>
            <w:r>
              <w:rPr>
                <w:rFonts w:ascii="Arial" w:cs="Arial" w:eastAsia="Arial" w:hAnsi="Arial"/>
                <w:sz w:val="18"/>
                <w:szCs w:val="18"/>
                <w:color w:val="auto"/>
              </w:rPr>
              <w:t>Item 6. Exhibits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29"/>
        </w:trPr>
        <w:tc>
          <w:tcPr>
            <w:tcW w:w="10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Signatures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longer-term business plan, the ability of the Company to obtain licenses and government approvals for its missions, which are essential to its operations; the ability of the Company to effectively market and sell satellite transport services and planned in-orbit services;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Company’s ability to comply with the terms of its National Security Agreement (the “NSA”) and any related compliance measures instituted by the director who was approved by the Committee on Foreign Investment in the United States (“CFIUS”) Monitoring Agencies (the “Security Director”); the possibility that the Company may be adversely affected by other economic, business, and/or competitive factors; and/or other risks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3051F2"/>
        </w:rPr>
        <w:t>Tables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uncertainties described under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this Form 10-Q and under Part I, Item 1A. in our Annual Report on Form 10-K filed with the SEC on March 8, 2023.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March 8, 2023, may not be exhaustive.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41"/>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rPr>
              <w:t>MOMENTUS INC.</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7"/>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7800" w:type="dxa"/>
            <w:vAlign w:val="bottom"/>
          </w:tcPr>
          <w:p>
            <w:pPr>
              <w:jc w:val="center"/>
              <w:ind w:left="3350"/>
              <w:spacing w:after="0"/>
              <w:rPr>
                <w:sz w:val="20"/>
                <w:szCs w:val="20"/>
                <w:color w:val="auto"/>
              </w:rPr>
            </w:pPr>
            <w:r>
              <w:rPr>
                <w:rFonts w:ascii="Arial" w:cs="Arial" w:eastAsia="Arial" w:hAnsi="Arial"/>
                <w:sz w:val="18"/>
                <w:szCs w:val="18"/>
                <w:i w:val="1"/>
                <w:iCs w:val="1"/>
                <w:color w:val="auto"/>
                <w:w w:val="89"/>
              </w:rPr>
              <w:t>(in thousands except number of shares and par value)</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7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39"/>
        </w:trPr>
        <w:tc>
          <w:tcPr>
            <w:tcW w:w="7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2023</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7"/>
        </w:trPr>
        <w:tc>
          <w:tcPr>
            <w:tcW w:w="7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i w:val="1"/>
                <w:iCs w:val="1"/>
                <w:color w:val="auto"/>
                <w:w w:val="92"/>
              </w:rPr>
              <w:t>(unaudited)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61,094</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Restricted cash, current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1,007</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Insurance receivable</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10,173</w:t>
            </w: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76,274</w:t>
            </w:r>
          </w:p>
        </w:tc>
      </w:tr>
      <w:tr>
        <w:trPr>
          <w:trHeight w:val="229"/>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machinery and equipment, net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29"/>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right-of-use asset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Deferred offering costs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non-current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w:t>
            </w:r>
          </w:p>
        </w:tc>
      </w:tr>
      <w:tr>
        <w:trPr>
          <w:trHeight w:val="248"/>
        </w:trPr>
        <w:tc>
          <w:tcPr>
            <w:tcW w:w="7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2,498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2,239</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Loan payable, current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11,627</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 current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Operating lease liability, current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1,153</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repurchase liability</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Litigation settlement contingency</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43,226</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 non-current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Loan Payable, non-current</w:t>
            </w:r>
          </w:p>
        </w:tc>
        <w:tc>
          <w:tcPr>
            <w:tcW w:w="2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2,404</w:t>
            </w:r>
          </w:p>
        </w:tc>
      </w:tr>
      <w:tr>
        <w:trPr>
          <w:trHeight w:val="229"/>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Operating lease liability, non-current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6,131</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non-current liabilities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10,590</w:t>
            </w:r>
          </w:p>
        </w:tc>
      </w:tr>
      <w:tr>
        <w:trPr>
          <w:trHeight w:val="223"/>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53,816</w:t>
            </w: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75"/>
        </w:trPr>
        <w:tc>
          <w:tcPr>
            <w:tcW w:w="7800" w:type="dxa"/>
            <w:vAlign w:val="bottom"/>
          </w:tcPr>
          <w:p>
            <w:pPr>
              <w:ind w:left="180"/>
              <w:spacing w:after="0" w:line="176" w:lineRule="exact"/>
              <w:rPr>
                <w:sz w:val="20"/>
                <w:szCs w:val="20"/>
                <w:color w:val="auto"/>
              </w:rPr>
            </w:pPr>
            <w:r>
              <w:rPr>
                <w:rFonts w:ascii="Arial" w:cs="Arial" w:eastAsia="Arial" w:hAnsi="Arial"/>
                <w:sz w:val="18"/>
                <w:szCs w:val="18"/>
                <w:color w:val="auto"/>
                <w:w w:val="99"/>
              </w:rPr>
              <w:t>Common stock, $0.00001 par value; 250,000,000 shares authorized and 97,865,351 issued and</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8"/>
        </w:trPr>
        <w:tc>
          <w:tcPr>
            <w:tcW w:w="7800" w:type="dxa"/>
            <w:vAlign w:val="bottom"/>
          </w:tcPr>
          <w:p>
            <w:pPr>
              <w:ind w:left="180"/>
              <w:spacing w:after="0" w:line="189" w:lineRule="exact"/>
              <w:rPr>
                <w:sz w:val="20"/>
                <w:szCs w:val="20"/>
                <w:color w:val="auto"/>
              </w:rPr>
            </w:pPr>
            <w:r>
              <w:rPr>
                <w:rFonts w:ascii="Arial" w:cs="Arial" w:eastAsia="Arial" w:hAnsi="Arial"/>
                <w:sz w:val="18"/>
                <w:szCs w:val="18"/>
                <w:color w:val="auto"/>
                <w:w w:val="91"/>
              </w:rPr>
              <w:t>outstanding as of June 30, 2023; 250,000,000 shares authorized and 84,441,153 issued and outstanding</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as of December 31, 2022</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342,733</w:t>
            </w:r>
          </w:p>
        </w:tc>
      </w:tr>
      <w:tr>
        <w:trPr>
          <w:trHeight w:val="230"/>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(343,787)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(304,127)</w:t>
            </w:r>
          </w:p>
        </w:tc>
      </w:tr>
      <w:tr>
        <w:trPr>
          <w:trHeight w:val="223"/>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38,607</w:t>
            </w:r>
          </w:p>
        </w:tc>
      </w:tr>
      <w:tr>
        <w:trPr>
          <w:trHeight w:val="223"/>
        </w:trPr>
        <w:tc>
          <w:tcPr>
            <w:tcW w:w="780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92,423</w:t>
            </w:r>
          </w:p>
        </w:tc>
      </w:tr>
      <w:tr>
        <w:trPr>
          <w:trHeight w:val="21"/>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260" w:type="dxa"/>
            <w:vAlign w:val="bottom"/>
            <w:gridSpan w:val="3"/>
          </w:tcPr>
          <w:p>
            <w:pPr>
              <w:spacing w:after="0"/>
              <w:rPr>
                <w:sz w:val="20"/>
                <w:szCs w:val="20"/>
                <w:color w:val="auto"/>
              </w:rPr>
            </w:pPr>
            <w:r>
              <w:rPr>
                <w:rFonts w:ascii="Arial" w:cs="Arial" w:eastAsia="Arial" w:hAnsi="Arial"/>
                <w:sz w:val="18"/>
                <w:szCs w:val="18"/>
                <w:color w:val="3051F2"/>
              </w:rPr>
              <w:t>Tables of Contents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866"/>
        </w:trPr>
        <w:tc>
          <w:tcPr>
            <w:tcW w:w="20" w:type="dxa"/>
            <w:vAlign w:val="bottom"/>
            <w:tcBorders>
              <w:top w:val="single" w:sz="8" w:color="3051F2"/>
            </w:tcBorders>
          </w:tcPr>
          <w:p>
            <w:pPr>
              <w:spacing w:after="0"/>
              <w:rPr>
                <w:sz w:val="24"/>
                <w:szCs w:val="24"/>
                <w:color w:val="auto"/>
              </w:rPr>
            </w:pPr>
          </w:p>
        </w:tc>
        <w:tc>
          <w:tcPr>
            <w:tcW w:w="1340" w:type="dxa"/>
            <w:vAlign w:val="bottom"/>
            <w:tcBorders>
              <w:top w:val="single" w:sz="8" w:color="3051F2"/>
            </w:tcBorders>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rPr>
              <w:t>MOMENTUS INC.</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20" w:type="dxa"/>
            <w:vAlign w:val="bottom"/>
            <w:gridSpan w:val="8"/>
          </w:tcPr>
          <w:p>
            <w:pPr>
              <w:jc w:val="center"/>
              <w:ind w:left="1430"/>
              <w:spacing w:after="0" w:line="202" w:lineRule="exact"/>
              <w:rPr>
                <w:sz w:val="20"/>
                <w:szCs w:val="20"/>
                <w:color w:val="auto"/>
              </w:rPr>
            </w:pPr>
            <w:r>
              <w:rPr>
                <w:rFonts w:ascii="Arial" w:cs="Arial" w:eastAsia="Arial" w:hAnsi="Arial"/>
                <w:sz w:val="18"/>
                <w:szCs w:val="18"/>
                <w:b w:val="1"/>
                <w:bCs w:val="1"/>
                <w:color w:val="auto"/>
                <w:w w:val="98"/>
              </w:rPr>
              <w:t>CONDENSED CONSOLIDATED STATEMENTS OF OPERATIONS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rPr>
              <w:t>(UNAUDITED)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520" w:type="dxa"/>
            <w:vAlign w:val="bottom"/>
            <w:gridSpan w:val="6"/>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ind w:left="540"/>
              <w:spacing w:after="0" w:line="189" w:lineRule="exact"/>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6"/>
                <w:szCs w:val="16"/>
                <w:color w:val="auto"/>
              </w:rPr>
            </w:pPr>
          </w:p>
        </w:tc>
        <w:tc>
          <w:tcPr>
            <w:tcW w:w="2840" w:type="dxa"/>
            <w:vAlign w:val="bottom"/>
            <w:gridSpan w:val="4"/>
          </w:tcPr>
          <w:p>
            <w:pPr>
              <w:jc w:val="right"/>
              <w:ind w:right="910"/>
              <w:spacing w:after="0" w:line="189" w:lineRule="exact"/>
              <w:rPr>
                <w:sz w:val="20"/>
                <w:szCs w:val="20"/>
                <w:color w:val="auto"/>
              </w:rPr>
            </w:pPr>
            <w:r>
              <w:rPr>
                <w:rFonts w:ascii="Arial" w:cs="Arial" w:eastAsia="Arial" w:hAnsi="Arial"/>
                <w:sz w:val="18"/>
                <w:szCs w:val="18"/>
                <w:b w:val="1"/>
                <w:bCs w:val="1"/>
                <w:color w:val="auto"/>
              </w:rPr>
              <w:t>Six Months Ended</w:t>
            </w:r>
          </w:p>
        </w:tc>
      </w:tr>
      <w:tr>
        <w:trPr>
          <w:trHeight w:val="239"/>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3"/>
        </w:trPr>
        <w:tc>
          <w:tcPr>
            <w:tcW w:w="20" w:type="dxa"/>
            <w:vAlign w:val="bottom"/>
          </w:tcPr>
          <w:p>
            <w:pPr>
              <w:spacing w:after="0"/>
              <w:rPr>
                <w:sz w:val="19"/>
                <w:szCs w:val="19"/>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4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0" w:type="dxa"/>
            <w:vAlign w:val="bottom"/>
          </w:tcPr>
          <w:p>
            <w:pPr>
              <w:spacing w:after="0"/>
              <w:rPr>
                <w:sz w:val="19"/>
                <w:szCs w:val="19"/>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20,867</w:t>
            </w:r>
          </w:p>
        </w:tc>
      </w:tr>
      <w:tr>
        <w:trPr>
          <w:trHeight w:val="229"/>
        </w:trPr>
        <w:tc>
          <w:tcPr>
            <w:tcW w:w="20" w:type="dxa"/>
            <w:vAlign w:val="bottom"/>
          </w:tcPr>
          <w:p>
            <w:pPr>
              <w:spacing w:after="0"/>
              <w:rPr>
                <w:sz w:val="19"/>
                <w:szCs w:val="19"/>
                <w:color w:val="auto"/>
              </w:rPr>
            </w:pPr>
          </w:p>
        </w:tc>
        <w:tc>
          <w:tcPr>
            <w:tcW w:w="42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27,714</w:t>
            </w:r>
          </w:p>
        </w:tc>
      </w:tr>
      <w:tr>
        <w:trPr>
          <w:trHeight w:val="223"/>
        </w:trPr>
        <w:tc>
          <w:tcPr>
            <w:tcW w:w="20" w:type="dxa"/>
            <w:vAlign w:val="bottom"/>
          </w:tcPr>
          <w:p>
            <w:pPr>
              <w:spacing w:after="0"/>
              <w:rPr>
                <w:sz w:val="19"/>
                <w:szCs w:val="19"/>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48,581</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(48,543)</w:t>
            </w:r>
          </w:p>
        </w:tc>
      </w:tr>
      <w:tr>
        <w:trPr>
          <w:trHeight w:val="142"/>
        </w:trPr>
        <w:tc>
          <w:tcPr>
            <w:tcW w:w="20" w:type="dxa"/>
            <w:vAlign w:val="bottom"/>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29"/>
        </w:trPr>
        <w:tc>
          <w:tcPr>
            <w:tcW w:w="20" w:type="dxa"/>
            <w:vAlign w:val="bottom"/>
          </w:tcPr>
          <w:p>
            <w:pPr>
              <w:spacing w:after="0"/>
              <w:rPr>
                <w:sz w:val="19"/>
                <w:szCs w:val="19"/>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Realized (loss) gain on disposal of asset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20" w:type="dxa"/>
            <w:vAlign w:val="bottom"/>
          </w:tcPr>
          <w:p>
            <w:pPr>
              <w:spacing w:after="0"/>
              <w:rPr>
                <w:sz w:val="19"/>
                <w:szCs w:val="19"/>
                <w:color w:val="auto"/>
              </w:rPr>
            </w:pPr>
          </w:p>
        </w:tc>
        <w:tc>
          <w:tcPr>
            <w:tcW w:w="4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19"/>
                <w:szCs w:val="19"/>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(2,905)</w:t>
            </w:r>
          </w:p>
        </w:tc>
      </w:tr>
      <w:tr>
        <w:trPr>
          <w:trHeight w:val="229"/>
        </w:trPr>
        <w:tc>
          <w:tcPr>
            <w:tcW w:w="20" w:type="dxa"/>
            <w:vAlign w:val="bottom"/>
          </w:tcPr>
          <w:p>
            <w:pPr>
              <w:spacing w:after="0"/>
              <w:rPr>
                <w:sz w:val="19"/>
                <w:szCs w:val="19"/>
                <w:color w:val="auto"/>
              </w:rPr>
            </w:pPr>
          </w:p>
        </w:tc>
        <w:tc>
          <w:tcPr>
            <w:tcW w:w="4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Litigation settlement, net</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23"/>
        </w:trPr>
        <w:tc>
          <w:tcPr>
            <w:tcW w:w="20" w:type="dxa"/>
            <w:vAlign w:val="bottom"/>
          </w:tcPr>
          <w:p>
            <w:pPr>
              <w:spacing w:after="0"/>
              <w:rPr>
                <w:sz w:val="19"/>
                <w:szCs w:val="19"/>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(49,706)</w:t>
            </w: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per share, basic</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29"/>
        </w:trPr>
        <w:tc>
          <w:tcPr>
            <w:tcW w:w="20" w:type="dxa"/>
            <w:vAlign w:val="bottom"/>
          </w:tcPr>
          <w:p>
            <w:pPr>
              <w:spacing w:after="0"/>
              <w:rPr>
                <w:sz w:val="19"/>
                <w:szCs w:val="19"/>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Net loss per share, fully diluted</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30"/>
        </w:trPr>
        <w:tc>
          <w:tcPr>
            <w:tcW w:w="20" w:type="dxa"/>
            <w:vAlign w:val="bottom"/>
          </w:tcPr>
          <w:p>
            <w:pPr>
              <w:spacing w:after="0"/>
              <w:rPr>
                <w:sz w:val="19"/>
                <w:szCs w:val="19"/>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95,978,588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81,319,533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91,791,957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80,642,670</w:t>
            </w:r>
          </w:p>
        </w:tc>
      </w:tr>
      <w:tr>
        <w:trPr>
          <w:trHeight w:val="230"/>
        </w:trPr>
        <w:tc>
          <w:tcPr>
            <w:tcW w:w="2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 fully diluted</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95,978,588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81,319,533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91,791,957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80,642,670</w:t>
            </w:r>
          </w:p>
        </w:tc>
      </w:tr>
    </w:tbl>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840" w:type="dxa"/>
            <w:vAlign w:val="bottom"/>
            <w:gridSpan w:val="3"/>
          </w:tcPr>
          <w:p>
            <w:pPr>
              <w:spacing w:after="0"/>
              <w:rPr>
                <w:sz w:val="20"/>
                <w:szCs w:val="20"/>
                <w:color w:val="auto"/>
              </w:rPr>
            </w:pPr>
            <w:r>
              <w:rPr>
                <w:rFonts w:ascii="Arial" w:cs="Arial" w:eastAsia="Arial" w:hAnsi="Arial"/>
                <w:sz w:val="18"/>
                <w:szCs w:val="18"/>
                <w:color w:val="3051F2"/>
              </w:rPr>
              <w:t>Tables of Contents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6"/>
        </w:trPr>
        <w:tc>
          <w:tcPr>
            <w:tcW w:w="480" w:type="dxa"/>
            <w:vAlign w:val="bottom"/>
            <w:tcBorders>
              <w:top w:val="single" w:sz="8" w:color="3051F2"/>
            </w:tcBorders>
          </w:tcPr>
          <w:p>
            <w:pPr>
              <w:spacing w:after="0"/>
              <w:rPr>
                <w:sz w:val="24"/>
                <w:szCs w:val="24"/>
                <w:color w:val="auto"/>
              </w:rPr>
            </w:pPr>
          </w:p>
        </w:tc>
        <w:tc>
          <w:tcPr>
            <w:tcW w:w="880" w:type="dxa"/>
            <w:vAlign w:val="bottom"/>
            <w:tcBorders>
              <w:top w:val="single" w:sz="8" w:color="3051F2"/>
            </w:tcBorders>
          </w:tcPr>
          <w:p>
            <w:pPr>
              <w:spacing w:after="0"/>
              <w:rPr>
                <w:sz w:val="24"/>
                <w:szCs w:val="24"/>
                <w:color w:val="auto"/>
              </w:rPr>
            </w:pPr>
          </w:p>
        </w:tc>
        <w:tc>
          <w:tcPr>
            <w:tcW w:w="3480" w:type="dxa"/>
            <w:vAlign w:val="bottom"/>
          </w:tcPr>
          <w:p>
            <w:pPr>
              <w:spacing w:after="0"/>
              <w:rPr>
                <w:sz w:val="24"/>
                <w:szCs w:val="24"/>
                <w:color w:val="auto"/>
              </w:rPr>
            </w:pPr>
          </w:p>
        </w:tc>
        <w:tc>
          <w:tcPr>
            <w:tcW w:w="2460" w:type="dxa"/>
            <w:vAlign w:val="bottom"/>
            <w:gridSpan w:val="6"/>
          </w:tcPr>
          <w:p>
            <w:pPr>
              <w:jc w:val="center"/>
              <w:ind w:right="880"/>
              <w:spacing w:after="0"/>
              <w:rPr>
                <w:sz w:val="20"/>
                <w:szCs w:val="20"/>
                <w:color w:val="auto"/>
              </w:rPr>
            </w:pPr>
            <w:r>
              <w:rPr>
                <w:rFonts w:ascii="Arial" w:cs="Arial" w:eastAsia="Arial" w:hAnsi="Arial"/>
                <w:sz w:val="18"/>
                <w:szCs w:val="18"/>
                <w:b w:val="1"/>
                <w:bCs w:val="1"/>
                <w:color w:val="auto"/>
              </w:rPr>
              <w:t>MOMENTUS INC.</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320" w:type="dxa"/>
            <w:vAlign w:val="bottom"/>
            <w:gridSpan w:val="13"/>
          </w:tcPr>
          <w:p>
            <w:pPr>
              <w:jc w:val="center"/>
              <w:ind w:left="110"/>
              <w:spacing w:after="0" w:line="202" w:lineRule="exact"/>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gridSpan w:val="7"/>
          </w:tcPr>
          <w:p>
            <w:pPr>
              <w:jc w:val="center"/>
              <w:ind w:left="2510"/>
              <w:spacing w:after="0"/>
              <w:rPr>
                <w:sz w:val="20"/>
                <w:szCs w:val="20"/>
                <w:color w:val="auto"/>
              </w:rPr>
            </w:pPr>
            <w:r>
              <w:rPr>
                <w:rFonts w:ascii="Arial" w:cs="Arial" w:eastAsia="Arial" w:hAnsi="Arial"/>
                <w:sz w:val="18"/>
                <w:szCs w:val="18"/>
                <w:i w:val="1"/>
                <w:iCs w:val="1"/>
                <w:color w:val="auto"/>
                <w:w w:val="89"/>
              </w:rPr>
              <w:t>(in thousands, except share data)</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Common stock –</w:t>
            </w:r>
          </w:p>
        </w:tc>
        <w:tc>
          <w:tcPr>
            <w:tcW w:w="120" w:type="dxa"/>
            <w:vAlign w:val="bottom"/>
          </w:tcPr>
          <w:p>
            <w:pPr>
              <w:spacing w:after="0"/>
              <w:rPr>
                <w:sz w:val="24"/>
                <w:szCs w:val="2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vMerge w:val="restart"/>
          </w:tcPr>
          <w:p>
            <w:pPr>
              <w:jc w:val="center"/>
              <w:ind w:right="6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87"/>
              </w:rPr>
              <w:t>Class A</w:t>
            </w: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line="156" w:lineRule="exact"/>
              <w:rPr>
                <w:sz w:val="20"/>
                <w:szCs w:val="20"/>
                <w:color w:val="auto"/>
              </w:rPr>
            </w:pPr>
            <w:r>
              <w:rPr>
                <w:rFonts w:ascii="Arial" w:cs="Arial" w:eastAsia="Arial" w:hAnsi="Arial"/>
                <w:sz w:val="18"/>
                <w:szCs w:val="18"/>
                <w:b w:val="1"/>
                <w:bCs w:val="1"/>
                <w:color w:val="auto"/>
                <w:w w:val="92"/>
              </w:rPr>
              <w:t>paid in</w:t>
            </w:r>
          </w:p>
        </w:tc>
        <w:tc>
          <w:tcPr>
            <w:tcW w:w="1200" w:type="dxa"/>
            <w:vAlign w:val="bottom"/>
            <w:gridSpan w:val="3"/>
            <w:vMerge w:val="continue"/>
          </w:tcPr>
          <w:p>
            <w:pPr>
              <w:spacing w:after="0"/>
              <w:rPr>
                <w:sz w:val="15"/>
                <w:szCs w:val="15"/>
                <w:color w:val="auto"/>
              </w:rPr>
            </w:pPr>
          </w:p>
        </w:tc>
        <w:tc>
          <w:tcPr>
            <w:tcW w:w="1560" w:type="dxa"/>
            <w:vAlign w:val="bottom"/>
            <w:gridSpan w:val="3"/>
          </w:tcPr>
          <w:p>
            <w:pPr>
              <w:ind w:left="20"/>
              <w:spacing w:after="0" w:line="15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capital</w:t>
            </w:r>
          </w:p>
        </w:tc>
        <w:tc>
          <w:tcPr>
            <w:tcW w:w="22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84,441,153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342,733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(304,127)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0"/>
              </w:rPr>
              <w:t>Issuance of common stock upon exercise of stock options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370,287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stock upon vesting of RSUs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766,791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436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Share repurchase related to Section 16 Officer tax</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(124,899)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4360" w:type="dxa"/>
            <w:vAlign w:val="bottom"/>
            <w:gridSpan w:val="2"/>
            <w:vMerge w:val="restart"/>
          </w:tcPr>
          <w:p>
            <w:pPr>
              <w:ind w:left="340"/>
              <w:spacing w:after="0"/>
              <w:rPr>
                <w:sz w:val="20"/>
                <w:szCs w:val="20"/>
                <w:color w:val="auto"/>
              </w:rPr>
            </w:pPr>
            <w:r>
              <w:rPr>
                <w:rFonts w:ascii="Arial" w:cs="Arial" w:eastAsia="Arial" w:hAnsi="Arial"/>
                <w:sz w:val="18"/>
                <w:szCs w:val="18"/>
                <w:color w:val="auto"/>
              </w:rPr>
              <w:t>coverage exchange</w:t>
            </w: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43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Stock-based compensation - stock options, RSAs, RSUs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36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Issuance of common stock and related warrants in</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9,396,000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9,300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9,300</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360" w:type="dxa"/>
            <w:vAlign w:val="bottom"/>
            <w:gridSpan w:val="2"/>
            <w:vMerge w:val="restart"/>
          </w:tcPr>
          <w:p>
            <w:pPr>
              <w:ind w:left="340"/>
              <w:spacing w:after="0"/>
              <w:rPr>
                <w:sz w:val="20"/>
                <w:szCs w:val="20"/>
                <w:color w:val="auto"/>
              </w:rPr>
            </w:pPr>
            <w:r>
              <w:rPr>
                <w:rFonts w:ascii="Arial" w:cs="Arial" w:eastAsia="Arial" w:hAnsi="Arial"/>
                <w:sz w:val="18"/>
                <w:szCs w:val="18"/>
                <w:color w:val="auto"/>
              </w:rPr>
              <w:t>registered offering, net of issuance costs</w:t>
            </w: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43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stock to non-employees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(20,825)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94,984,332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353,897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(324,952)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0"/>
              </w:rPr>
              <w:t>Issuance of common stock upon exercise of stock options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132,417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stock upon vesting of RSUs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upon purchase of ESPP</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106,545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3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Issuance of common stock upon exercise of Pre-Funded</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2,170,043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36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Warrants</w:t>
            </w:r>
          </w:p>
        </w:tc>
        <w:tc>
          <w:tcPr>
            <w:tcW w:w="12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80" w:type="dxa"/>
            <w:vAlign w:val="bottom"/>
          </w:tcPr>
          <w:p>
            <w:pPr>
              <w:spacing w:after="0"/>
              <w:rPr>
                <w:sz w:val="8"/>
                <w:szCs w:val="8"/>
                <w:color w:val="auto"/>
              </w:rPr>
            </w:pPr>
          </w:p>
        </w:tc>
        <w:tc>
          <w:tcPr>
            <w:tcW w:w="43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2"/>
              </w:rPr>
              <w:t>Stock-based compensation - stock options, RSAs, RSUs</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Balance, June 30, 2023</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97,865,351</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356,543</w:t>
            </w:r>
          </w:p>
        </w:tc>
        <w:tc>
          <w:tcPr>
            <w:tcW w:w="8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(343,787)</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6"/>
        </w:trPr>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0" w:type="dxa"/>
            <w:vAlign w:val="bottom"/>
            <w:gridSpan w:val="2"/>
          </w:tcPr>
          <w:p>
            <w:pPr>
              <w:jc w:val="center"/>
              <w:ind w:left="270"/>
              <w:spacing w:after="0"/>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940" w:type="dxa"/>
            <w:vAlign w:val="bottom"/>
            <w:gridSpan w:val="3"/>
          </w:tcPr>
          <w:p>
            <w:pPr>
              <w:spacing w:after="0"/>
              <w:rPr>
                <w:sz w:val="20"/>
                <w:szCs w:val="20"/>
                <w:color w:val="auto"/>
              </w:rPr>
            </w:pPr>
            <w:r>
              <w:rPr>
                <w:rFonts w:ascii="Arial" w:cs="Arial" w:eastAsia="Arial" w:hAnsi="Arial"/>
                <w:sz w:val="18"/>
                <w:szCs w:val="18"/>
                <w:color w:val="3051F2"/>
              </w:rPr>
              <w:t>Tables of Contents</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480" w:type="dxa"/>
            <w:vAlign w:val="bottom"/>
            <w:tcBorders>
              <w:top w:val="single" w:sz="8" w:color="3051F2"/>
            </w:tcBorders>
          </w:tcPr>
          <w:p>
            <w:pPr>
              <w:spacing w:after="0"/>
              <w:rPr>
                <w:sz w:val="24"/>
                <w:szCs w:val="24"/>
                <w:color w:val="auto"/>
              </w:rPr>
            </w:pPr>
          </w:p>
        </w:tc>
        <w:tc>
          <w:tcPr>
            <w:tcW w:w="880" w:type="dxa"/>
            <w:vAlign w:val="bottom"/>
            <w:tcBorders>
              <w:top w:val="single" w:sz="8" w:color="3051F2"/>
            </w:tcBorders>
          </w:tcPr>
          <w:p>
            <w:pPr>
              <w:spacing w:after="0"/>
              <w:rPr>
                <w:sz w:val="24"/>
                <w:szCs w:val="24"/>
                <w:color w:val="auto"/>
              </w:rPr>
            </w:pPr>
          </w:p>
        </w:tc>
        <w:tc>
          <w:tcPr>
            <w:tcW w:w="3580" w:type="dxa"/>
            <w:vAlign w:val="bottom"/>
          </w:tcPr>
          <w:p>
            <w:pPr>
              <w:spacing w:after="0"/>
              <w:rPr>
                <w:sz w:val="24"/>
                <w:szCs w:val="24"/>
                <w:color w:val="auto"/>
              </w:rPr>
            </w:pPr>
          </w:p>
        </w:tc>
        <w:tc>
          <w:tcPr>
            <w:tcW w:w="23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Common stock –</w:t>
            </w:r>
          </w:p>
        </w:tc>
        <w:tc>
          <w:tcPr>
            <w:tcW w:w="120" w:type="dxa"/>
            <w:vAlign w:val="bottom"/>
          </w:tcPr>
          <w:p>
            <w:pPr>
              <w:spacing w:after="0"/>
              <w:rPr>
                <w:sz w:val="24"/>
                <w:szCs w:val="2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2360" w:type="dxa"/>
            <w:vAlign w:val="bottom"/>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87"/>
              </w:rPr>
              <w:t>Class A</w:t>
            </w: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3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line="156" w:lineRule="exact"/>
              <w:rPr>
                <w:sz w:val="20"/>
                <w:szCs w:val="20"/>
                <w:color w:val="auto"/>
              </w:rPr>
            </w:pPr>
            <w:r>
              <w:rPr>
                <w:rFonts w:ascii="Arial" w:cs="Arial" w:eastAsia="Arial" w:hAnsi="Arial"/>
                <w:sz w:val="18"/>
                <w:szCs w:val="18"/>
                <w:b w:val="1"/>
                <w:bCs w:val="1"/>
                <w:color w:val="auto"/>
                <w:w w:val="92"/>
              </w:rPr>
              <w:t>paid in</w:t>
            </w:r>
          </w:p>
        </w:tc>
        <w:tc>
          <w:tcPr>
            <w:tcW w:w="1200" w:type="dxa"/>
            <w:vAlign w:val="bottom"/>
            <w:gridSpan w:val="3"/>
            <w:vMerge w:val="continue"/>
          </w:tcPr>
          <w:p>
            <w:pPr>
              <w:spacing w:after="0"/>
              <w:rPr>
                <w:sz w:val="15"/>
                <w:szCs w:val="15"/>
                <w:color w:val="auto"/>
              </w:rPr>
            </w:pPr>
          </w:p>
        </w:tc>
        <w:tc>
          <w:tcPr>
            <w:tcW w:w="110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w w:val="90"/>
              </w:rPr>
              <w:t>stockholders’</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8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capital</w:t>
            </w:r>
          </w:p>
        </w:tc>
        <w:tc>
          <w:tcPr>
            <w:tcW w:w="22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deficit</w:t>
            </w:r>
          </w:p>
        </w:tc>
        <w:tc>
          <w:tcPr>
            <w:tcW w:w="2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81,211,781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340,570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131,888</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w w:val="92"/>
              </w:rPr>
              <w:t>Issuance of common stock upon exercise of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170,751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stock upon vesting of RSUs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46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Share repurchase related to Section 16 Officer tax</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(18,673)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460" w:type="dxa"/>
            <w:vAlign w:val="bottom"/>
            <w:gridSpan w:val="2"/>
            <w:vMerge w:val="restart"/>
          </w:tcPr>
          <w:p>
            <w:pPr>
              <w:ind w:left="340"/>
              <w:spacing w:after="0"/>
              <w:rPr>
                <w:sz w:val="20"/>
                <w:szCs w:val="20"/>
                <w:color w:val="auto"/>
              </w:rPr>
            </w:pPr>
            <w:r>
              <w:rPr>
                <w:rFonts w:ascii="Arial" w:cs="Arial" w:eastAsia="Arial" w:hAnsi="Arial"/>
                <w:sz w:val="18"/>
                <w:szCs w:val="18"/>
                <w:color w:val="auto"/>
              </w:rPr>
              <w:t>coverage exchange</w:t>
            </w: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446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Share repurchase valuation adjustment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upon exercise of warrant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(26,834)</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81,755,715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336,771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101,255</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w w:val="92"/>
              </w:rPr>
              <w:t>Issuance of common stock upon exercise of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1,294,668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stock upon vesting of RSUs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purchase of ESPP</w:t>
            </w:r>
          </w:p>
        </w:tc>
        <w:tc>
          <w:tcPr>
            <w:tcW w:w="1100" w:type="dxa"/>
            <w:vAlign w:val="bottom"/>
          </w:tcPr>
          <w:p>
            <w:pPr>
              <w:jc w:val="right"/>
              <w:spacing w:after="0"/>
              <w:rPr>
                <w:sz w:val="20"/>
                <w:szCs w:val="20"/>
                <w:color w:val="auto"/>
              </w:rPr>
            </w:pPr>
            <w:r>
              <w:rPr>
                <w:rFonts w:ascii="Arial" w:cs="Arial" w:eastAsia="Arial" w:hAnsi="Arial"/>
                <w:sz w:val="18"/>
                <w:szCs w:val="18"/>
                <w:color w:val="auto"/>
              </w:rPr>
              <w:t>77,162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44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Share repurchase related to Section 16 Officer tax</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446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coverage exchange</w:t>
            </w: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80" w:type="dxa"/>
            <w:vAlign w:val="bottom"/>
          </w:tcPr>
          <w:p>
            <w:pPr>
              <w:spacing w:after="0"/>
              <w:rPr>
                <w:sz w:val="8"/>
                <w:szCs w:val="8"/>
                <w:color w:val="auto"/>
              </w:rPr>
            </w:pPr>
          </w:p>
        </w:tc>
        <w:tc>
          <w:tcPr>
            <w:tcW w:w="4460" w:type="dxa"/>
            <w:vAlign w:val="bottom"/>
            <w:gridSpan w:val="2"/>
            <w:vMerge w:val="continue"/>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repurchase valuation adjustment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(22,872)</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83,264,832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340,593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(258,389)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82,205</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08" w:right="7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MOMENTUS INC.</w:t>
      </w:r>
    </w:p>
    <w:p>
      <w:pPr>
        <w:spacing w:after="0" w:line="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8" w:lineRule="exact"/>
        <w:rPr>
          <w:sz w:val="20"/>
          <w:szCs w:val="20"/>
          <w:color w:val="auto"/>
        </w:rPr>
      </w:pPr>
    </w:p>
    <w:p>
      <w:pPr>
        <w:jc w:val="center"/>
        <w:ind w:left="7780"/>
        <w:spacing w:after="0"/>
        <w:rPr>
          <w:sz w:val="20"/>
          <w:szCs w:val="20"/>
          <w:color w:val="auto"/>
        </w:rPr>
      </w:pPr>
      <w:r>
        <w:rPr>
          <w:rFonts w:ascii="Arial" w:cs="Arial" w:eastAsia="Arial" w:hAnsi="Arial"/>
          <w:sz w:val="16"/>
          <w:szCs w:val="16"/>
          <w:b w:val="1"/>
          <w:bCs w:val="1"/>
          <w:color w:val="auto"/>
        </w:rPr>
        <w:t>Six Months Ended</w:t>
      </w:r>
    </w:p>
    <w:p>
      <w:pPr>
        <w:jc w:val="center"/>
        <w:ind w:left="778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78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(39,660)</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(49,706)</w:t>
            </w:r>
          </w:p>
        </w:tc>
      </w:tr>
      <w:tr>
        <w:trPr>
          <w:trHeight w:val="219"/>
        </w:trPr>
        <w:tc>
          <w:tcPr>
            <w:tcW w:w="7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0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19"/>
        </w:trPr>
        <w:tc>
          <w:tcPr>
            <w:tcW w:w="7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Amortization of debt discount and issuance costs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r>
      <w:tr>
        <w:trPr>
          <w:trHeight w:val="213"/>
        </w:trPr>
        <w:tc>
          <w:tcPr>
            <w:tcW w:w="7800" w:type="dxa"/>
            <w:vAlign w:val="bottom"/>
          </w:tcPr>
          <w:p>
            <w:pPr>
              <w:ind w:left="440"/>
              <w:spacing w:after="0"/>
              <w:rPr>
                <w:sz w:val="20"/>
                <w:szCs w:val="20"/>
                <w:color w:val="auto"/>
              </w:rPr>
            </w:pPr>
            <w:r>
              <w:rPr>
                <w:rFonts w:ascii="Arial" w:cs="Arial" w:eastAsia="Arial" w:hAnsi="Arial"/>
                <w:sz w:val="16"/>
                <w:szCs w:val="16"/>
                <w:color w:val="auto"/>
              </w:rPr>
              <w:t>Amortization of right-of-use asset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613</w:t>
            </w:r>
          </w:p>
        </w:tc>
      </w:tr>
      <w:tr>
        <w:trPr>
          <w:trHeight w:val="219"/>
        </w:trPr>
        <w:tc>
          <w:tcPr>
            <w:tcW w:w="7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Change in fair value of warrant liability</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r>
      <w:tr>
        <w:trPr>
          <w:trHeight w:val="213"/>
        </w:trPr>
        <w:tc>
          <w:tcPr>
            <w:tcW w:w="7800" w:type="dxa"/>
            <w:vAlign w:val="bottom"/>
          </w:tcPr>
          <w:p>
            <w:pPr>
              <w:ind w:left="440"/>
              <w:spacing w:after="0"/>
              <w:rPr>
                <w:sz w:val="20"/>
                <w:szCs w:val="20"/>
                <w:color w:val="auto"/>
              </w:rPr>
            </w:pPr>
            <w:r>
              <w:rPr>
                <w:rFonts w:ascii="Arial" w:cs="Arial" w:eastAsia="Arial" w:hAnsi="Arial"/>
                <w:sz w:val="16"/>
                <w:szCs w:val="16"/>
                <w:color w:val="auto"/>
              </w:rPr>
              <w:t>Loss on disposal of property, machinery, equipment and intangible assets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7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w:t>
            </w:r>
          </w:p>
        </w:tc>
      </w:tr>
      <w:tr>
        <w:trPr>
          <w:trHeight w:val="213"/>
        </w:trPr>
        <w:tc>
          <w:tcPr>
            <w:tcW w:w="7800" w:type="dxa"/>
            <w:vAlign w:val="bottom"/>
          </w:tcPr>
          <w:p>
            <w:pPr>
              <w:ind w:left="440"/>
              <w:spacing w:after="0"/>
              <w:rPr>
                <w:sz w:val="20"/>
                <w:szCs w:val="20"/>
                <w:color w:val="auto"/>
              </w:rPr>
            </w:pPr>
            <w:r>
              <w:rPr>
                <w:rFonts w:ascii="Arial" w:cs="Arial" w:eastAsia="Arial" w:hAnsi="Arial"/>
                <w:sz w:val="16"/>
                <w:szCs w:val="16"/>
                <w:color w:val="auto"/>
              </w:rPr>
              <w:t>Non-cash consulting expense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00" w:type="dxa"/>
            <w:vAlign w:val="bottom"/>
          </w:tcPr>
          <w:p>
            <w:pPr>
              <w:ind w:left="460"/>
              <w:spacing w:after="0"/>
              <w:rPr>
                <w:sz w:val="20"/>
                <w:szCs w:val="20"/>
                <w:color w:val="auto"/>
              </w:rPr>
            </w:pPr>
            <w:r>
              <w:rPr>
                <w:rFonts w:ascii="Arial" w:cs="Arial" w:eastAsia="Arial" w:hAnsi="Arial"/>
                <w:sz w:val="16"/>
                <w:szCs w:val="16"/>
                <w:color w:val="auto"/>
              </w:rPr>
              <w:t>Accounts receivables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6D6D6D"/>
              </w:rPr>
              <w:t>(434)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6D6D6D"/>
              </w:rPr>
              <w:t>—</w:t>
            </w:r>
          </w:p>
        </w:tc>
      </w:tr>
      <w:tr>
        <w:trPr>
          <w:trHeight w:val="219"/>
        </w:trPr>
        <w:tc>
          <w:tcPr>
            <w:tcW w:w="7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Prepaids and other current assets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w:t>
            </w:r>
          </w:p>
        </w:tc>
      </w:tr>
      <w:tr>
        <w:trPr>
          <w:trHeight w:val="213"/>
        </w:trPr>
        <w:tc>
          <w:tcPr>
            <w:tcW w:w="7800" w:type="dxa"/>
            <w:vAlign w:val="bottom"/>
          </w:tcPr>
          <w:p>
            <w:pPr>
              <w:ind w:left="440"/>
              <w:spacing w:after="0"/>
              <w:rPr>
                <w:sz w:val="20"/>
                <w:szCs w:val="20"/>
                <w:color w:val="auto"/>
              </w:rPr>
            </w:pPr>
            <w:r>
              <w:rPr>
                <w:rFonts w:ascii="Arial" w:cs="Arial" w:eastAsia="Arial" w:hAnsi="Arial"/>
                <w:sz w:val="16"/>
                <w:szCs w:val="16"/>
                <w:color w:val="auto"/>
              </w:rPr>
              <w:t>Other non-current assets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19"/>
        </w:trPr>
        <w:tc>
          <w:tcPr>
            <w:tcW w:w="7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r>
      <w:tr>
        <w:trPr>
          <w:trHeight w:val="213"/>
        </w:trPr>
        <w:tc>
          <w:tcPr>
            <w:tcW w:w="7800" w:type="dxa"/>
            <w:vAlign w:val="bottom"/>
          </w:tcPr>
          <w:p>
            <w:pPr>
              <w:ind w:left="440"/>
              <w:spacing w:after="0"/>
              <w:rPr>
                <w:sz w:val="20"/>
                <w:szCs w:val="20"/>
                <w:color w:val="auto"/>
              </w:rPr>
            </w:pPr>
            <w:r>
              <w:rPr>
                <w:rFonts w:ascii="Arial" w:cs="Arial" w:eastAsia="Arial" w:hAnsi="Arial"/>
                <w:sz w:val="16"/>
                <w:szCs w:val="16"/>
                <w:color w:val="auto"/>
              </w:rPr>
              <w:t>Accrued liabilities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(1,298)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(2,555)</w:t>
            </w:r>
          </w:p>
        </w:tc>
      </w:tr>
      <w:tr>
        <w:trPr>
          <w:trHeight w:val="219"/>
        </w:trPr>
        <w:tc>
          <w:tcPr>
            <w:tcW w:w="7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interest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7800" w:type="dxa"/>
            <w:vAlign w:val="bottom"/>
          </w:tcPr>
          <w:p>
            <w:pPr>
              <w:ind w:left="440"/>
              <w:spacing w:after="0"/>
              <w:rPr>
                <w:sz w:val="20"/>
                <w:szCs w:val="20"/>
                <w:color w:val="auto"/>
              </w:rPr>
            </w:pPr>
            <w:r>
              <w:rPr>
                <w:rFonts w:ascii="Arial" w:cs="Arial" w:eastAsia="Arial" w:hAnsi="Arial"/>
                <w:sz w:val="16"/>
                <w:szCs w:val="16"/>
                <w:color w:val="auto"/>
              </w:rPr>
              <w:t>Other current liabilities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7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Contract liabilities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3"/>
        </w:trPr>
        <w:tc>
          <w:tcPr>
            <w:tcW w:w="7800" w:type="dxa"/>
            <w:vAlign w:val="bottom"/>
          </w:tcPr>
          <w:p>
            <w:pPr>
              <w:ind w:left="440"/>
              <w:spacing w:after="0"/>
              <w:rPr>
                <w:sz w:val="20"/>
                <w:szCs w:val="20"/>
                <w:color w:val="auto"/>
              </w:rPr>
            </w:pPr>
            <w:r>
              <w:rPr>
                <w:rFonts w:ascii="Arial" w:cs="Arial" w:eastAsia="Arial" w:hAnsi="Arial"/>
                <w:sz w:val="16"/>
                <w:szCs w:val="16"/>
                <w:color w:val="auto"/>
              </w:rPr>
              <w:t>Lease liability</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19"/>
        </w:trPr>
        <w:tc>
          <w:tcPr>
            <w:tcW w:w="7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non-current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(33,228)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(45,943)</w:t>
            </w:r>
          </w:p>
        </w:tc>
      </w:tr>
      <w:tr>
        <w:trPr>
          <w:trHeight w:val="145"/>
        </w:trPr>
        <w:tc>
          <w:tcPr>
            <w:tcW w:w="7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Purchases of property, machinery and equipment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r>
      <w:tr>
        <w:trPr>
          <w:trHeight w:val="213"/>
        </w:trPr>
        <w:tc>
          <w:tcPr>
            <w:tcW w:w="7800" w:type="dxa"/>
            <w:vAlign w:val="bottom"/>
          </w:tcPr>
          <w:p>
            <w:pPr>
              <w:ind w:left="260"/>
              <w:spacing w:after="0"/>
              <w:rPr>
                <w:sz w:val="20"/>
                <w:szCs w:val="20"/>
                <w:color w:val="auto"/>
              </w:rPr>
            </w:pPr>
            <w:r>
              <w:rPr>
                <w:rFonts w:ascii="Arial" w:cs="Arial" w:eastAsia="Arial" w:hAnsi="Arial"/>
                <w:sz w:val="16"/>
                <w:szCs w:val="16"/>
                <w:color w:val="auto"/>
              </w:rPr>
              <w:t>Proceeds from sale of property, machinery and equipment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7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Purchases of intangible assets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r>
      <w:tr>
        <w:trPr>
          <w:trHeight w:val="145"/>
        </w:trPr>
        <w:tc>
          <w:tcPr>
            <w:tcW w:w="7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13"/>
        </w:trPr>
        <w:tc>
          <w:tcPr>
            <w:tcW w:w="7800" w:type="dxa"/>
            <w:vAlign w:val="bottom"/>
          </w:tcPr>
          <w:p>
            <w:pPr>
              <w:ind w:left="260"/>
              <w:spacing w:after="0"/>
              <w:rPr>
                <w:sz w:val="20"/>
                <w:szCs w:val="20"/>
                <w:color w:val="auto"/>
              </w:rPr>
            </w:pPr>
            <w:r>
              <w:rPr>
                <w:rFonts w:ascii="Arial" w:cs="Arial" w:eastAsia="Arial" w:hAnsi="Arial"/>
                <w:sz w:val="16"/>
                <w:szCs w:val="16"/>
                <w:color w:val="auto"/>
              </w:rPr>
              <w:t>Proceeds from employee stock purchase plan</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9"/>
        </w:trPr>
        <w:tc>
          <w:tcPr>
            <w:tcW w:w="7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Repurchase of Section 16 Officer shares for tax coverage exchange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7800" w:type="dxa"/>
            <w:vAlign w:val="bottom"/>
          </w:tcPr>
          <w:p>
            <w:pPr>
              <w:ind w:left="260"/>
              <w:spacing w:after="0"/>
              <w:rPr>
                <w:sz w:val="20"/>
                <w:szCs w:val="20"/>
                <w:color w:val="auto"/>
              </w:rPr>
            </w:pPr>
            <w:r>
              <w:rPr>
                <w:rFonts w:ascii="Arial" w:cs="Arial" w:eastAsia="Arial" w:hAnsi="Arial"/>
                <w:sz w:val="16"/>
                <w:szCs w:val="16"/>
                <w:color w:val="auto"/>
              </w:rPr>
              <w:t>Principal payments on loan payable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(6,298)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(3,763)</w:t>
            </w:r>
          </w:p>
        </w:tc>
      </w:tr>
      <w:tr>
        <w:trPr>
          <w:trHeight w:val="219"/>
        </w:trPr>
        <w:tc>
          <w:tcPr>
            <w:tcW w:w="7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Payment of deferred offering costs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Pr>
          <w:p>
            <w:pPr>
              <w:ind w:left="260"/>
              <w:spacing w:after="0"/>
              <w:rPr>
                <w:sz w:val="20"/>
                <w:szCs w:val="20"/>
                <w:color w:val="auto"/>
              </w:rPr>
            </w:pPr>
            <w:r>
              <w:rPr>
                <w:rFonts w:ascii="Arial" w:cs="Arial" w:eastAsia="Arial" w:hAnsi="Arial"/>
                <w:sz w:val="16"/>
                <w:szCs w:val="16"/>
                <w:color w:val="auto"/>
              </w:rPr>
              <w:t>Payment for repurchase of common shares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(10,000)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issuance of common stock and related warrants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Payments for issuance costs related to common stock and related warrants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w:t>
            </w:r>
          </w:p>
        </w:tc>
      </w:tr>
      <w:tr>
        <w:trPr>
          <w:trHeight w:val="145"/>
        </w:trPr>
        <w:tc>
          <w:tcPr>
            <w:tcW w:w="7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16"/>
        </w:trPr>
        <w:tc>
          <w:tcPr>
            <w:tcW w:w="7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Decrease in cash, cash equivalents and restricted cash</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(40,261)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(50,165)</w:t>
            </w:r>
          </w:p>
        </w:tc>
      </w:tr>
      <w:tr>
        <w:trPr>
          <w:trHeight w:val="213"/>
        </w:trPr>
        <w:tc>
          <w:tcPr>
            <w:tcW w:w="78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Cash, cash equivalents and restricted cash, beginning of period</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62,413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160,547</w:t>
            </w:r>
          </w:p>
        </w:tc>
      </w:tr>
      <w:tr>
        <w:trPr>
          <w:trHeight w:val="210"/>
        </w:trPr>
        <w:tc>
          <w:tcPr>
            <w:tcW w:w="7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cash equivalents and restricted cash, end of period</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110,382</w:t>
            </w:r>
          </w:p>
        </w:tc>
      </w:tr>
      <w:tr>
        <w:trPr>
          <w:trHeight w:val="145"/>
        </w:trPr>
        <w:tc>
          <w:tcPr>
            <w:tcW w:w="7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00" w:type="dxa"/>
            <w:vAlign w:val="bottom"/>
          </w:tcPr>
          <w:p>
            <w:pPr>
              <w:ind w:left="180"/>
              <w:spacing w:after="0"/>
              <w:rPr>
                <w:sz w:val="20"/>
                <w:szCs w:val="20"/>
                <w:color w:val="auto"/>
              </w:rPr>
            </w:pPr>
            <w:r>
              <w:rPr>
                <w:rFonts w:ascii="Arial" w:cs="Arial" w:eastAsia="Arial" w:hAnsi="Arial"/>
                <w:sz w:val="16"/>
                <w:szCs w:val="16"/>
                <w:color w:val="auto"/>
              </w:rPr>
              <w:t>Purchases of property, machinery and equipment in accounts payable and accrued expenses at period end</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offering costs in accounts payable and accrued expenses at period end</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Pr>
          <w:p>
            <w:pPr>
              <w:ind w:left="180"/>
              <w:spacing w:after="0"/>
              <w:rPr>
                <w:sz w:val="20"/>
                <w:szCs w:val="20"/>
                <w:color w:val="auto"/>
              </w:rPr>
            </w:pPr>
            <w:r>
              <w:rPr>
                <w:rFonts w:ascii="Arial" w:cs="Arial" w:eastAsia="Arial" w:hAnsi="Arial"/>
                <w:sz w:val="16"/>
                <w:szCs w:val="16"/>
                <w:color w:val="auto"/>
              </w:rPr>
              <w:t>Stock repurchase liability fair value</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5,780</w:t>
            </w:r>
          </w:p>
        </w:tc>
      </w:tr>
      <w:tr>
        <w:trPr>
          <w:trHeight w:val="165"/>
        </w:trPr>
        <w:tc>
          <w:tcPr>
            <w:tcW w:w="78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interest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Momentus Inc. (together with its consolidated subsidiaries “Momentus” or the “Company”) is a U.S. commercial space company that offers in-space infrastructure services, including in-space transportation, hosted payloads and in-orbit services. Momentus is making new ways of operating in space possible with its in-space transfer and service vehicles, powered by an innovative, space-proven water plasma-based propulsion system.</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25, 2022, the Company launched its Vigoride 3 Orbital Service Vehicle (OSV) to low-earth orbit aboard the SpaceX Transporter-5 mission. In addition to Vigoride 3, Momentus used a second port on the same SpaceX mission to fly a third-party deployer from a partner company. Momentus deployed a total of eight customer satellites in low-earth orbit during its inaugural mission, comprising seven satellites from Vigoride 3 and one satellite from the third-party deployer system. The Company incorporated improvements identified during its inaugural mission in advance of its first follow-on mission and other planned follow-on missions.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 2023, the Company launched its Vigoride 5 OSV to low-earth orbit aboard the SpaceX Transporter-6 mission. The mission is ongoing and the Vigoride 5 OSV is maneuvering under its own power in low-earth orbit. The primary mission objective is to test the spacecraft on orbit, learn from any issues that are encountered and implement lessons-learned on future Vigoride vehicles and missions. The mission also supported two customers: the Qosmosys Zeus-1 payload which was deployed on orbit on May 10, 2023, and Caltech’s Space Solar Power Demonstrator project, a hosted payload for which the Vigoride 5 continues to provide thrusting maneuvers and on-orbit support, including providing data, communication, commanding and telemetry, and resources for optimal picture taking and solar cell lighting.</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Vigoride 5 mission, we successfully completed the initial tests on-orbit of the pioneering Microwave Electrothermal Thruster (MET) that relies on solar power and uses distilled water as a propellant. The MET is the Vigoride OSV’s primary propulsion method that produces thrust by expelling extremely hot gases through a rocket nozzle. Unlike a conventional chemical rocket engine, which creates thrust through a chemical reaction, the MET is designed to create a plasma and thrust using solar power to drive a microwave energy source that heats the water propellant. Momentus has two patents in support of this proprietary propulsion technology.</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recent MET testing done on-orbit included dozens of firings of the thruster that imparted forces on the Vigoride 5 spacecraft. These forces can change the orbital velocity of the spacecraft, allowing the orbit to be adjusted, changing parameters such as altitude and orbital inclination. This capability allows Momentus to deliver its customers’ payloads to custom orbits. Momentus has used the MET to change the spacecraft altitude during the current Vigoride 5 mission.</w:t>
      </w:r>
    </w:p>
    <w:p>
      <w:pPr>
        <w:spacing w:after="0" w:line="2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Vigoride OSV’s Attitude Control and Reaction Control Systems also use water as a propellant and were recently tested and fully commissioned. With its water-based propulsion systems, Momentus aims to offer cost-effective, efficient, safe, and environmentally friendly propulsion to meet the demands for in-space transportation and infrastructure services.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15, 2023, the Company launched its Vigoride 6 OSV to low-earth orbit aboard the SpaceX Transporter-7 mission and used its MET to change the orbital inclination of the Vigoride 6 OSV to support the deliveries of six customer payloads, including two satellites for the NASA LLITED mission.</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Vigoride 6 mission is also hosting a Momentus technology demonstration of a new kind of solar array. The Tape Spring Solar Array (TASSA) technology features large sheets of flexible solar cells bonded to tape springs. To stow, they are tightly coiled around a mandrel. After launch, motors unroll the mandrel, deploying the solar array. Momentus aims to drive down vehicle production costs and streamline on-orbit operations, while reducing the cost of power for the satellite, with this technology once operational.</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Momentus has entered a new phase by operating two spacecraft in orbit concurrently as the Company continues to grow its capabilities. The Company anticipates flying its next mission with its Vigoride OSV in early 2024. All future missions remain subject to the receipt of licenses and government approvals, and the successful completion 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efforts to prepare our spacecraft for flight. The Company can offer no assurances that the vehicles that it plans to operate in the future missions will be ready on time, or that they will operate as intended.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Business Combination was accounted for as a reverse recapitalization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with SRAC and its two wholly owned subsidiaries. The Company received gross proceeds of $247.3 million upon the closing of the Business Combination. Public and private warrants of SRAC were assumed by the Company as a result of the Business Combination.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2"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The going concern basis of presentation assumes that the Company will continue in operation one year after the date these unaudited condensed consolidated interim financial statements are issued and will be able to realize its assets and discharge its liabilities and commitments in the normal course of business. The Company’s ability to continue as a going concern is dependent on the Company’s ability to successfully raise capital to fund its business operations and execute on its business plan. To date the Company remains heavily focused on growth and continued development of its proprietary technology, as a result of this it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$18.8 million and $39.7 million for the three and six months ended June 30, 2023, respectively, and accumulated deficit of $343.8 million as of June 30, 2023. Additionally, the Company used net cash of $33.2 million to fund its operating activities for the six months ended June 30, 2023, and had cash and cash equivalents of $21.3 million as of June 30, 2023.</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unaudited condensed consolidated interim financial statements are issued. This evaluation does not take into consideration the potential mitigating effect of management’s plans that have not been fully implemented or are not within control of the Company as of the date the unaudited condensed consolidated interim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unaudited condensed consolidated Interim financial statements are issued, and (2) it is probable that the plans, when implemented, will mitigate the relevant conditions or events that raise substantial doubt about the entity’s ability to continue as a going concern within one year after the date that the unaudited condensed consolidated interim financial statements are issued.</w:t>
      </w:r>
    </w:p>
    <w:p>
      <w:pPr>
        <w:spacing w:after="0" w:line="219"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In connection with the preparation of the condensed consolidated financial statements for the three and six months ended June 30, 2023,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its regular operations and commercial scale production and sale of its services and products. These conditions raise substantial doubt regarding its ability to continue as a going concern for a period of at least one year from the date of issuance of these unaudited condensed consolidated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through equity or debt financings, which may not be available to the Company on the timing needed or on terms that the Company deems to be favorable. In an effort to alleviate these conditions, the Company has recently executed a term sheet to raise capital with Deutsche Bank and continues to seek and evaluate all opportunities to access additional capital through any available means.</w:t>
      </w:r>
    </w:p>
    <w:p>
      <w:pPr>
        <w:spacing w:after="0" w:line="203"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205"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The accompanying condensed consolidated financial statements have been prepared on a going concern basis of accounting. The accompanying condensed consolidated financial statements do not reflect any adjustments that might result if the Company is unable to continue as a going concern.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interim unaudited condensed consolidated financial statements have been prepared in accordance with GAAP and pursuant to the rules and regulations of the U.S. Securities and Exchange Commission (the “SEC”). Certain information and footnote disclosures normally included in financial statements prepared in accordance with GAAP have been condensed or omitted pursuant to such rules and regulations. The balance sheet as of December 31, 2022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unaudited interim condensed consolidated financial statements have been prepared on the same basis as the audited financial statements. The accompanying unaudited interim condensed consolidated financial statements contain all adjustments that are necessary to present fairly the Company’s financial position as of June 30, 2023 and December 31, 2022, the results of operations for the three and six months ended June 30, 2023 and 2022, the statement of stockholders’ equity for the three and six months ended June 30, 2023 and 2022, and cash flows for the six months ended June 30, 2023 and 2022. Such adjustments are of a normal and recurring nature. The results for the three and six months ended June 30, 2023 are not necessarily indicative of the results for the year ending December 31, 2023, or for any future period. These interim condensed consolidated financial statements should be read in conjunction with the audited financial statements as of and for the years ended December 31, 2022 and 2021 filed with the SEC in our Annual Report on Form 10-K filed by the Company on March 8, 2023.</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financial statements of all the subsidiaries. All inter-company transactions and balances have been eliminated upon consolidation.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in the condensed consolidated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condensed consolidated financial statements include, but are not limited to, accounting for useful lives of property, machinery and equipment, net, intangible assets, net, accrued liabilities, leases, income taxes including deferred tax assets and liabilities, impairment valuation, stock-based compensation, and warrant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and has elected to take advantage of the benefits of the extended transition period for new or revised financial accounting standards. The Company will remain an emerging growth company until the earliest of (i) the last day of the fiscal year in which the market value of Common Stock that is held by non-affiliates exceeds $700 million as of the end of that year’s second fiscal quarter,</w:t>
      </w:r>
    </w:p>
    <w:p>
      <w:pPr>
        <w:spacing w:after="0" w:line="2" w:lineRule="exact"/>
        <w:rPr>
          <w:sz w:val="20"/>
          <w:szCs w:val="20"/>
          <w:color w:val="auto"/>
        </w:rPr>
      </w:pPr>
    </w:p>
    <w:p>
      <w:pPr>
        <w:jc w:val="both"/>
        <w:ind w:firstLine="8"/>
        <w:spacing w:after="0" w:line="252" w:lineRule="auto"/>
        <w:tabs>
          <w:tab w:leader="none" w:pos="28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last day of the fiscal year in which the Company after the consummation of the Business Combination has total annual gross revenue of $1.07 billion or more during such fiscal year (as indexed for inflation), (iii) the date on which the Company has issued more than $1 billion in non-convertible debt in the prior three-year period or (iv) December 31, 2024.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consist of cash on hand, cash in bank with no restrictions, as well as highly liquid investments which are unrestricted as to withdrawal or use, and which have remaining maturities of three months or less when initially purchased.</w:t>
      </w:r>
    </w:p>
    <w:p>
      <w:pPr>
        <w:spacing w:after="0" w:line="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places its cash in the bank, which may at times be in excess of the United States' Federal Deposit Insurance Corporation insurance limits, with high credit quality financial institutions and attempts to limit the amount of credit exposure with any one institution.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Restricted cash primarily represents deposited cash that is restricted by financial institutions for two purposes. $0.4 million is restricted primarily as collateral for a letter of credit issued to the Company’s landlord in accordance with the terms of a lease agreement entered into in December 2020, and is classified as a non-current asset as it will be returned to the Company upon the occurrence of future events which are expected to occur beyond one year from June 30, 2023. The remaining $0.5 million is restricted for expenditures related to the NSA. See Note 12 for additional information regarding the NSA.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Fulfillment and Prepaid Launch Costs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prepays for certain launch costs to third-party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and December 31, 2022, the Company had deferred fulfillment and prepaid launch costs of $6.3 million and $7.4 million, respectively, with $1.5 million and $3.0 million recorded within prepaids and other current assets, respectively, and $4.8 million and $4.4 million are recorded other non-current asset, respectively, in our condensed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Machinery and Equipment, net</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ind w:left="20"/>
              <w:spacing w:after="0"/>
              <w:rPr>
                <w:sz w:val="20"/>
                <w:szCs w:val="20"/>
                <w:color w:val="auto"/>
              </w:rPr>
            </w:pPr>
            <w:r>
              <w:rPr>
                <w:rFonts w:ascii="Arial" w:cs="Arial" w:eastAsia="Arial" w:hAnsi="Arial"/>
                <w:sz w:val="16"/>
                <w:szCs w:val="16"/>
                <w:b w:val="1"/>
                <w:bCs w:val="1"/>
                <w:color w:val="auto"/>
              </w:rPr>
              <w:t>Fixed Assets</w:t>
            </w:r>
          </w:p>
        </w:tc>
        <w:tc>
          <w:tcPr>
            <w:tcW w:w="8240" w:type="dxa"/>
            <w:vAlign w:val="bottom"/>
          </w:tcPr>
          <w:p>
            <w:pPr>
              <w:spacing w:after="0"/>
              <w:rPr>
                <w:sz w:val="20"/>
                <w:szCs w:val="20"/>
                <w:color w:val="auto"/>
              </w:rPr>
            </w:pPr>
            <w:r>
              <w:rPr>
                <w:rFonts w:ascii="Arial" w:cs="Arial" w:eastAsia="Arial" w:hAnsi="Arial"/>
                <w:sz w:val="16"/>
                <w:szCs w:val="16"/>
                <w:b w:val="1"/>
                <w:bCs w:val="1"/>
                <w:color w:val="auto"/>
              </w:rPr>
              <w:t>Estimated Useful Life</w:t>
            </w:r>
          </w:p>
        </w:tc>
      </w:tr>
      <w:tr>
        <w:trPr>
          <w:trHeight w:val="33"/>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40" w:type="dxa"/>
            <w:vAlign w:val="bottom"/>
            <w:tcBorders>
              <w:bottom w:val="single" w:sz="8" w:color="auto"/>
            </w:tcBorders>
          </w:tcPr>
          <w:p>
            <w:pPr>
              <w:spacing w:after="0"/>
              <w:rPr>
                <w:sz w:val="2"/>
                <w:szCs w:val="2"/>
                <w:color w:val="auto"/>
              </w:rPr>
            </w:pPr>
          </w:p>
        </w:tc>
      </w:tr>
      <w:tr>
        <w:trPr>
          <w:trHeight w:val="25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Three years</w:t>
            </w:r>
          </w:p>
        </w:tc>
      </w:tr>
      <w:tr>
        <w:trPr>
          <w:trHeight w:val="25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8240" w:type="dxa"/>
            <w:vAlign w:val="bottom"/>
          </w:tcPr>
          <w:p>
            <w:pPr>
              <w:spacing w:after="0"/>
              <w:rPr>
                <w:sz w:val="20"/>
                <w:szCs w:val="20"/>
                <w:color w:val="auto"/>
              </w:rPr>
            </w:pPr>
            <w:r>
              <w:rPr>
                <w:rFonts w:ascii="Arial" w:cs="Arial" w:eastAsia="Arial" w:hAnsi="Arial"/>
                <w:sz w:val="18"/>
                <w:szCs w:val="18"/>
                <w:color w:val="auto"/>
              </w:rPr>
              <w:t>Five years</w:t>
            </w:r>
          </w:p>
        </w:tc>
      </w:tr>
      <w:tr>
        <w:trPr>
          <w:trHeight w:val="26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Lesser of estimated useful life or remaining lease term (one year to seven years)</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Machinery and equipment</w:t>
            </w:r>
          </w:p>
        </w:tc>
        <w:tc>
          <w:tcPr>
            <w:tcW w:w="8240" w:type="dxa"/>
            <w:vAlign w:val="bottom"/>
          </w:tcPr>
          <w:p>
            <w:pPr>
              <w:spacing w:after="0"/>
              <w:rPr>
                <w:sz w:val="20"/>
                <w:szCs w:val="20"/>
                <w:color w:val="auto"/>
              </w:rPr>
            </w:pPr>
            <w:r>
              <w:rPr>
                <w:rFonts w:ascii="Arial" w:cs="Arial" w:eastAsia="Arial" w:hAnsi="Arial"/>
                <w:sz w:val="18"/>
                <w:szCs w:val="18"/>
                <w:color w:val="auto"/>
              </w:rPr>
              <w:t>Seven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Costs of maintenance or repairs that do not extend the lives of the respective assets are charged to expenses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w:t>
      </w:r>
      <w:r>
        <w:rPr>
          <w:rFonts w:ascii="Arial" w:cs="Arial" w:eastAsia="Arial" w:hAnsi="Arial"/>
          <w:sz w:val="18"/>
          <w:szCs w:val="18"/>
          <w:color w:val="auto"/>
        </w:rPr>
        <w:t>, the Company presents capitalized implementation costs for cloud computing arrangements within prepaid and other current assets, and other non-current assets to properly present the capitalized costs with their related subscription fees.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Offering costs consist of legal, accounting, underwriting fees and other costs incurred that are directly related to fundraising activities. During the year ended December 31, 2022, and the six months ended June 30, 2023, deferred offering costs were attributable to the Company’s S-3 Universal Shelf registration (the “Form S-3”) and the at-the-market offering program and Securities Purchase Agreement. These costs will be netted with the proceeds proportional to the at-the-market program fundraising and any future fundraising under the "Form S-3". Refer to Note 9 for 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estimates loss contingencies in accordance with ASC 450-20, </w:t>
      </w:r>
      <w:r>
        <w:rPr>
          <w:rFonts w:ascii="Arial" w:cs="Arial" w:eastAsia="Arial" w:hAnsi="Arial"/>
          <w:sz w:val="16"/>
          <w:szCs w:val="16"/>
          <w:i w:val="1"/>
          <w:iCs w:val="1"/>
          <w:color w:val="auto"/>
        </w:rPr>
        <w:t>Loss Contingencies</w:t>
      </w:r>
      <w:r>
        <w:rPr>
          <w:rFonts w:ascii="Arial" w:cs="Arial" w:eastAsia="Arial" w:hAnsi="Arial"/>
          <w:sz w:val="16"/>
          <w:szCs w:val="16"/>
          <w:color w:val="auto"/>
        </w:rPr>
        <w:t xml:space="preserve"> (“ASC 450-20”), which states that a loss contingency shall be accrued by a charge to income if both of the following conditions are met: (i) information available before the condensed consolidated financial statements are issued or are available to be issued indicates that it is probable that a liability had been incurred at the date of the condensed consolidated financial statements and (ii) the amount of loss can be reasonably estimated. We regularly evaluate current information available to us to determine whether such accruals should be adjusted and whether new accruals are required. Refer to Note 12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also has services available on a ‘stand ready’ basis as needed until the mission reaches its conclusion. The Company recognizes revenue for these in-orbit services ratably over time on a straight-line basis.</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Company accounts for customer contracts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which includes the following five-step model:</w:t>
      </w:r>
    </w:p>
    <w:p>
      <w:pPr>
        <w:spacing w:after="0" w:line="10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part of its contracts with customers, the Company collects up-front non-refundable deposits prior to launch. As of June 30, 2023, and December 31, 2022, the Company had customer deposit balances of $2.0 million and $2.7 million, respectively, related to signed contracts with customers, including firm orders and options (some of which have already been exercised by customers). These deposits are recorded as current and non-current contract liabilities in the Company’s condensed consolidated balance sheets. Included in the collected amount as of June 30, 2023 and December 31, 2022 are $0.8 million and $1.0 million, respectively, of non-current deposits.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six months ended June 30, 2023, the Company recognized $1.7 million of revenue, due to transportation services performed in Vigoride 5 and Vigoride 6 spaceship launches, on-going hosting services in Vigoride 5, and forfeited customer deposits primarily related to expired options. The Company recognized $0.1 million in revenue during the six months ended June 30,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The disaggregation of revenue by type is as follows:</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46"/>
        </w:trPr>
        <w:tc>
          <w:tcPr>
            <w:tcW w:w="4280" w:type="dxa"/>
            <w:vAlign w:val="bottom"/>
          </w:tcPr>
          <w:p>
            <w:pPr>
              <w:spacing w:after="0"/>
              <w:rPr>
                <w:sz w:val="24"/>
                <w:szCs w:val="24"/>
                <w:color w:val="auto"/>
              </w:rPr>
            </w:pPr>
          </w:p>
        </w:tc>
        <w:tc>
          <w:tcPr>
            <w:tcW w:w="29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spacing w:after="0"/>
              <w:rPr>
                <w:sz w:val="20"/>
                <w:szCs w:val="20"/>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services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In-orbit services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forfeited customer deposits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119" w:lineRule="exact"/>
        <w:rPr>
          <w:sz w:val="20"/>
          <w:szCs w:val="20"/>
          <w:color w:val="auto"/>
        </w:rPr>
      </w:pPr>
    </w:p>
    <w:p>
      <w:pPr>
        <w:ind w:left="480" w:hanging="148"/>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144" w:lineRule="exact"/>
        <w:rPr>
          <w:rFonts w:ascii="Arial" w:cs="Arial" w:eastAsia="Arial" w:hAnsi="Arial"/>
          <w:sz w:val="18"/>
          <w:szCs w:val="18"/>
          <w:color w:val="auto"/>
        </w:rPr>
      </w:pPr>
    </w:p>
    <w:p>
      <w:pPr>
        <w:ind w:left="480" w:hanging="148"/>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unobservable inputs in which there is little or no market data, which requires that the Company develop its own assumptions.</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three and six months ended June 30, 2023 and 2022.</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warrants are recorded as a derivative liability pursuant to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and are classified within Level 3 of the fair value hierarchy as the Company is using the Black Scholes Option Pricing model. The primary significant unobservable input used in the valuation of the warrants is expected stock price volatility.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remaining expected life of the warrants. The expected term was based on the maturity of the warrants, which is 5 years.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 price of Company’s Common Stock on the Closing Date, as the expected term and volatility were immaterial to the pricing model.</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Company’s performance awards under the equity incentive plans are recorded as contingent liabilities pursuant to ASC 480, </w:t>
      </w:r>
      <w:r>
        <w:rPr>
          <w:rFonts w:ascii="Arial" w:cs="Arial" w:eastAsia="Arial" w:hAnsi="Arial"/>
          <w:sz w:val="17"/>
          <w:szCs w:val="17"/>
          <w:i w:val="1"/>
          <w:iCs w:val="1"/>
          <w:color w:val="auto"/>
        </w:rPr>
        <w:t>Distinguishing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Equity </w:t>
      </w:r>
      <w:r>
        <w:rPr>
          <w:rFonts w:ascii="Arial" w:cs="Arial" w:eastAsia="Arial" w:hAnsi="Arial"/>
          <w:sz w:val="17"/>
          <w:szCs w:val="17"/>
          <w:color w:val="auto"/>
        </w:rPr>
        <w:t>(“ASC 480”), measured at fair value. The performance awards are classified within Level 3 of the hierarchy as the fair value is dependent 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assumptions about the likelihood of non-market outcomes. See Note 10 for additional information.</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stock repurchase agreements with the Co-Founders (see Note 12 for additional information) are recorded as contingent liabilities pursuant to ASC 480, measured at fair value. The stock repurchase agreements are classified within Level 3 of the hierarchy as the fair value is dependent on management assumptions about the likelihood of non-market outcomes. The Company paid $10.0 million to satisfy the stock repurchase agreement contingent liabilities during the three months ended March 31, 2023 (see Note 9 for additional information). There were no transfers between levels of input during the three and six months ended June 30, 2023 and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fair values of liabilities subject to recurring remeasurement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Level</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 as of</w:t>
            </w:r>
          </w:p>
        </w:tc>
        <w:tc>
          <w:tcPr>
            <w:tcW w:w="10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 of Stock</w:t>
            </w:r>
          </w:p>
        </w:tc>
        <w:tc>
          <w:tcPr>
            <w:tcW w:w="16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8"/>
              </w:rPr>
              <w:t>Change in Fair Value</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35"/>
              <w:spacing w:after="0"/>
              <w:rPr>
                <w:sz w:val="20"/>
                <w:szCs w:val="20"/>
                <w:color w:val="auto"/>
              </w:rPr>
            </w:pPr>
            <w:r>
              <w:rPr>
                <w:rFonts w:ascii="Arial" w:cs="Arial" w:eastAsia="Arial" w:hAnsi="Arial"/>
                <w:sz w:val="16"/>
                <w:szCs w:val="16"/>
                <w:b w:val="1"/>
                <w:bCs w:val="1"/>
                <w:color w:val="auto"/>
                <w:w w:val="89"/>
              </w:rPr>
              <w:t>Fair value as of June</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1"/>
              </w:rPr>
              <w:t>December 31, 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1"/>
              </w:rPr>
              <w:t>Repurchase Liability</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30, 2023</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 Liability</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Stock Repurchase Liability</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5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459"/>
        </w:trPr>
        <w:tc>
          <w:tcPr>
            <w:tcW w:w="11240" w:type="dxa"/>
            <w:vAlign w:val="bottom"/>
            <w:gridSpan w:val="14"/>
          </w:tcPr>
          <w:p>
            <w:pPr>
              <w:spacing w:after="0"/>
              <w:rPr>
                <w:sz w:val="20"/>
                <w:szCs w:val="20"/>
                <w:color w:val="auto"/>
              </w:rPr>
            </w:pPr>
            <w:r>
              <w:rPr>
                <w:rFonts w:ascii="Arial" w:cs="Arial" w:eastAsia="Arial" w:hAnsi="Arial"/>
                <w:sz w:val="18"/>
                <w:szCs w:val="18"/>
                <w:color w:val="auto"/>
              </w:rPr>
              <w:t>Key assumptions for the Black-Scholes model used to determine the fair value of warrants outstanding as of June 30, 2023 were as follows:</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term (years)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98.90 %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4.42 %</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private warrants and stock purchase warrants are recorded as derivative liabilities pursuant to ASC 815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condensed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condensed consolidated statements of stockholders’ equity.</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warrants issued by Momentus Inc. prior to the Business Combination were exercised in connection with the Business Combination and as a result, the Company performed a fair value measurement of those warrants on the Closing Date and recorded the change in the instruments’ fair values prior to converting them to equity. The warrants assumed by the Company as a result of the Business Combination remain outstanding.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and Private Warrants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Business Combination, SRAC issued 11,272,500 private placement warrants (“Private Warrants”) and 8,625,000 public warrants (“Public Warrants” and, together with the “Private Warrants”, “Warrants”). Each whole warrant entitles the holder to purchase one share of the Company’s common stock at a price of $11.50 per share,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subject to adjustments and will expire five years after the Business Combination or earlier upon redemption or liquidation.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operations at each reporting date. The fair value of the Private Warrants was measured using the Black-Scholes option-pricing model at each measurement date.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815, at the initial recognition.</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than the Public and Private Warrants noted above, the company also had other warrants issued and outstanding which were recognized as derivative liabilities in accordance with ASC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Black- Scholes model and were subsequently remeasured at each reporting period with changes recorded as a component of other income in the Company’s condensed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Loss Per Share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Net loss per share is provided in accordance with FASB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three and six months ended June 30, 2023 and 2022, there were immaterial impairments of long-lived assets. See Note 4 and Note 5 for 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stock incentive plan under which equity awards are granted to employees, directors, and consultants. All stock-based payments are recognized in the condensed consolidated financial statements based on their respective grant date fair values.</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determined using the Black Scholes Merton Option Pricing model, using a six-month expected term to conform with the six month ESPP offering period.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equity awards is expensed over the related service period which is typically the vesting period, and expense is only recognized for awards that are expected to vest. The Company accounts for forfeitures as they occur.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401(k) plan that it offers to its full-time employees. The Company did not contribute to the plan for the three and six months ended June 30, 2023 and 2022.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should be charged to expense.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determines if an arrangement contains a lease at inception based on whether there is an identified property, plant or equipment and whether the Company controls the use of the identified asset throughout the period of use.</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leases are included in the accompanying condensed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 See Note 6 for additional details on the Company’s leases.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1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280,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we are not organized around specific services or geographic regions. We currently operate in one service line providing in-space transportation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w:t>
      </w:r>
    </w:p>
    <w:p>
      <w:pPr>
        <w:spacing w:after="0" w:line="10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chief operating decision maker uses condensed financial information to evaluate our performance, which is the same basis on which our results and performance are communicated to our Board of Directors. Based on the information described above and in accordance with the applicable literature, management has concluded that we are organized and operated as one operating and reportable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Prepaids and Other Current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Prepaids and other current assets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293"/>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launch costs, current</w:t>
            </w: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Prepaid research and development</w:t>
            </w:r>
          </w:p>
        </w:tc>
        <w:tc>
          <w:tcPr>
            <w:tcW w:w="1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2,377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 and other assets</w:t>
            </w:r>
          </w:p>
        </w:tc>
        <w:tc>
          <w:tcPr>
            <w:tcW w:w="1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23"/>
        </w:trPr>
        <w:tc>
          <w:tcPr>
            <w:tcW w:w="7780" w:type="dxa"/>
            <w:vAlign w:val="bottom"/>
          </w:tcPr>
          <w:p>
            <w:pPr>
              <w:ind w:left="2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6,771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 non-current portion of prepaid launch costs recorded in other non-current assets was $4.8 million and $4.4 million,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Machinery and Equipment,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Property, machinery and equipment, net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6"/>
                <w:szCs w:val="16"/>
                <w:color w:val="auto"/>
              </w:rPr>
            </w:pPr>
          </w:p>
        </w:tc>
        <w:tc>
          <w:tcPr>
            <w:tcW w:w="1440" w:type="dxa"/>
            <w:vAlign w:val="bottom"/>
          </w:tcPr>
          <w:p>
            <w:pPr>
              <w:jc w:val="right"/>
              <w:ind w:right="292"/>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in-progress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machinery and equipment, gross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machinery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related to property, machinery and equipment was $0.2 million and $0.4 million for the three and six months ended June 30, 2023, respectively, and $0.2 million and $0.5 million for the three and six months ended June 30,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June 30,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80"/>
        </w:trPr>
        <w:tc>
          <w:tcPr>
            <w:tcW w:w="3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5"/>
                <w:szCs w:val="15"/>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Gross Value</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Remaining Amortization</w:t>
            </w:r>
          </w:p>
        </w:tc>
        <w:tc>
          <w:tcPr>
            <w:tcW w:w="0" w:type="dxa"/>
            <w:vAlign w:val="bottom"/>
          </w:tcPr>
          <w:p>
            <w:pPr>
              <w:spacing w:after="0"/>
              <w:rPr>
                <w:sz w:val="1"/>
                <w:szCs w:val="1"/>
                <w:color w:val="auto"/>
              </w:rPr>
            </w:pPr>
          </w:p>
        </w:tc>
      </w:tr>
      <w:tr>
        <w:trPr>
          <w:trHeight w:val="229"/>
        </w:trPr>
        <w:tc>
          <w:tcPr>
            <w:tcW w:w="38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Period (In Years)</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Patents/Intellectual Property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6.6</w:t>
            </w:r>
          </w:p>
        </w:tc>
        <w:tc>
          <w:tcPr>
            <w:tcW w:w="0" w:type="dxa"/>
            <w:vAlign w:val="bottom"/>
          </w:tcPr>
          <w:p>
            <w:pPr>
              <w:spacing w:after="0"/>
              <w:rPr>
                <w:sz w:val="1"/>
                <w:szCs w:val="1"/>
                <w:color w:val="auto"/>
              </w:rPr>
            </w:pPr>
          </w:p>
        </w:tc>
      </w:tr>
      <w:tr>
        <w:trPr>
          <w:trHeight w:val="223"/>
        </w:trPr>
        <w:tc>
          <w:tcPr>
            <w:tcW w:w="380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December 31,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80"/>
        </w:trPr>
        <w:tc>
          <w:tcPr>
            <w:tcW w:w="3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5"/>
                <w:szCs w:val="15"/>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Gross Value</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Remaining Amortization</w:t>
            </w:r>
          </w:p>
        </w:tc>
        <w:tc>
          <w:tcPr>
            <w:tcW w:w="0" w:type="dxa"/>
            <w:vAlign w:val="bottom"/>
          </w:tcPr>
          <w:p>
            <w:pPr>
              <w:spacing w:after="0"/>
              <w:rPr>
                <w:sz w:val="1"/>
                <w:szCs w:val="1"/>
                <w:color w:val="auto"/>
              </w:rPr>
            </w:pPr>
          </w:p>
        </w:tc>
      </w:tr>
      <w:tr>
        <w:trPr>
          <w:trHeight w:val="230"/>
        </w:trPr>
        <w:tc>
          <w:tcPr>
            <w:tcW w:w="38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Period (In Years)</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Patents/Intellectual Property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7.0</w:t>
            </w:r>
          </w:p>
        </w:tc>
        <w:tc>
          <w:tcPr>
            <w:tcW w:w="0" w:type="dxa"/>
            <w:vAlign w:val="bottom"/>
          </w:tcPr>
          <w:p>
            <w:pPr>
              <w:spacing w:after="0"/>
              <w:rPr>
                <w:sz w:val="1"/>
                <w:szCs w:val="1"/>
                <w:color w:val="auto"/>
              </w:rPr>
            </w:pPr>
          </w:p>
        </w:tc>
      </w:tr>
      <w:tr>
        <w:trPr>
          <w:trHeight w:val="223"/>
        </w:trPr>
        <w:tc>
          <w:tcPr>
            <w:tcW w:w="380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related to intangible assets was $0.01 million and $0.03 million for the three and six months ended June 30, 2023, respectively, and $0.04 million and $0.08 million for the three and six months ended June 30, 2022, respectively.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As of June 30, 2023, the future estimated amortization expense related to intangible assets is as follows:</w:t>
            </w: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5"/>
        </w:trPr>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2024</w:t>
            </w:r>
          </w:p>
        </w:tc>
        <w:tc>
          <w:tcPr>
            <w:tcW w:w="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2026</w:t>
            </w:r>
          </w:p>
        </w:tc>
        <w:tc>
          <w:tcPr>
            <w:tcW w:w="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9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office space under non-cancellable operating leases. In January 2021, the Company commenced a lease in San Jose, California. The lease expires in February 2028. The Company is obligated to pay</w:t>
      </w:r>
    </w:p>
    <w:p>
      <w:pPr>
        <w:sectPr>
          <w:pgSz w:w="11900" w:h="16838" w:orient="portrait"/>
          <w:cols w:equalWidth="0" w:num="1">
            <w:col w:w="11240"/>
          </w:cols>
          <w:pgMar w:left="320" w:top="34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$11 million over the term of the lease. Prior to December 31, 2021, the Company modified two minor leases to extend access until April 2022 to aid the full transition to the San Jose facility. The Company had one additional minor lease that expired in November 2022.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expense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9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ind w:left="3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expense</w:t>
            </w:r>
          </w:p>
        </w:tc>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expense</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480" w:type="dxa"/>
            <w:vAlign w:val="bottom"/>
            <w:gridSpan w:val="11"/>
          </w:tcPr>
          <w:p>
            <w:pPr>
              <w:spacing w:after="0"/>
              <w:rPr>
                <w:sz w:val="20"/>
                <w:szCs w:val="20"/>
                <w:color w:val="auto"/>
              </w:rPr>
            </w:pPr>
            <w:r>
              <w:rPr>
                <w:rFonts w:ascii="Arial" w:cs="Arial" w:eastAsia="Arial" w:hAnsi="Arial"/>
                <w:sz w:val="18"/>
                <w:szCs w:val="18"/>
                <w:color w:val="auto"/>
                <w:w w:val="94"/>
              </w:rPr>
              <w:t>Variable lease expense consists of the Company’s proportionate share of operating expenses, property taxes, and insurance.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480" w:type="dxa"/>
            <w:vAlign w:val="bottom"/>
            <w:gridSpan w:val="11"/>
          </w:tcPr>
          <w:p>
            <w:pPr>
              <w:spacing w:after="0"/>
              <w:rPr>
                <w:sz w:val="20"/>
                <w:szCs w:val="20"/>
                <w:color w:val="auto"/>
              </w:rPr>
            </w:pPr>
            <w:r>
              <w:rPr>
                <w:rFonts w:ascii="Arial" w:cs="Arial" w:eastAsia="Arial" w:hAnsi="Arial"/>
                <w:sz w:val="18"/>
                <w:szCs w:val="18"/>
                <w:color w:val="auto"/>
                <w:w w:val="90"/>
              </w:rPr>
              <w:t>As of June 30, 2023, the weighted-average remaining lease term was 4.7 years and the weighted-average discount rate was 5.6%.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60" w:type="dxa"/>
            <w:vAlign w:val="bottom"/>
            <w:gridSpan w:val="5"/>
          </w:tcPr>
          <w:p>
            <w:pPr>
              <w:spacing w:after="0"/>
              <w:rPr>
                <w:sz w:val="20"/>
                <w:szCs w:val="20"/>
                <w:color w:val="auto"/>
              </w:rPr>
            </w:pPr>
            <w:r>
              <w:rPr>
                <w:rFonts w:ascii="Arial" w:cs="Arial" w:eastAsia="Arial" w:hAnsi="Arial"/>
                <w:sz w:val="18"/>
                <w:szCs w:val="18"/>
                <w:color w:val="auto"/>
                <w:w w:val="95"/>
              </w:rPr>
              <w:t>As of June 30, 2023, the maturities of the Company’s operating lease liabilities were as follows: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2024</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2026</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1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1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Accrued Liabilities</w:t>
            </w:r>
          </w:p>
        </w:tc>
        <w:tc>
          <w:tcPr>
            <w:tcW w:w="1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2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280" w:type="dxa"/>
            <w:vAlign w:val="bottom"/>
          </w:tcPr>
          <w:p>
            <w:pPr>
              <w:spacing w:after="0"/>
              <w:rPr>
                <w:sz w:val="20"/>
                <w:szCs w:val="20"/>
                <w:color w:val="auto"/>
              </w:rPr>
            </w:pPr>
            <w:r>
              <w:rPr>
                <w:rFonts w:ascii="Arial" w:cs="Arial" w:eastAsia="Arial" w:hAnsi="Arial"/>
                <w:sz w:val="18"/>
                <w:szCs w:val="18"/>
                <w:color w:val="auto"/>
              </w:rPr>
              <w:t>Accrued expenses consisted of the following:</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and other professional services</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projects</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liabilities</w:t>
            </w:r>
          </w:p>
        </w:tc>
        <w:tc>
          <w:tcPr>
            <w:tcW w:w="11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Loan Payable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22, 2021, the Company entered into a Term Loan and Security Agreement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Loan Payable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exercised extended repayment schedule, the unamortized discount and issuance costs were recast over the updated term of the loan and resulted in a recalculated effective interest rate of 28.2%. Interest expense amortization was $0.4 million and $0.9 million for the three and six months ended June 30, 2023, respectively, and $0.7 million and $1.5 million for the three and six months ended June 30, 2022, respectively.</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 Company’s total loan payable consisted of gross Term Loan payable of $9.0 million and accrued interest of $0.2 million, offset by unamortized debt discount and issuance costs of $0.5 million. The Term Loan principal has future scheduled maturities of $6.7 million and $2.3 million for the remainder of 2023 and 2024,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Preferred Stock</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Second Amended and Restated Certificate of Incorporation, the Company is authorized and has available a total of 270,000,000 shares of stock, consisting of (i) 250,000,000 shares of Common Stock, par value $0.00001 per share, and (ii) 20,000,000 shares of preferred stock, par value $0.00001 per share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2023 Securities Purchase Agreement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23, 2023, the Company entered into a Securities Purchase Agreement (the “SPA”) with an investor, pursuant to which the Company issued and sold to the Investor in a registered offering (the “Offering”), (i) an aggregate of 9,396,000 shares of the Company’s Class A common stock at a purchase price of $0.8646 per share, (ii) pre-funded warrants (the “Pre-Funded Warrants”) to purchase an aggregate of 2,170,043 shares of Class A Stock and (iii) warrants to purchase 11,566,043 shares of Class A Stock (the “Class A Warrants”).</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purchase price of each Pre-Funded Warrant was equal to the price per share of Class A Stock being sold in the Offering minus $0.00001. The Pre-Funded Warrants have an exercise price of $0.00001 per share and are exercisable at any time after the issuance, subject to the availability of authorized but unissued shares of Class A Stock, and will not expire until exercised. The Class A Warrants have an exercise price of $1.15 per share and exercisable beginning on August 27, 2023, subject to the availability of authorized but unissued shares of Class A Stock, and will expire August 27, 2028.</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received aggregate gross proceeds from the Offering of approximately $10.0 million, before deducting estimated expenses in connection with the Offering. Both the Pre-Funded Warrants and the Class A Warrants met the requirements for equity classification.</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estimated the fair value of the Pre-Funded Warrants based on the fair value of the Company’s Class A common stock on the issuance date, less the $0.00001 exercise price. The Company allocated approximately $1.1 million in proceeds from the Offering to the value of the Pre-Funded Warrants on a relative fair value basis, which was recorded to additional paid in capital.</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estimated the fair value of the Class A Warrants using the Black-Scholes valuation model and allocated approximately $4.0 million in proceeds from the Offering to the value of the Class A Warrants on 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Stockholders' Equity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relative fair value basis, which was recorded to additional paid in capital. The significant inputs into the Black-Scholes valuation model at February 23, 2023 (the initial recognition date)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term (years)</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5180" w:type="dxa"/>
            <w:vAlign w:val="bottom"/>
          </w:tcPr>
          <w:p>
            <w:pPr>
              <w:jc w:val="right"/>
              <w:spacing w:after="0"/>
              <w:rPr>
                <w:sz w:val="20"/>
                <w:szCs w:val="20"/>
                <w:color w:val="auto"/>
              </w:rPr>
            </w:pPr>
            <w:r>
              <w:rPr>
                <w:rFonts w:ascii="Arial" w:cs="Arial" w:eastAsia="Arial" w:hAnsi="Arial"/>
                <w:sz w:val="18"/>
                <w:szCs w:val="18"/>
                <w:color w:val="auto"/>
              </w:rPr>
              <w:t>85.00 %</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0.00 %</w:t>
            </w: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2023, the Company issued 2,170,043 shares of Class A Stock as a result of all of the Pre-Funded Warrants being exercised and the Company received an immaterial amount of cash proceeds.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Co-Founder Divestment and Stock Repurchase Agreements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NSA and pursuant to stock repurchase agreements entered into with the Company, the Co-Founders sold 100% of their respective equity interests in the Company on June 30, 2021. The Company paid an aggregate of $40.0 million to the Co-Founders following the Business Combination, and an additional payment of an aggregate of $10.0 million was payable after cumulative business combination or capital raising transactions resulted in cash proceeds to the Company of no less than $250.0 million.</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Offering on February 27, 2023, the Company raised $10.0 million of gross cash proceeds through the sale of securities which, together with the $247.3 million raised in the Business Combination and other capital raising activities, triggered the $10.0 million obligation under the stock repurchase agreements. The Company paid the Co-Founders $10.0 million to pay off the liability during the three months ended March 31,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and Private Warrants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 Company had public and private warrants outstanding to purchase 8,625,000 shares and 11,272,500 shares of Common Stock, respectively, related to the Business Combination. The warrants entitle the registered holder to purchase stock at a price of $11.50 per share, subject to adjustment, at any time commencing on August 12, 2021. The public and private warrants expire on the fifth anniversary of the Business Combination, or earlier upon redemption or liquidation.</w:t>
      </w:r>
    </w:p>
    <w:p>
      <w:pPr>
        <w:spacing w:after="0" w:line="1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had private warrants outstanding to purchase 308,569 shares of Common Stock, with an exercise price of $0.20 per share, unrelated to the Business Combination, which were exercised on a net basis for 278,146 shares during the six months ended June 30, 2022.</w:t>
      </w:r>
    </w:p>
    <w:p>
      <w:pPr>
        <w:spacing w:after="0" w:line="5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issued 11,566,043 of additional warrants on February 27, 2023, in relation to the Offering. The warrants entitle the registered holder to purchase shares of Common Stock at a price of $1.15 per share.</w:t>
      </w:r>
    </w:p>
    <w:p>
      <w:pPr>
        <w:spacing w:after="0" w:line="1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private warrants assumed in connection with the Business Combination are accounted for as a derivative liability and decrease of the estimated fair value of the warrants of $0.5 million and $0.3 million for the three and six months ended June 30, 2023, respectively, and $2.3 million and $1.8 million for the three and six months ended June 30, 2022, respectively, was recorded in other income (expense) within the condensed consolidated statements of operations. The public warrants and the legacy outstanding private warrants were recorded as equity within the condensed consolidated statements of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Sponsor Earnout Shares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Business Combination, the Company modified the terms of 1,437,500 shares of Common Stock held by SRAC’s sponsor (the “Sponsor Earnout Shares”), such that all such shares will be forfeited if the share price of Common Stock does not reach a volume-weighted average closing sale price of $12.50, two thirds of such shares will be forfeited if the share price of Common Stock does not reach a volume-weighted average closing sale price of $15.00, and one third of such shares will be forfeited if the share price of Common Stock does not reach a volume-weighted average closing sale price of $17.50, in each case, prior to the fifth anniversary of the Business Combination. Certain events which change the number of outstanding shares of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Stockholders' Equity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28, 2022, Momentus entered into an At-the-Market Equity Offering Sales Agreement with a sales agent (the “ATM Sales Agreement”). Pursuant to the ATM Sales Agreement, the Company may from time to time sell, through the sales agent using at-the-market (“ATM”) offerings, shares of Common Stock up to an aggregate offer price of $50.0 million. Under the ATM Sales Agreement, the sales agent will be entitled to compensation at a commission rate of up to 3.0% of the gross sales price per share sold.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2023 there were no sales under the ATM Sales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Stock Plans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and March 2020, the Board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Closing, the Company adopted the 2021 Equity Incentive Plan (the “2021 Plan”), under which 5,982,922 shares of Common Stock were initially reserved for issuance. The 2021 Plan allows for the issuance of incentive stock options (“ISOs”),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three percent (3.0%) of the outstanding shares on the last day of the immediately preceding fiscal year and (ii) such number of Shares determined by the Board. During the six months ended June 30, 2023, the shares available for grant under the 2021 Plan increased by 2,533,234 and 206,111 due to the evergreen provision and forfeitures from both the Initial Plan and the 2018 Plan, respectively. As of June 30, 2023, there were 1,275,145 shares remaining available for grant. Grant activity under the 2021 Plan is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Closing, the Company adopted the Employee Stock Purchase Plan (the “2021 ESPP Plan”), under which 1,595,445 shares of Common Stock were initially reserved for issuance. The Plan provides a means by which eligible employees of the Company may be given an opportunity to purchase shares of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half a percent (0.5%) of the outstanding shares on the last day of the calendar month prior to the date of such automatic increase and (ii) 1,595,445 shares. The 2021 ESPP Plan became effective immediately following the Closing. During the six months ended June 30, 2023, the shares available for issuance under the 2021 ESPP Plan increased by 422,205 due to the evergreen provision. During the six months ended June 30, 2023, there were 106,545 shares issued under the 2021 ESPP Plan. The Company has an outstanding liability pertaining to the ESPP of $0.03 million as of June 30, 2023, included in accrued expenses, for employee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Stock-based Compensation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contributions to the 2021 ESPP Plan, pending issuance at the end of the offering period. As of June 30, 2023, there were 2,151,771 shares remaining available for issuance.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Inducement Equity Plan</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February 2022, the Company adopted the 2022 Inducement Equity Plan (the “2022 Plan”), under which 4,000,000 shares of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four-year period.</w:t>
      </w:r>
    </w:p>
    <w:p>
      <w:pPr>
        <w:spacing w:after="0" w:line="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March 21, 2023, the Company adopted the first amendment to the 2022 Plan to increase the number of shares of Common Stock available for issuance under the 2022 Plan from 4,000,000 shares of Common Stock to 7,000,000 shares of Common Stock. All other terms of the 2022 Plan remained the same.</w:t>
      </w:r>
    </w:p>
    <w:p>
      <w:pPr>
        <w:spacing w:after="0" w:line="4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May 8, 2023, the Company adopted the second amendment to the 2022 Plan to increase the number of shares of Common Stock available for issuance under the 2022 Plan from 7,000,000 shares of Common Stock to 8,000,000 shares of Common Stock. All other terms of the 2022 Plan remained the same.</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only RSU grants have been made under the 2022 Plan and there were 771,746 shares remaining available for issuance. Grant activity under the 2022 Plan is described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Activity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summary of options activity, under the 2018 Plan and the 2021 Plans, for the six months ended June 30,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Weighted- Average</w:t>
            </w:r>
          </w:p>
        </w:tc>
        <w:tc>
          <w:tcPr>
            <w:tcW w:w="16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5"/>
              </w:rPr>
              <w:t>Aggregate Intrinsic</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9"/>
              </w:rPr>
              <w:t>Exercise Price Per</w:t>
            </w:r>
          </w:p>
        </w:tc>
        <w:tc>
          <w:tcPr>
            <w:tcW w:w="20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Remaining Contractual</w:t>
            </w:r>
          </w:p>
        </w:tc>
        <w:tc>
          <w:tcPr>
            <w:tcW w:w="1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share-based data)</w:t>
            </w: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Options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Term (In Years)</w:t>
            </w:r>
          </w:p>
        </w:tc>
        <w:tc>
          <w:tcPr>
            <w:tcW w:w="380" w:type="dxa"/>
            <w:vAlign w:val="bottom"/>
          </w:tcPr>
          <w:p>
            <w:pPr>
              <w:spacing w:after="0"/>
              <w:rPr>
                <w:sz w:val="21"/>
                <w:szCs w:val="21"/>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2,556,733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140"/>
              <w:spacing w:after="0"/>
              <w:rPr>
                <w:sz w:val="20"/>
                <w:szCs w:val="20"/>
                <w:color w:val="auto"/>
              </w:rPr>
            </w:pPr>
            <w:r>
              <w:rPr>
                <w:rFonts w:ascii="Arial" w:cs="Arial" w:eastAsia="Arial" w:hAnsi="Arial"/>
                <w:sz w:val="18"/>
                <w:szCs w:val="18"/>
                <w:color w:val="auto"/>
              </w:rPr>
              <w:t>Vested exercised</w:t>
            </w:r>
          </w:p>
        </w:tc>
        <w:tc>
          <w:tcPr>
            <w:tcW w:w="1660" w:type="dxa"/>
            <w:vAlign w:val="bottom"/>
          </w:tcPr>
          <w:p>
            <w:pPr>
              <w:jc w:val="right"/>
              <w:spacing w:after="0"/>
              <w:rPr>
                <w:sz w:val="20"/>
                <w:szCs w:val="20"/>
                <w:color w:val="auto"/>
              </w:rPr>
            </w:pPr>
            <w:r>
              <w:rPr>
                <w:rFonts w:ascii="Arial" w:cs="Arial" w:eastAsia="Arial" w:hAnsi="Arial"/>
                <w:sz w:val="18"/>
                <w:szCs w:val="18"/>
                <w:color w:val="auto"/>
              </w:rPr>
              <w:t>(502,704)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Outstanding as of June 30, 2023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1,362,123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June 30,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917,812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as of June 30, 2023</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1,362,123</w:t>
            </w: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1.24</w:t>
            </w:r>
          </w:p>
        </w:tc>
        <w:tc>
          <w:tcPr>
            <w:tcW w:w="80" w:type="dxa"/>
            <w:vAlign w:val="bottom"/>
          </w:tcPr>
          <w:p>
            <w:pPr>
              <w:spacing w:after="0"/>
              <w:rPr>
                <w:sz w:val="17"/>
                <w:szCs w:val="17"/>
                <w:color w:val="auto"/>
              </w:rPr>
            </w:pPr>
          </w:p>
        </w:tc>
        <w:tc>
          <w:tcPr>
            <w:tcW w:w="1960" w:type="dxa"/>
            <w:vAlign w:val="bottom"/>
          </w:tcPr>
          <w:p>
            <w:pPr>
              <w:jc w:val="center"/>
              <w:spacing w:after="0" w:line="203" w:lineRule="exact"/>
              <w:rPr>
                <w:sz w:val="20"/>
                <w:szCs w:val="20"/>
                <w:color w:val="auto"/>
              </w:rPr>
            </w:pPr>
            <w:r>
              <w:rPr>
                <w:rFonts w:ascii="Arial" w:cs="Arial" w:eastAsia="Arial" w:hAnsi="Arial"/>
                <w:sz w:val="18"/>
                <w:szCs w:val="18"/>
                <w:color w:val="auto"/>
                <w:w w:val="95"/>
              </w:rPr>
              <w:t>7.0</w:t>
            </w:r>
          </w:p>
        </w:tc>
        <w:tc>
          <w:tcPr>
            <w:tcW w:w="8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was a total of $0.6 million in unrecognized compensation cost related to unvested options, which is expected to be recognized over a weighted-average period of 1.3 years.</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total intrinsic value of options exercised during the three and six months ended June 30, 2023 was $0.01 million and $0.2 million, respectively, and during the three and six months ended June 30, 2022, and $3.7 million and $4.1 million,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Stock-based Compensation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and Restricted Stock Award Activity</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summary of RSU and RSA activity, under the Initial Plan, the 2018 Plan, the 2021 Plan, and the 2022 Plan, for the six months ended June 30, 2023. RSAs were an immaterial portion of activity for the period: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Weighted Average Grant Date</w:t>
            </w:r>
          </w:p>
        </w:tc>
      </w:tr>
      <w:tr>
        <w:trPr>
          <w:trHeight w:val="243"/>
        </w:trPr>
        <w:tc>
          <w:tcPr>
            <w:tcW w:w="696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Fair Value (i.e. Share Price)</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7,780,917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10,377,589</w:t>
            </w:r>
          </w:p>
        </w:tc>
        <w:tc>
          <w:tcPr>
            <w:tcW w:w="1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(1,238,805)</w:t>
            </w:r>
          </w:p>
        </w:tc>
        <w:tc>
          <w:tcPr>
            <w:tcW w:w="1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(1,983,441)</w:t>
            </w:r>
          </w:p>
        </w:tc>
        <w:tc>
          <w:tcPr>
            <w:tcW w:w="1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14,936,260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June 30, 2023, there was a total of $21.1 million in unrecognized compensation cost related to unvested RSUs, which is expected to be recognized over a weighted-average period of 1.7 years. Outstanding unvested and expected to vest RSUs had an intrinsic value of $4.7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stock-based compensation under the Initial Plan, the 2018 Plan, the 2021 Plan, and the 2022 Plan by expense type: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300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r>
      <w:tr>
        <w:trPr>
          <w:trHeight w:val="248"/>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stock-based compensation under the Initial Plan, the 2018 Plan, the 2021 Plan, and the 2022 Plan by award type: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300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RSUs &amp; RSAs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4,984</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Performance Awards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8"/>
        </w:trPr>
        <w:tc>
          <w:tcPr>
            <w:tcW w:w="4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 awards under the 2021 Plan are accounted for as liability-classified awards, as the obligations are typically a fixed monetary amount which is settled on a future date in a variable number of shares of the Company’s Common Stock. The variable number of potentially settled shares is not limited. Performance awards are measured at their fair value based on management’s estimates of potential outcomes of the performance. Outstanding performance awards correspond to zero shares if they were settled on June 30,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Non-employees</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March 31, 2023, the Company issued 135,000 shares of the Company’s Common Stock to a third party consulting firm in exchange for public relations services. The shares were not issued under the equity incentive plans described above. Under the agreement, the shares are contingently forfeitable in the event of early termination by the Company. The shares had an issuance date fair value of $0.1 million to be recorded as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Stock-based Compensation </w:t>
      </w:r>
      <w:r>
        <w:rPr>
          <w:rFonts w:ascii="Arial" w:cs="Arial" w:eastAsia="Arial" w:hAnsi="Arial"/>
          <w:sz w:val="18"/>
          <w:szCs w:val="18"/>
          <w:color w:val="auto"/>
        </w:rPr>
        <w:t>(cont.)</w:t>
      </w:r>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consulting expense over the six-month term of the agreement. Related consulting expense was $0.05 million and $0.1 million for the three and six months ended June 30, 2023,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Diluted Earnings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Net loss per share is provided in accordance with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Company incurred a net loss for the three and six months ended June 30, 2023 and 2022, the inclusion of certain options, unvested stock units, warrants, and contingent Sponsor Earnout Shares in the calculation of diluted earnings per share would be anti-dilutive and, accordingly, were excluded from the diluted loss per share calculation.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potential common shares that were excluded as their effect is anti-dilutive: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426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26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Options and unvested stock units outstanding</w:t>
            </w:r>
          </w:p>
        </w:tc>
        <w:tc>
          <w:tcPr>
            <w:tcW w:w="1680" w:type="dxa"/>
            <w:vAlign w:val="bottom"/>
          </w:tcPr>
          <w:p>
            <w:pPr>
              <w:jc w:val="right"/>
              <w:spacing w:after="0"/>
              <w:rPr>
                <w:sz w:val="20"/>
                <w:szCs w:val="20"/>
                <w:color w:val="auto"/>
              </w:rPr>
            </w:pPr>
            <w:r>
              <w:rPr>
                <w:rFonts w:ascii="Arial" w:cs="Arial" w:eastAsia="Arial" w:hAnsi="Arial"/>
                <w:sz w:val="18"/>
                <w:szCs w:val="18"/>
                <w:color w:val="auto"/>
              </w:rPr>
              <w:t>14,552,254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6,109,403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7,397,561</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6,000,378</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outstanding</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31,463,543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19,897,500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31,463,543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20,023,655</w:t>
            </w:r>
          </w:p>
        </w:tc>
      </w:tr>
      <w:tr>
        <w:trPr>
          <w:trHeight w:val="22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Sponsor Earnout Shares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1,437,500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1,437,500</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1,437,500</w:t>
            </w: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47,453,297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27,444,403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40,298,604</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27,461,533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Momentus enters into purchase obligations in the normal course of business. These obligations include purchase orders and agreements to purchase goods or services that are enforceable, legally binding, and have significant terms and minimum purchases stipulated. As of June 30, 2023, the Company’s future unconditional purchase obligations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15,752</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r>
      <w:tr>
        <w:trPr>
          <w:trHeight w:val="223"/>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16,292</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Class Actions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Arial" w:cs="Arial" w:eastAsia="Arial" w:hAnsi="Arial"/>
          <w:sz w:val="16"/>
          <w:szCs w:val="16"/>
          <w:i w:val="1"/>
          <w:iCs w:val="1"/>
          <w:color w:val="auto"/>
        </w:rPr>
        <w:t>Jensen v. Stable Road Acquisition Corp., et al.</w:t>
      </w:r>
      <w:r>
        <w:rPr>
          <w:rFonts w:ascii="Arial" w:cs="Arial" w:eastAsia="Arial" w:hAnsi="Arial"/>
          <w:sz w:val="16"/>
          <w:szCs w:val="16"/>
          <w:color w:val="auto"/>
        </w:rPr>
        <w:t>, No. 2:21-cv-05744 (the "</w:t>
      </w:r>
      <w:r>
        <w:rPr>
          <w:rFonts w:ascii="Arial" w:cs="Arial" w:eastAsia="Arial" w:hAnsi="Arial"/>
          <w:sz w:val="16"/>
          <w:szCs w:val="16"/>
          <w:i w:val="1"/>
          <w:iCs w:val="1"/>
          <w:color w:val="auto"/>
        </w:rPr>
        <w:t>Jensen</w:t>
      </w:r>
      <w:r>
        <w:rPr>
          <w:rFonts w:ascii="Arial" w:cs="Arial" w:eastAsia="Arial" w:hAnsi="Arial"/>
          <w:sz w:val="16"/>
          <w:szCs w:val="16"/>
          <w:color w:val="auto"/>
        </w:rPr>
        <w:t xml:space="preserve"> 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Arial" w:cs="Arial" w:eastAsia="Arial" w:hAnsi="Arial"/>
          <w:sz w:val="16"/>
          <w:szCs w:val="16"/>
          <w:i w:val="1"/>
          <w:iCs w:val="1"/>
          <w:color w:val="auto"/>
        </w:rPr>
        <w:t>Hall v. Stable Road Acquisition Corp., et al.</w:t>
      </w:r>
      <w:r>
        <w:rPr>
          <w:rFonts w:ascii="Arial" w:cs="Arial" w:eastAsia="Arial" w:hAnsi="Arial"/>
          <w:sz w:val="16"/>
          <w:szCs w:val="16"/>
          <w:color w:val="auto"/>
        </w:rPr>
        <w:t xml:space="preserve">, No. 2:21-cv-05943 and </w:t>
      </w:r>
      <w:r>
        <w:rPr>
          <w:rFonts w:ascii="Arial" w:cs="Arial" w:eastAsia="Arial" w:hAnsi="Arial"/>
          <w:sz w:val="16"/>
          <w:szCs w:val="16"/>
          <w:i w:val="1"/>
          <w:iCs w:val="1"/>
          <w:color w:val="auto"/>
        </w:rPr>
        <w:t>Depoy</w:t>
      </w:r>
      <w:r>
        <w:rPr>
          <w:rFonts w:ascii="Arial" w:cs="Arial" w:eastAsia="Arial" w:hAnsi="Arial"/>
          <w:sz w:val="16"/>
          <w:szCs w:val="16"/>
          <w:color w:val="auto"/>
        </w:rPr>
        <w:t xml:space="preserve"> </w:t>
      </w:r>
      <w:r>
        <w:rPr>
          <w:rFonts w:ascii="Arial" w:cs="Arial" w:eastAsia="Arial" w:hAnsi="Arial"/>
          <w:sz w:val="16"/>
          <w:szCs w:val="16"/>
          <w:i w:val="1"/>
          <w:iCs w:val="1"/>
          <w:color w:val="auto"/>
        </w:rPr>
        <w:t>v. Stable Road Acquisition Corp., et al.</w:t>
      </w:r>
      <w:r>
        <w:rPr>
          <w:rFonts w:ascii="Arial" w:cs="Arial" w:eastAsia="Arial" w:hAnsi="Arial"/>
          <w:sz w:val="16"/>
          <w:szCs w:val="16"/>
          <w:color w:val="auto"/>
        </w:rPr>
        <w:t>, No. 2:21-cv-06287 were consolidated in the first filed matter (collectively, referred to as the "Securities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An amended complaint was filed on November 12, 2021. The Company disputes the allegations in the Securities Class Actions.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Commitments and Contingencies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is expected to be funded by insurance proceeds). The agreement in principle remains subject to the satisfaction of various conditions, including negotiation and execution of a memorandum of understanding, final stipulation of settlement, notice to the proposed class, and approval by the United States District Court for the Central District of California. If these conditions are satisfied, the proposed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the Company is unable to execute a final stipulation of settlement and obtain Court approval, the Company will continue to vigorously defend against the claims asserted in the Securities Class Actions.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agreement in principle to settle the Securities Class Action, the Company recorded a litigation settlement contingency of $8.5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additionally recorded an insurance receivable of $4.0 million for the insurance proceeds expected from its insurers related to the settlement.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net amount of $4.5 million was recognized in litigation settlement, net during the year ended December 31,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CFIUS Review</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2021, the Company and Mikhail Kokorich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NSA.</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27, 2023 the Company raised aggregate gross proceeds of $10.0 million through the sale of securities (see Note 9 for additional information), which together with the Business Combination and other capital raising activities triggered the $10.0 million liability to the Co-Founders in accordance with the terms of the stock repurchase agreements. The amount had previously been recorded as an estimated liability with a corresponding offset to additional paid in capital within the condensed consolidated statements of stockholders’ equity as of December 31, 2022.</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NSA establishes various requirements and restrictions on the Company to protect U.S. national security, certain of which may materially and adversely affect the Company’s operating results due to the cost of compliance, limitations on the Company’s control over certain U.S. facilities, contracts, personnel, vendor selection and operations, and any potential penalties for noncompliance with such requirements and restrictions. The NSA provides for quarterly compliance auditing by an independent auditor. The NSA further provides for liquidated damages up to $1,000,000 per breach of the NSA. If the CFIUS Monitoring Agencies, the U.S. Departments of Defense and Treasury, find noncompliance, the CFIUS Monitoring Agencies could impose penalties, including liquidated damages.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incurred legal expenses related to these matters of approximately $0.2 million and $0.3 million for the three and six months ended June 30, 2023, respectively, and $0.5 million and $1.3 million for the three and six months ended June 30, 2022, respectively, and expects to continue to incur legal expenses in the future.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Commitments and Contingencies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Section 220 Litigation</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16, 2022, Plaintiff and the Company’s shareholder James Burk filed a verified complaint against the Company in the Delaware Court of Chancery, Case. No. 2022-0519, to inspect the books and records of the Company pursuant to Section 220 of the Delaware General Corporation Law. Plaintiff seeks production of books and records relating to the management of the Company and its disclosures to potential investors in connection with the Business Combination. On March 14, 2023, the Court granted the parties stipulation of dismissal with prejudice, and the matter was closed. The Company from time to time responds to books and records requests properly submitted pursuant to applicable Delaware law.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 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re-file the claims asserted in this matter at a later date. As noted below, Brian Lindsey re-filed a shareholder derivative action in Delaware Chancery Court on June 30, 2023. As noted below, Brian Lindsey re-filed a shareholder derivative action in Delaware Chancery Court on June 30, 2023.</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 demand made by Ms. Hanna on the Company’s Board of Directors. This matter has been stayed until August 2023. The Company intends to vigorously defend the litigation.</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April 25, 2023, a shareholder derivative action was filed by Justin Rivlin, purportedly on behalf of the Company, in the United States District Court for the District of California, Case No. 2:23-cv-03120, against the Company (as a nominal defendant), Brian Kabot, James Norris, Marc Lehmann, James Hofmockel, and Ann Kono. The Rivlin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lawsuit.The Company intends to vigorously defend the litigation.</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Lindsey derivative action alleges the same core allegations as stated in the Securities Class Actions. The Company intends to vigorously defend the litigation.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Note Litigation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 million in the Company. TLLT alleges that a "liquidity event" occurred when the Company closed the Business Combination, such that it was entitled to the greater of its $4 million investment or its “Conversion Amount” of the Company’s shares, which was a total of 724,995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Commitments and Contingencies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attorney's fees and costs. On March 16, 2023, the Company’s motion to dismiss TLLT’s claims was denied and the parties will move forward with discovery. On July 13, 2023, the Company filed a motion for partial summary judgment. The Company disputes the allegations in the complaint and intends to vigorously defend the litigation.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Litigation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the Company for his fees and costs incurred in these actions, which claims are disputed by the Company.</w:t>
      </w:r>
    </w:p>
    <w:p>
      <w:pPr>
        <w:spacing w:after="0" w:line="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Chancery Court granted the Company’s motion to dismiss the Kokorich indemnification claim action on May 15, 2023.On June 13, 2023, Kokorich filed a notice of appeal. The Company continues to dispute the allegations in the complaint and intends to vigorously defend the litigation on appeal.</w:t>
      </w: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24, 2023, Mr.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 May 23, 2023, Momentus filed a motion to dismiss the amended complaint. Separately, Khasis has requested an expedited trial in his claim for advancement of fees. On June 23, 2023, the Court of Chancery ordered that Khasis indemnification litigation will not be stayed pending the appeal of the Kokorich. Moreover, the Court of Chancery further ordered the parties to prepare a scheduling order to the Court which includes all relevant deadlines to argue the Company’s motion to dismiss and Khasis’ expedited motion for advancement concurrently. The parties are currently negotiating concerning an acceptable schedule. The Company disputes the allegations in the complaint and intends to vigorously defend the litigation.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Class Actions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Shirley, et al. v. Kabot et al., 2022-1023-PAF.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2023, purported stockholders of the Company filed a putative class action complaint against certain current and former directors and officers of the Company in the Delaware Court of Chancery, in a case captioned Lora v. Kabot, et al., Case No. 2023-0322 (the “Lora Action”). Like the Shirley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3051F2"/>
        </w:rPr>
        <w:t>Tables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Commitments and Contingencies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17, 2023, purported stockholders of the Company filed a putative class action complaint against certain current and former directors and officers of the Company in the Delaware Court of Chancery, in a case captioned Burk v. Kabot, et al., Case No. 2023-0334 (the “Burk Action”). Like the Lora and Shirley complaints, the Burk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26, 2023, plaintiffs filed a stipulation and proposed order for consolidation and appointment of co-lead plaintiffs and co-lead plaintiffs’ counsel designating the complaint filed in the Lora Action as the operative complaint.</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Shirley Action, the Lora Action, and the Burk Action have been consolidated under the caption, In re Momentus, Inc. Stockholders Litigation, C.A. No. 2022-1023-PAF (Del Ch. Nov. 10, 2022). These putative class actions do not name the Company as a defendant. Regardless, the SRAC directors and officers, together with current and former directors and officers of the Company,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 and Related Matters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may be a party to litigation and subject to claims incident to the ordinary course of business on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450-20. Legal fees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effective tax rate for the three and six months ended June 30, 2023 and 2022,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the absence of current income tax, and a full valuation allowance for deferred tax assets.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Annual Report on Form 10-K filed with the SEC on March 8, 2023. This discussion and analysis should also be read together with our financial information for the period ended and as of June 30, 2023.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March 8, 2023, and “Cautionary Statement Regarding Forward-Looking Statements” elsewhere in this Form 10-Q, our actual results may differ materially from those anticipated in these forward-looking statements.</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Momentus offers transportation and infrastructure services to help enable the commercialization of space. Satellite operators are our principal customers and target commercial customers. Momentus is also seeking business in support of U.S. Government missions for Departments and Agencies like NASA and the Department of Defense.</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Services that we plan to provide include “last mile” satellite transportation, payload-hosting, on-orbit satellite refueling, on-orbit inspection, on-orbit satellite maintenance, de-orbiting, debris removal, and other satellite-to-satellite service offerings.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transportation service offering will focus on delivering our customers’ satellites to precision orbits of their choosing. To accomplish this, we plan to create a hub-and-spoke transportation network in partnership with leading launch service providers, such as SpaceX. Under this model, our customers’ satellites would “ride share” from Earth to space on a midsized or large rocket. Our Orbital Service Vehicles (“OSVs”) would then provide “last mile” transportation services from the rocket’s drop-off orbit to a custom orbit of the satellite operator’s choosing. We believe our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“last mile” transportation.</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our founding in 2017, we have been working to develop, test and enhance our vehicles and supporting technologies, particularly our water plasma propulsion technology. We have signed contracts for approximately $32 million in backlog (potential revenue), as of July 31, 2023. These agreements contain firm orders as well as options, allowing customers to opt-in to launches on shorter notice without requiring a separate agreement. The breadth of these signed contracts spans across 18 companies in 14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generation of solar energy in space, space manufacturing or space data processing. The advent of these new business models could substantially increase demand for space transportation and other space infrastructure services.</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Beyond transportation, we anticipate that growth of the satellite constellations market may drive demand for our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short lifespans and, in our view, will require maintenance, de-orbiting, and other general servicing with higher frequency.</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 2023, the Company launched its Vigoride 5 OSV to low-earth orbit aboard the SpaceX Transporter-6 mission. The mission is ongoing and the Vigoride 5 OSV is maneuvering under its own power in low-earth orbit. The primary mission objective is to test the spacecraft on orbit, learn from any issues that are encountered and implement lessons-learned on future Vigoride vehicles and missions. The mission also supported two customers: the Qosmosys Zeus-1 payload which was deployed on orbit on May 10, 2023, and Caltech’s Space Solar Power Demonstrator project, a hosted payload for which the Vigoride 5 continues to provide thrusting maneuvers and on-orbit support, including providing data, communication, commanding and telemetry, and resources for optimal picture taking and solar cell lighting.</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Vigoride 5 mission, we successfully completed the initial tests on-orbit of the pioneering Microwave Electrothermal Thruster (MET) that relies on solar power and uses distilled water as a propellant. The MET is the Vigoride OSV’s primary propulsion method that produces thrust by expelling extremely hot gases through a rocket nozzle. Unlike a conventional chemical rocket engine, which creates thrust through a chemical reaction, the MET is designed to create a plasma and thrust using solar power to drive a microwave energy source that heats the water propellant. Momentus has two patents in support of this proprietary propulsion technology.</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recent MET testing done on-orbit included dozens of firings of the thruster that imparted forces on the Vigoride 5 spacecraft. These forces can change the orbital velocity of the spacecraft, allowing the orbit to be adjusted, changing parameters such as altitude and orbital inclination. This capability allows Momentus to deliver its customers’ payloads to custom orbits. Momentus has used the MET to change the spacecraft altitude during the current Vigoride 5 mission.</w:t>
      </w:r>
    </w:p>
    <w:p>
      <w:pPr>
        <w:spacing w:after="0" w:line="2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Vigoride OSV’s Attitude Control and Reaction Control Systems also use water as a propellant and were recently tested and fully commissioned. With its water-based propulsion systems, Momentus aims to offer cost-effective, efficient, safe, and environmentally friendly propulsion to meet the demands for in-space transportation and infrastructure services.</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15, 2023, the Company launched its Vigoride 6 OSV to low-earth orbit aboard the SpaceX Transporter-7 mission and used its MET to change the orbital inclination of the Vigoride 6 OSV to support the deliveries of six customer payloads, including two satellites for the NASA LLITED mission.</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Vigoride 6 mission is also hosting a Momentus technology demonstration of a new kind of solar array. The Tape Spring Solar Array (TASSA) technology features large sheets of flexible solar cells bonded to tape springs. To stow, they are tightly coiled around a mandrel. After launch, motors unroll the mandrel, deploying the solar array. Momentus aims to drive down vehicle production costs and streamline on-orbit operations, while reducing the cost of power for the satellite, with this technology once operational.</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execute on our business plan is dependent on the continued development and successful commercialization of the technologies described in this Form 10-Q. We believe our water plasma propulsion technology will be a key differentiator of our product offerings, and preliminary in-space tests are successful, but we have yet to confirm the unit’s ability to generate sufficient thrust for completion of deliveries, and there can be no assurance that it can be operated in a manner that is sufficiently reliable and efficient to permit full commercialization of the technology. Development of space technologies is extremely complex, time consuming, and expensive, and there can be no assurance that our predicted theoretical and ground-based results will translate into operational space vehicles that operate within the parameters we expect, or at all. This Form 10-Q describes Momentus’ current business plans for continuing to develop its technology and marketing and commercializing its products, however there can be no assurance that Momentus will be able to successfully develop its technologies and implement them in commercially viable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Overview</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our technology is fully developed and validated in the future, we currently plan to provide the following infrastructure services to the space economy:</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Space Transportation. </w:t>
      </w:r>
      <w:r>
        <w:rPr>
          <w:rFonts w:ascii="Arial" w:cs="Arial" w:eastAsia="Arial" w:hAnsi="Arial"/>
          <w:sz w:val="18"/>
          <w:szCs w:val="18"/>
          <w:color w:val="auto"/>
        </w:rPr>
        <w:t>We are developing a space transportation service based on a hub-and-spoke model, which combines ride share launch on a medium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large rocket with last-mile delivery using one of our OSVs. Under this model, our customers will deliver their payload to us a few months prior to launch for integration onto our vehicle. Once we have integrated our customers’ payloads, we will then ship our vehicle, holding the customer payload fixture, to the launch site, where it will be integrated onto the rocket. The rocket will then transport our vehicle to the drop-off orbit. After separation from the rocket, our vehicle will transport our customers’ payloads to their chosen final orbit.</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build our water plasma thrusters to enable our vehicle to efficiently transport each customer payload to its respective orbit. We believe our hub-and-spoke model has the potential to expand our customers’ deployment options relative to what they could achieve with ride share launch alone, while reducing their costs relative to what they could achieve with a dedicated small launch vehicle.</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Initially, our vehicles will de-orbit after delivering our customer payloads to their final orbits. Ultimately, our plan is to develop the capability for our vehicles to be reusable, such that, upon delivery of the payload, they will be capable of remaining in space to conduct additional missions.</w:t>
      </w:r>
    </w:p>
    <w:p>
      <w:pPr>
        <w:spacing w:after="0" w:line="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Hosted Payload</w:t>
      </w:r>
      <w:r>
        <w:rPr>
          <w:rFonts w:ascii="Arial" w:cs="Arial" w:eastAsia="Arial" w:hAnsi="Arial"/>
          <w:sz w:val="17"/>
          <w:szCs w:val="17"/>
          <w:color w:val="auto"/>
        </w:rPr>
        <w:t>. We are developing a modular approach to satellite systems through our subscription-based hosted payload service. This service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help our customers avoid a meaningful capital outlay to design and manufacture a bespoke satellite as they would under traditional business models, which assumed tight integration of a given payload with its satellite bus. We have designed our transfer vehicles for modularity and ease of integration with customer payloads, with a full suite of capabilities that our customers will need on orbit. Under our hosted payload model, after transporting a customer payload to a specific orbit our vehicle would stay connected to the payload for the duration of its mission to provide continuous power, orbit maintenance, orientation, and communications to support telemetry, commanding, and downlinking of payload data.</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In-Orbit Servicing</w:t>
      </w:r>
      <w:r>
        <w:rPr>
          <w:rFonts w:ascii="Arial" w:cs="Arial" w:eastAsia="Arial" w:hAnsi="Arial"/>
          <w:sz w:val="17"/>
          <w:szCs w:val="17"/>
          <w:color w:val="auto"/>
        </w:rPr>
        <w:t>. We view in-orbit servicing of satellites as a quickly growing business opportunity. As the number of satellites in space increases, 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does their need to be serviced. We are designing Momentus’ future reusable vehicles to be capable of performing in-orbit servicing and are pursuing development activities that support this objective. Our aim is to equip future vehicles with robotic arms and the ability to maneuver in close 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Satellite Bus. </w:t>
      </w:r>
      <w:r>
        <w:rPr>
          <w:rFonts w:ascii="Arial" w:cs="Arial" w:eastAsia="Arial" w:hAnsi="Arial"/>
          <w:sz w:val="18"/>
          <w:szCs w:val="18"/>
          <w:color w:val="auto"/>
        </w:rPr>
        <w:t>We are offering a modified version of the Vigoride OSV for use as a satellite bus for commercial and government customers.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modification, the Vigoride OSV offers significant capabilities that support the missions of these commercial and government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performance and future success depend to a substantial extent on our ability to capitalize on the following opportunities, which in turn is subject to significant risks and challenges, including those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In-Space Transport and Service Vehicles and Related Technology Development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research and development objectives focus on the development of our existing and future in-space transfer and service vehicles and related water plasma propulsion technology.</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Vigoride is the first vehicle that Momentus is developing. Once fully developed, tested and validated in space, we expect Vigoride will be sufficient to meet our initial operating plan of offering in-space transportation in low-earth orbit to small satellites. Vigoride is intended to transport up to 750 kg of customer payload in low-earth orbit, although our payload capacity will likely be lower in most common configurations. We have set the delta-v and host power objectives for Vigoride at 2 km/sec and 1 kW, respectively, which we believe we can achieve a few years into our product roadmap.</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planning our next Vigoride test and demonstration mission on a launch that SpaceX plans to conduct in early 2024, and we have also secured launch service agreements with SpaceX for various missions through the end of 2024 to support customer demand. While securing space on the manifest is an important step, all future missions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Early Vigoride vehicles will not be reusable, meaning that we will de-orbit them following delivery of their customer payloads. However, as early as 2025, we aim to make our vehicles capable of reuse such that, upon delivery of their payloads, they will be able to remain in space to conduct follow-on missions. Establishing reusable vehicles will require significant additional research and technological developments. We believe our choice of water as a propellant will help with the creation of reusable vehicles because water can be stored without special conditions, other than ensuring lines and tanks do not freeze or become obstructed with ice, for an indefinite amount of time and pumped easily. Additionally, water is safe and non-hazardous relative to commonly used propellants such as cryogenic components and hypergolic toxic fuels for chemical propulsion, or highly pressurized noble gases (such as xenon or krypton) for electrical propulsion. We believe that if we are able to achieve reusability, it will allow us to lower manufacturing and launch costs on a per-ride basis and achieve higher margins and returns for our investors while also reducing our environmental impact.</w:t>
      </w:r>
    </w:p>
    <w:p>
      <w:pPr>
        <w:spacing w:after="0" w:line="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Beyond Vigoride, we envision bringing larger vehicles to market. These vehicles will be similar to our Vigoride vehicle, but with larger structures, larger solar arrays, and more powerful propulsion systems in order to carry progressively larger payloads progressively further from Earth.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successful development of our vehicles with water plasma propulsion technology involves uncertainties, including:</w:t>
      </w:r>
    </w:p>
    <w:p>
      <w:pPr>
        <w:spacing w:after="0" w:line="7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in finalizing systems design and specifications;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completion of test programs and demonstration missions;</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and the timing of such receipt of licenses and government approvals that will allow us to fly our vehicles in space and gather valuable data that will assist in further development of our vehicles;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stated technological objectives and goals for the design on time, on budget and within target cost objectives;</w:t>
      </w:r>
    </w:p>
    <w:p>
      <w:pPr>
        <w:spacing w:after="0" w:line="7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additional applicable approvals, licenses or certifications from regulatory agencies and maintaining current approvals, licenses or certifications;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secure slots on our launch providers’ manifests;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our manufacturing facility despite risks that disrupt productions, such as natural disasters;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our third-party contractors that support our research and development activities;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performance of a limited number of suppliers for certain raw materials and supplied components and their willingness to do business with us;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critical to the design and function of our OSVs;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funding and maintaining our current research and development activities;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the terms of the NSA and any related compliance measures instituted by the Security Director.</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change in the outcome of any of these variables could delay the development of our vehicles which in turn could impact our business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and Successive Launches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water plasma propulsion technology (that we are developing) is based on the use of microwave electrothermal or “MET,” thrusters, which we believe could ultimately provide safe, affordable, reliable, and regular in-space services, including space transportation, hosted payload, and in-orbit servicing. To accomplish this, we currently intend to:</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Develop our commercial program for in-space transportation</w:t>
      </w:r>
      <w:r>
        <w:rPr>
          <w:rFonts w:ascii="Arial" w:cs="Arial" w:eastAsia="Arial" w:hAnsi="Arial"/>
          <w:sz w:val="18"/>
          <w:szCs w:val="18"/>
          <w:color w:val="auto"/>
        </w:rPr>
        <w:t>. We conducted our inaugural test and demonstration mission with Vigoride in 2022 and</w:t>
      </w:r>
      <w:r>
        <w:rPr>
          <w:rFonts w:ascii="Arial" w:cs="Arial" w:eastAsia="Arial" w:hAnsi="Arial"/>
          <w:sz w:val="18"/>
          <w:szCs w:val="18"/>
          <w:b w:val="1"/>
          <w:bCs w:val="1"/>
          <w:color w:val="auto"/>
        </w:rPr>
        <w:t xml:space="preserve"> </w:t>
      </w:r>
      <w:r>
        <w:rPr>
          <w:rFonts w:ascii="Arial" w:cs="Arial" w:eastAsia="Arial" w:hAnsi="Arial"/>
          <w:sz w:val="18"/>
          <w:szCs w:val="18"/>
          <w:color w:val="auto"/>
        </w:rPr>
        <w:t>began our second and third tests and demonstration missions in January and April 2023, respectively. We plan to deliver customers to orbit on the Transporter-9 mission scheduled for November, 2023. The Company has space reserved on every currently planned SpaceX Transporter mission through the end of 2024 and is actively booking customers.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Launch our commercial program for hosted payload</w:t>
      </w:r>
      <w:r>
        <w:rPr>
          <w:rFonts w:ascii="Arial" w:cs="Arial" w:eastAsia="Arial" w:hAnsi="Arial"/>
          <w:sz w:val="18"/>
          <w:szCs w:val="18"/>
          <w:color w:val="auto"/>
        </w:rPr>
        <w:t>. We are developing a modular approach to satellite systems through our hosted payload model. For</w:t>
      </w:r>
      <w:r>
        <w:rPr>
          <w:rFonts w:ascii="Arial" w:cs="Arial" w:eastAsia="Arial" w:hAnsi="Arial"/>
          <w:sz w:val="18"/>
          <w:szCs w:val="18"/>
          <w:b w:val="1"/>
          <w:bCs w:val="1"/>
          <w:color w:val="auto"/>
        </w:rPr>
        <w:t xml:space="preserve"> </w:t>
      </w:r>
      <w:r>
        <w:rPr>
          <w:rFonts w:ascii="Arial" w:cs="Arial" w:eastAsia="Arial" w:hAnsi="Arial"/>
          <w:sz w:val="18"/>
          <w:szCs w:val="18"/>
          <w:color w:val="auto"/>
        </w:rPr>
        <w:t>missions that require significant power for the payload and/or specific orbits, our objective is for Momentus to be able to provide a unique combination of a low-cost service model, in-orbit flexibility, and high electrical power generation.</w:t>
      </w:r>
    </w:p>
    <w:p>
      <w:pPr>
        <w:spacing w:after="0" w:line="9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Launch our commercial program for in-orbit servicing</w:t>
      </w:r>
      <w:r>
        <w:rPr>
          <w:rFonts w:ascii="Arial" w:cs="Arial" w:eastAsia="Arial" w:hAnsi="Arial"/>
          <w:sz w:val="16"/>
          <w:szCs w:val="16"/>
          <w:color w:val="auto"/>
        </w:rPr>
        <w:t>. If we develop reusability for our vehicles as currently contemplated, we believe we will be able</w:t>
      </w:r>
      <w:r>
        <w:rPr>
          <w:rFonts w:ascii="Arial" w:cs="Arial" w:eastAsia="Arial" w:hAnsi="Arial"/>
          <w:sz w:val="16"/>
          <w:szCs w:val="16"/>
          <w:b w:val="1"/>
          <w:bCs w:val="1"/>
          <w:color w:val="auto"/>
        </w:rPr>
        <w:t xml:space="preserve"> </w:t>
      </w:r>
      <w:r>
        <w:rPr>
          <w:rFonts w:ascii="Arial" w:cs="Arial" w:eastAsia="Arial" w:hAnsi="Arial"/>
          <w:sz w:val="16"/>
          <w:szCs w:val="16"/>
          <w:color w:val="auto"/>
        </w:rPr>
        <w:t>to begin offering a suite of different in-orbit services to our clients. Although we have not yet developed these capabilities or the technology that would be required to provide these services, such services may include inspection, refueling, life extension, re-positioning, salvage missions, maintenance and repair, and de-orbiting. As the quantity of satellites sent into space continues to increase, we anticipate growing demand from such services.</w:t>
      </w:r>
    </w:p>
    <w:p>
      <w:pPr>
        <w:spacing w:after="0" w:line="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success of our in-space infrastructure services business will depend on our ability to successfully and regularly deliver customer satellites into custom orbits. Our early missions, particularly those in 2022 and 2023, including our inaugural mission (Vigoride 3) in May 2022, were and are intended to be demonstration missions. The primary goals of our planned demonstration missions are to test Vigoride in orbit and learn from any issues that we encounter. The lessons learned from demonstration missions will help inform changes we can make to our Vigoride vehicle as we seek to ultimately certify a design for production. Depending on the nature of issues we encounter, our schedule for future launches and other planned activities could be adversely affected. There can be no assurance that we will not experience operational or process failures and other problems during our future demonstration missions or on any future mission. Any failures or setbacks, particularly those that we experienced on our inaugural mission (Vigoride 3) and those that we may encounter on other early missions, could harm our reputation and have a material adverse effect on our business, financial condition and results of operation.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received significant interest from a range of satellite operators, satellite manufacturers, satellite aggregators, launch service providers, and others. As of June 30, 2023, we had collected approximately $2.0 million in customer deposits related to future launches. There were no refunds paid during the three and six months ended June 30, 2023 and 2022.</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technologies have not yet been fully tested, our service offering to our customers on our demonstration missions will be limited. To reflect this, we expect to provide discounts to customers on these demonstration missions relative to the price we intend to eventually charge for our transportation services. During our demonstration missions, we plan to demonstrate Vigoride’s ability to deploy satellites. Once all customer payloads have been released, we plan to perform certain maneuvers and technology demonstrations to validate our technology and establish the potential commercial viability of our strategy. This approach limits risk for us as well as for our customers.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signed contracts for approximately $32 million in backlog (potential revenue), as of July 31, 2023. These agreements include firm orders as well as options, which allow customers to opt-in to launches on shorter notice without requiring a separate agreement. The breadth of these signed contracts spans across 18 companies in 14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backlog is subject to meaningful customer concentration risk. As of July 31, 2023, approximately 89% of the total dollar value of our backlog related to three launch services providers and aggregators of launch services capacity, and their affiliates. The top ten customers in our backlog represent approximately 99% of the total dollar value of our backlog.</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backlog is typically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2023 Securities Purchase Agreement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27, 2023, Momentus sold an aggregate of 9,396,000 shares of Common Stock at a purchase price of $0.8646 per share, pre-funded warrants to purchase an aggregate of 2,170,043 shares of Common Stock at a purchase price of $0.8646 per pre-funded warrant less the exercise price of $0.00001 per pre-funded warrant, and warrants to purchase 11,566,043 shares of Common Stock to an institutional investor. The aggregate gross proceeds of this offering, before the deduction of fees and expenses, was approximately $10.0 million. We used all of the net proceeds from this offering to satisfy certain stock repurchase obligations of the Company from prior to the Business Combination.</w:t>
      </w:r>
    </w:p>
    <w:p>
      <w:pPr>
        <w:spacing w:after="0" w:line="10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June 30, 2023, the Company issued 2,170,043 shares of Class A Stock as a result of all of the Pre-Funded Warrants being exercised and the Company received an immaterial amount of cash proceeds from the exercise of such Pre-Funded Warrants.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Changes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28, 2022, Jikun Kim, the Chief Financial Officer of the Company, tendered his resignation effective January 6, 2023. On January 3, 2023, the Board of Directors appointed Dennis Mahoney as the Interim Chief Financial Officer and principal accounting officer of the Company, effective as of January 7, 2023. Then on April 5, 2023, the Board of Directors appointed Eric Williams as the permanent Chief Financial Officer and principal accounting officer of the Company.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28, 2022, Momentus entered into the ATM Sales Agreement. Pursuant to the ATM Sales Agreement, the Company may from time to time sell, through the sales agent using ATM offerings, shares of Common Stock up to an aggregate offer price of $50.0 million. Under the ATM Sales Agreement, the sales agent will be entitled to compensation at a commission rate of up to 3.0% of the gross sales price per share sold.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2023, there were no sales under the ATM Sales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CFIUS Review</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incurred significant expenses in connection with the CFIUS review described below and have incurred and expect to incur significant expenses in connection with the implementation of the NSA described below. We have also incurred significant expenses related to the SEC settlement discussed below. The Company incurred legal expenses related to these matters of approximately $0.2 million and $0.3 million for the three and six months ended June 30, 2023, respectively, and $0.5 million and $1.3 million for the three and six months ended June 30, 2022, respectively, and expects to continue to incur legal expenses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NSA</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2021, the Company and Mikhail Kokorich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National Security Agreement with the U.S. government, represented by the U.S. Departments of Defense and the Treasury (the “NSA”).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Co-Founder Divestment and Stock Repurchase Agreements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27, 2023 the Company raised aggregate gross proceeds of $10.0 million through the sale of securities (see Note 9 for additional information), which together with the Business Combination and other capital raising activities triggered the payment of the $10.0 million liability to the Co-Founders in accordance with the terms of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stock repurchase agreements. The amount was paid during the three months ended March 31, 2023, had previously been recorded as an estimated liability with a corresponding offset to additional paid in capital within the condensed consolidated statements of stockholders’ equity as of December 31, 2022.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w:t>
      </w:r>
    </w:p>
    <w:p>
      <w:pPr>
        <w:spacing w:after="0" w:line="1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June 30, 2023, the Company recognized $1.7 million of revenue, primarily from the completion of performance obligation in connection with the Vigoride 5 and Vigoride 6 missions as well as some forfeited customer deposits upon contract expiration.</w:t>
      </w:r>
    </w:p>
    <w:p>
      <w:pPr>
        <w:spacing w:after="0" w:line="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June 30, 2023 we have signed contracts with customers and have collected approximately $2.0 million in customer deposits, of which, $1.2 million are recorded as current contract liabilities and $0.8 million are recorded as non-current contract liabilities in our condensed consolidated balance sheets.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 consists primarily of expenses associated with the cost of the orbital service vehicle and third-party launch costs. Until the orbital service vehicle design is completed and released for production, the cost of these orbital service vehicles is being expensed as research and development costs as materials and services are received. The current design and technology allow for a single use of the orbital service vehicle.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expenditures consist primarily of the cost for the following activities for developing existing and future technologies for our vehicles. Research and development activities include basic research, applied research, design, development, and related test program activities. Costs incurred for developing our vehicles primarily include equipment, material, and labor hours (both internal and subcontractors). The Company also records launch costs related to the testing of its Vigoride vehicles as research and development costs.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we have expensed all research and development costs associated with developing and building our vehicles. We expect to continue to see an increase in our research and development expenses as we develop our next generation of vehicles.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to comply with the NSA.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 of warrants consists of changes in the estimated fair value of our warrant liability.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investment holdings in interest bearing bank accounts.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includes interest incurred related to our loan payables as well as the amortization of warrant discount and debt issuance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primarily relates to non-recurring fees incurred in conjunction with the Term Loan financing, SEC settlement cost, and other immaterial items.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The period-to-period comparisons of financial results are not necessarily indicative of future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Financial Results for the Three Months Ended June 30, 2023 and 2022</w:t>
      </w:r>
    </w:p>
    <w:p>
      <w:pPr>
        <w:spacing w:after="0" w:line="18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Three Months Ended</w:t>
      </w:r>
    </w:p>
    <w:p>
      <w:pPr>
        <w:jc w:val="center"/>
        <w:ind w:left="48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 Change</w:t>
            </w:r>
          </w:p>
        </w:tc>
        <w:tc>
          <w:tcPr>
            <w:tcW w:w="1840" w:type="dxa"/>
            <w:vAlign w:val="bottom"/>
          </w:tcPr>
          <w:p>
            <w:pPr>
              <w:jc w:val="right"/>
              <w:ind w:right="43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3310 %</w:t>
            </w:r>
          </w:p>
        </w:tc>
      </w:tr>
      <w:tr>
        <w:trPr>
          <w:trHeight w:val="257"/>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3133 %</w:t>
            </w:r>
          </w:p>
        </w:tc>
      </w:tr>
      <w:tr>
        <w:trPr>
          <w:trHeight w:val="250"/>
        </w:trPr>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3366 %</w:t>
            </w:r>
          </w:p>
        </w:tc>
      </w:tr>
      <w:tr>
        <w:trPr>
          <w:trHeight w:val="216"/>
        </w:trPr>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5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5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4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6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Realized loss on disposal of asset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(1800 %)</w:t>
            </w:r>
          </w:p>
        </w:tc>
      </w:tr>
      <w:tr>
        <w:trPr>
          <w:trHeight w:val="26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7040 %</w:t>
            </w:r>
          </w:p>
        </w:tc>
      </w:tr>
      <w:tr>
        <w:trPr>
          <w:trHeight w:val="25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(48 %)</w:t>
            </w:r>
          </w:p>
        </w:tc>
      </w:tr>
      <w:tr>
        <w:trPr>
          <w:trHeight w:val="28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revenue recognized during the three months ended June 30, 2023 was primarily driven by fulfillment of performance obligations to customers in connection with the Vigoride 5 and Vigoride 6 missions, resulting in $1.3 million of revenue recognition. The remaining $0.4 million of revenue recognized was a combination of customer deposit forfeiture upon contract expiration and the launch of one customer payload through another supplier on the SpaceX Transporter 8 mission.</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recognized during the three months ended June 30, 2022 was due to a cancelled customer contract, which resulted in the forfeiture of the related customer deposit.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of revenue during the three months ended June 30, 2023 was due to the launch cost allocated to customer payloads on the Vigoride 5 and Vigoride 6 missions. The Company allocated the cost of the launch proportionally based on payload weight.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decreased from $10.9 million in the three months ended June 30, 2022 to $10.2 million in the three months ended June 30, 2023. The decrease was driven by a $0.7 million reduction in allocated information technology and facilities expenses, a $0.4 million decrease in sign in bonuses, and decreased spending on materials of $0.2 million, partially offset by an increase in research and development launch costs of $0.8 million from the Vigoride 6 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decreased from $12.9 million in the three months ended June 30, 2022 to $10.0 million in the three months ended June 30, 2023. NSA compliance spending decreased by $0.4 million and other legal services expenses decreased by $0.5 million, partially offset by a $0.3 million increase in SEC compliance spending, as the Company’s activity related to the NSA and SEC topics discussed in Note 12 shifted from legal proceedings to compliance. Stock based compensation decreased by $0.6 million due to executive turnover. Information technology costs, general and administrative launch costs associated with a strategic supplier test in May 2022, and other general corporate expenses decreased by $0.7 million, $0.6 million, and $0.2 million,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both the three months ended June 30, 2023 and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9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loss on disposal of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Realized loss on disposal of assets in the three months ended June 30, 2023 and 2022, was immaterial.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increased from an immaterial amount for three months ended June 30, 2022 to $0.4 million for the three months ended June 30, 2023 as the Company invested more in money market funds in response to rising interest rates.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from $1.4 million of cash and amortization interest for the three months ended June 30, 2022 to $0.7 million of cash and amortization interest for the three months ended June 30, 2023 due to the application of the effective interest method which results in less cash and amortization interest as the Term Loan approaches maturity. See Note 8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 the three months ended June 30, 2023 and 2022, was immaterial.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Arial" w:cs="Arial" w:eastAsia="Arial" w:hAnsi="Arial"/>
                <w:sz w:val="18"/>
                <w:szCs w:val="18"/>
                <w:color w:val="3051F2"/>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280" w:type="dxa"/>
            <w:vAlign w:val="bottom"/>
            <w:shd w:val="clear" w:color="auto" w:fill="3051F2"/>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817"/>
        </w:trPr>
        <w:tc>
          <w:tcPr>
            <w:tcW w:w="6480" w:type="dxa"/>
            <w:vAlign w:val="bottom"/>
            <w:gridSpan w:val="6"/>
          </w:tcPr>
          <w:p>
            <w:pPr>
              <w:spacing w:after="0"/>
              <w:rPr>
                <w:sz w:val="20"/>
                <w:szCs w:val="20"/>
                <w:color w:val="auto"/>
              </w:rPr>
            </w:pPr>
            <w:r>
              <w:rPr>
                <w:rFonts w:ascii="Arial" w:cs="Arial" w:eastAsia="Arial" w:hAnsi="Arial"/>
                <w:sz w:val="18"/>
                <w:szCs w:val="18"/>
                <w:b w:val="1"/>
                <w:bCs w:val="1"/>
                <w:color w:val="auto"/>
                <w:w w:val="91"/>
              </w:rPr>
              <w:t>Comparison of Financial Results for the Six Months Ended June 30, 2023 and 2022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87"/>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5"/>
          </w:tcPr>
          <w:p>
            <w:pPr>
              <w:ind w:left="600"/>
              <w:spacing w:after="0"/>
              <w:rPr>
                <w:sz w:val="20"/>
                <w:szCs w:val="20"/>
                <w:color w:val="auto"/>
              </w:rPr>
            </w:pPr>
            <w:r>
              <w:rPr>
                <w:rFonts w:ascii="Arial" w:cs="Arial" w:eastAsia="Arial" w:hAnsi="Arial"/>
                <w:sz w:val="18"/>
                <w:szCs w:val="18"/>
                <w:b w:val="1"/>
                <w:bCs w:val="1"/>
                <w:color w:val="auto"/>
              </w:rPr>
              <w:t>Six Months Ended</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1"/>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57"/>
        </w:trPr>
        <w:tc>
          <w:tcPr>
            <w:tcW w:w="41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2"/>
                <w:szCs w:val="22"/>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 Change</w:t>
            </w:r>
          </w:p>
        </w:tc>
        <w:tc>
          <w:tcPr>
            <w:tcW w:w="1840" w:type="dxa"/>
            <w:vAlign w:val="bottom"/>
          </w:tcPr>
          <w:p>
            <w:pPr>
              <w:jc w:val="right"/>
              <w:ind w:right="43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3354 %</w:t>
            </w:r>
          </w:p>
        </w:tc>
      </w:tr>
      <w:tr>
        <w:trPr>
          <w:trHeight w:val="256"/>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3133 %</w:t>
            </w:r>
          </w:p>
        </w:tc>
      </w:tr>
      <w:tr>
        <w:trPr>
          <w:trHeight w:val="250"/>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3424 %</w:t>
            </w:r>
          </w:p>
        </w:tc>
      </w:tr>
      <w:tr>
        <w:trPr>
          <w:trHeight w:val="216"/>
        </w:trPr>
        <w:tc>
          <w:tcPr>
            <w:tcW w:w="41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5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r>
      <w:tr>
        <w:trPr>
          <w:trHeight w:val="25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5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20,277</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00" w:type="dxa"/>
            <w:vAlign w:val="bottom"/>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5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3"/>
        </w:trPr>
        <w:tc>
          <w:tcPr>
            <w:tcW w:w="4180" w:type="dxa"/>
            <w:vAlign w:val="bottom"/>
            <w:gridSpan w:val="2"/>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5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6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5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Realized loss on disposal of asset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6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18140 %</w:t>
            </w:r>
          </w:p>
        </w:tc>
      </w:tr>
      <w:tr>
        <w:trPr>
          <w:trHeight w:val="25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6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Litigation settlement, net</w:t>
            </w:r>
          </w:p>
        </w:tc>
        <w:tc>
          <w:tcPr>
            <w:tcW w:w="3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5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81"/>
        </w:trPr>
        <w:tc>
          <w:tcPr>
            <w:tcW w:w="4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revenue recognized during the six months ended June 30, 2023 was primarily driven by fulfillment of performance obligations for Vigoride 5 and Vigoride 6 customers, resulting in $1.3 million of revenue recognition. The remaining $0.4 million of revenue recognized was a combination of customer deposit forfeiture upon contract expiration and the launch of one customer payload through another supplier on the SpaceX Transporter 8 mission.</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revenue recognized during the six months ended June 30, 2022 was due to a cancelled customer contract, which resulted in the forfeiture of the related customer deposit.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decreased from $20.9 million in the six months ended June 30, 2022 to $20.3 million in the six months ended June 30, 2023. The decrease was primarily due to spending on materials and components, which decreased by $1.2 million, a reduction in allocated information technology and facilities expenses of $0.8 million, and a $0.4 million decreases in signing bonuses, partially offset by increases in launch costs of $1.4 million associated with Vigoride 5 and Vigoride 6 missions and an increase in subcontractor expenses of $0.5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decreased from $27.7 million in the six months ended June 30, 2022 to $20.3 million in the six months ended June 30, 2023. SEC compliance spending decreased by $1.7 million, NSA compliance spending decreased by $0.9 million, other legal services expenses decreased by $0.6 million, and non-legal professional fees decreased by $0.7 million as the Company’s activity related to the NSA and SEC topics discussed in Note 12 shifted from legal proceedings to compliance. Non-stock based compensation payroll decreased by $0.4 million due to prior year one-time bonuses and executive departures temporarily replaced by consultants, and stock based compensation decreased by $1.2 million due to executive turnover. IT costs, G&amp;A launch costs associated with a strategic supplier test in May 2022, and other general corporate office expenses decreased by $0.8 million, $0.6 million, and $0.4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both the six months ended June 30, 2023 and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9 for additional information.</w:t>
      </w:r>
    </w:p>
    <w:p>
      <w:pPr>
        <w:sectPr>
          <w:pgSz w:w="11900" w:h="16838" w:orient="portrait"/>
          <w:cols w:equalWidth="0" w:num="1">
            <w:col w:w="11240"/>
          </w:cols>
          <w:pgMar w:left="320" w:top="108"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loss on disposal of assets</w:t>
      </w:r>
    </w:p>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decrease in realized loss on disposal of asset for the six months ended June 30, 2023 was due to disposals of furniture and equipment related to the end of three minor leases during the six months ended June 30, 2022, compared to immaterial disposals during the six months ended June 30, 2023.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increased from an immaterial amount for six months ended June 30, 2022 to $0.9 million for the six months ended June 30, 2023 as the Company invested more in money market funds in response to rising interest rates.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from $2.9 million of cash and amortization interest for the six months ended June 30, 2022 to $1.7 million of cash and amortization interest for the six months ended June 30, 2023 due to the application of the effective interest method which results in less cash and amortization interest as the Term Loan approaches maturity. See Note 8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 net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Litigation settlements amounts payable for the six months ended June 30, 2023 and 2022, were immaterial.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income for the six months ended June 30, 2023 and 2022, was immaterial.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$18.8 million and $39.7 million for the three and six months ended June 30, 2023, respectively, and had an accumulated deficit of $343.8 million as of June 30, 2023. Additionally, the Company used net cash of $33.2 million to fund its operating activities for the six months ended June 30, 2023, and had cash and cash equivalents of $21.3 million as of June 30, 2023.</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connection with the preparation of the condensed consolidated financial statements for the three and six months ended June 30, 2023,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commercial scale production and sale of its services and products. These conditions raise substantial doubt regarding its ability to continue as a going concern for a period of at least one year from the date of issuance of these unaudited condensed consolidated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opportunities to access additional capital through all available means.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21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accompanying condensed consolidated financial statements have been prepared on a going concern basis of accounting. The accompanying condensed consolidated financial statements do not reflect any adjustments that might result if the Company is unable to continue as a going concern.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78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0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w:t>
            </w:r>
          </w:p>
        </w:tc>
        <w:tc>
          <w:tcPr>
            <w:tcW w:w="3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(33,228)</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(45,943)</w:t>
            </w:r>
          </w:p>
        </w:tc>
        <w:tc>
          <w:tcPr>
            <w:tcW w:w="0" w:type="dxa"/>
            <w:vAlign w:val="bottom"/>
          </w:tcPr>
          <w:p>
            <w:pPr>
              <w:spacing w:after="0"/>
              <w:rPr>
                <w:sz w:val="1"/>
                <w:szCs w:val="1"/>
                <w:color w:val="auto"/>
              </w:rPr>
            </w:pPr>
          </w:p>
        </w:tc>
      </w:tr>
      <w:tr>
        <w:trPr>
          <w:trHeight w:val="33"/>
        </w:trPr>
        <w:tc>
          <w:tcPr>
            <w:tcW w:w="7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10"/>
        </w:trPr>
        <w:tc>
          <w:tcPr>
            <w:tcW w:w="780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(7,018)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(3,277)</w:t>
            </w:r>
          </w:p>
        </w:tc>
        <w:tc>
          <w:tcPr>
            <w:tcW w:w="0" w:type="dxa"/>
            <w:vAlign w:val="bottom"/>
          </w:tcPr>
          <w:p>
            <w:pPr>
              <w:spacing w:after="0"/>
              <w:rPr>
                <w:sz w:val="1"/>
                <w:szCs w:val="1"/>
                <w:color w:val="auto"/>
              </w:rPr>
            </w:pPr>
          </w:p>
        </w:tc>
      </w:tr>
      <w:tr>
        <w:trPr>
          <w:trHeight w:val="33"/>
        </w:trPr>
        <w:tc>
          <w:tcPr>
            <w:tcW w:w="7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change in cash and cash equivalents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(40,261)</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(50,165)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operating activities for the six months ended June 30, 2023 was $33.2 million, driven primarily by headcount costs, research and development activities, legal expenses, and professional fees, as well as net cash changes in operating assets and liabilities. Headcount related payroll costs, excluding accrued bonus of $1.7 million and stock-based compensation of $4.3 million, were $11.0 million. Research and Development activity expenses, including materials, components, and subcontractor costs were $7.0 million. Professional fees of $8.9 million included $1.3 million of costs related to the SEC and NSA topics discussed in Note 12 and legal fees of $4.1 million. Office overheads, other general corporate expenses, and cash interest were $4.6 million which includes insurance costs of $1.5 million. The Company incurred launch costs of $1.9 million during the six months ended June 30, 2023 that were amortized in connection with its first launch. These cash outflows were partially offset by gross profit of $1.3 million primarily related to the fulfillment of performance obligations for Vigoride 5 and Vigoride 6 customers during the six months ended June 30, 2023. The Company additionally had change in cash from changes in operating assets and liabilities of $1.2 million.</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in operating activities for the six months ended June 30, 2022 was $45.9 million, driven primarily by headcount costs, research and development activities, and professional fees related to the SEC and NSA compliance costs, as well as net cash changes in operating assets and liabilities. Headcount related payroll costs, excluding accrued bonus and stock-based compensation, were $15.7 million. Research and development activity expenses, including materials, components, and subcontractor costs were $7.8 million. Legal fees, related to the SEC and CFIUS review topics, discussed in Note 12, were $4.7 million. Professional fees for recruiting, accounting and audit, and other services were $8.5 million. Office overheads, other general corporate expenses, and cash interest were $8.3 million. The Company incurred launch costs of $1.2 million during the six months ended June 30, 2023 that were amortized in connection with its first launch.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$0.01 million and $0.9 million for the six months ended June 30, 2023 and 2022, respectively, which consisted primarily of purchases of machinery and equipment partially offset by proceeds from sale of machinery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financing activities was $7.0 million for the six months ended June 30, 2023, primarily due to principal repayments of $6.3 million under the Term Loan and $10.0 million paid to satisfy the stock repurchase agreement contingent liability. These cash outflows were partially offset by gross proceeds of approximately $10.0 million received from the February 2023 Securities Purchase Agreement offering.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$3.3 million for the six months ended June 30, 2022, due to principal repayment under the Term Loan, which did not commence until March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our cash consumption to continue in connection with our ongoing activities, particularly as we continue to advance the development of our vehicles, build corporate infrastructure and enhance our sales and marketing functions.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Specifically, our operating expenses will continue as we:</w:t>
      </w:r>
    </w:p>
    <w:p>
      <w:pPr>
        <w:spacing w:after="0" w:line="17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continue to refine our corporate infrastructure, people, processes and systems;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enhance and scale our sales and marketing function;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2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pursue further research and development related to developing our next generation vehicles;</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seek regulatory approvals for changes or updates to our vehicles;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actively manage our workforce, including right sizing in personnel;</w:t>
      </w:r>
    </w:p>
    <w:p>
      <w:pPr>
        <w:spacing w:after="0" w:line="10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implement measures required under the NSA and continue to implement measures required under the NSA and seek to comply with the NSA's requirements;</w:t>
      </w:r>
    </w:p>
    <w:p>
      <w:pPr>
        <w:spacing w:after="0" w:line="72"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maintain, expand and protect our intellectual property portfolio;</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comply with public company reporting requirements; and</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defend against litigation.</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0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Some of these risks and uncertainties are described in more detail under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this Form 10-Q under the heading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 We may not be able to continue as a going concern.”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operating leases primarily for facilities (e.g., office buildings, warehouses and spaceport) under non-cancellable operating leases. These leases expire at various dates through 2028. Refer to Note 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principal of $9.0 million outstanding under the Term Loan. Refer to Note 8.</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settlement of the Amended Complaint, we recorded a litigation settlement contingency of $8.5 million. Refer to Note 12.</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enter into agreements in the normal course of business with vendors for research and development services and outsourced services, which are generally cancellable upon written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engage in any off-balance sheet activities or have any arrangements or relationships with unconsolidated entities, such as variable interest, special purpose, and structured finance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which have been prepared in accordance with GAAP. The preparation of our condensed consolidated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condensed consolidated financial statements included elsewhere in this Form 10-Q.</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has services available on a ‘stand ready’ basis until the mission reaches its conclusion. The Company recognizes revenue for these in-orbit services ratably over time on a straight-line basis.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account for customer contracts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includes the following five-step model:</w:t>
      </w:r>
    </w:p>
    <w:p>
      <w:pPr>
        <w:spacing w:after="0" w:line="16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satellite and cargo delivery services (transportation services) are considered a single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in-orbit services consist of a collection of interdependent and integrated services which are not considered distinct from one another and may vary depending on the specific needs of the Customer and mission. Revenue for these in-orbit services are recognized ratably over time on a straight line basis.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periods in which we recognize revenue, we will disclose the amounts of revenue recognized that was included as a contract liability balance at the beginning of the reporting period in accordance with ASC 606-10-50-8(b).</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Fulfillment and Prepaid Launch Costs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prepay for certain launch costs to third-party providers that will carry the orbital service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various stock incentive plans under which incentive and non-qualified stock options and restricted stock awards are granted to employees, directors, and consultants. All stock-based payments to employees, including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grants of employee stock options are recognized in the condensed consolidated financial statements based on their respective grant date fair values.</w:t>
      </w:r>
    </w:p>
    <w:p>
      <w:pPr>
        <w:spacing w:after="0" w:line="1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condensed consolidated financial statements is based on awards that are expected to vest. We account for forfeitures as they occur.</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refer to Note 2 in the notes to our condensed consolidated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a variety of market and other risks, including the effects of changes in interest rates, and inflation, as well as risks to the availability of funding sources, hazard events, and specific asset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 risk inherent in our financial instruments and our financial position represents the potential loss arising from adverse changes in interest rates. As of June 30, 2023, we had cash and cash equivalents of $21.3 million, which are primarily invested in highly liquid investments purchased with a remaining maturity of three months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less. However, due to the short-term maturities and the low-risk profile of our investments, an immediate 10% change in interest rates would not have a material effect on the fair market value of our cash and cash equivalents.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Because the Term Loan indebtedness bears interests at a fixed rate, it is not impacted by changes in interest rates.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material foreign currency transactions for the three and six months ended June 30, 2023 and 2022. Currently, a significant portion of our cash receipts and expenses are generated in U.S.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internal control over financial reporting is a process designed by, or under the supervision of, the Company’s principal executive and principal financial officers, or persons performing similar functions, to provide reasonable assurance regarding the reliability of financial reporting and the preparation of financial statements in accordance with GAAP.</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June 30, 2023. Based on this evaluation, our Chief Executive Officer and Chief Financial Officer concluded that, as of such date, our disclosure controls and procedures were effective at the reasonable assurance level.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June 30, 2023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See the disclosures under the caption “</w:t>
      </w:r>
      <w:r>
        <w:rPr>
          <w:rFonts w:ascii="Arial" w:cs="Arial" w:eastAsia="Arial" w:hAnsi="Arial"/>
          <w:sz w:val="17"/>
          <w:szCs w:val="17"/>
          <w:i w:val="1"/>
          <w:iCs w:val="1"/>
          <w:color w:val="auto"/>
        </w:rPr>
        <w:t>Legal Proceedings</w:t>
      </w:r>
      <w:r>
        <w:rPr>
          <w:rFonts w:ascii="Arial" w:cs="Arial" w:eastAsia="Arial" w:hAnsi="Arial"/>
          <w:sz w:val="17"/>
          <w:szCs w:val="17"/>
          <w:color w:val="auto"/>
        </w:rPr>
        <w:t>” in Note 12 in the notes to our condensed consolidated financial statements included elsewhere in this Form 10-Q for disclosures related to our legal proceedings, which disclosures are incorporated herein by reference.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in “</w:t>
      </w:r>
      <w:r>
        <w:rPr>
          <w:rFonts w:ascii="Arial" w:cs="Arial" w:eastAsia="Arial" w:hAnsi="Arial"/>
          <w:sz w:val="17"/>
          <w:szCs w:val="17"/>
          <w:i w:val="1"/>
          <w:iCs w:val="1"/>
          <w:color w:val="auto"/>
        </w:rPr>
        <w:t>Risk Factors</w:t>
      </w:r>
      <w:r>
        <w:rPr>
          <w:rFonts w:ascii="Arial" w:cs="Arial" w:eastAsia="Arial" w:hAnsi="Arial"/>
          <w:sz w:val="17"/>
          <w:szCs w:val="17"/>
          <w:color w:val="auto"/>
        </w:rPr>
        <w:t>” in our most recent Annual Report on Form 10-K filed by the Company on March 8, 2023, which could materially affect our business, financial condition or future results. Except as set forth below, we do not believe that there have been any material changes to the risk factors disclosed in our Annual Report on Form 10-K filed by the Company on March 8, 2023. The risks described below and in our Annual Report on Form 10-K filed by the Company on March 8, 2023,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limited history of delivering customer satellites into orbit using our service vehicles, and setbacks experienced during our initial mission or in future missions and other demonstration and commercial missions could have a material adverse effect on our business, financial condition and results of operation and could harm our reputation.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success of our in-space infrastructure services business will depend on our ability to successfully and regularly deliver customer satellites to custom orbits. Our initial mission in May 2022 was a hybrid commercial-demonstration mission in which our vehicles would deliver paying customers’ satellites into orbit for the first time. We used a third-party deployer from a partner company to place our first customer satellite in orbit. Our Vigoride spacecraft reached low-earth orbit and was able to deploy two out of nine customer satellites, but certain anomalies relating primarily to its communication and power systems limited our ability to communicate with the vehicle. Since that time, the Vigoride spacecraft has deployed five additional customer satellites, but we have been unable to confirm the deployment of the remaining two customer satellites. The communication issues have also prevented Vigoride from performing orbit change maneuvers and technology demonstrations that were part of our program to validate our technology in space, and to demonstrate end-to-end in-space transfer and service operations.</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plan to use the ongoing Vigoride 5 and Vigoride 6 missions, as well as future Vigoride missions, to conduct on-orbit functional proof of principle and performance verification data for the MET — this data will be used to assess the efficacy of the MET and identify potential refinements or upgrades for future versions of the MET in order to improve its performance. Like the ground test campaigns we conduct, on-orbit tests can be understood as incremental confidence-building measures — meeting key requirements for thrust, specific impulse, firing duration, lifetime and other performance parameters will help Momentus determine whether the MET is performing in accordance with our expectations. Doing so repeatedly, both on the ground and on orbit, will demonstrate the soundness and robustness of the MET design and is expected to contribute to growing customer confidence over time. Despite the anomalies experienced on Vigoride 3, we are using the results of the inaugural mission, and expect to use the data collected from future missions, to determine what services or level of services we will be able to initially provide customers, including the degree to which Vigoride possesses capabilities of providing customers with low-earth orbit transfer services. We anticipate that each mission will also lay the groundwork for continual improvements and enhancements that we plan to flight-demonstrate on future missions. We plan to offer low-earth orbit transfer services to customers in the future, based in part on the outcome of future missions and the MET demonstration, as well as the results of ongoing ground testing.</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mindful of the inherent risks involved in the initial use of hardware and complex systems in space given the difficulties of replicating all aspects of the environment and stresses that the system will experience in space during ground-based testing in simulated environments. We have learned and gathered valuable data during our previous Vigoride missions as we continue to develop and improve the system and our other systems. While we have conducted an analysis of the root causes of the anomalies experienced by Vigoride 3 on its inaugural mission, there can be no assurance that we will not experience operational or process failures and other problems on any future missions. Any failures, delays or setbacks, including anomalies experienced in our current or future mission, could harm our reputation and have a material adverse effect on our business, financial condition and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convert our orders in backlog into revenue.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8"/>
          <w:szCs w:val="18"/>
          <w:color w:val="auto"/>
        </w:rPr>
        <w:t>As of July 31, 2023, our backlog consisted of approximately $32 million in customer contracts, including firm orders and options for future services. However, these contracts are cancellable by customers for convenience. If a customer cancels a contract before it is required to pay the last deposit prior to launch, we may not receive all potential revenue from these orders, except for an initial non-refundable deposit which is paid at the time the contract is signed. In certain situations, Momentus may decide to refund customers for their deposits, even though it is not contractually required, to maintain goodwill with customers.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backlog may be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 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if we do not receive regulatory approvals in a timely manner, or our future missions experience anomalies in addition to the issues experienced by our inaugural Vigoride mission (Vigoride 3), our backlog and prospects will be materially adversely affected. For example, we have experienced erosion in our backlog from $86 million as of March 4, 2021 to $67 million as of January 31, 2022, to $33 million as of February 28, 2023, to $32 million as of July 31, 2023, as customers chose to cancel their contracts with us and seek alternative providers due to delays in our scheduled missions. If we continue to experience delays or future missions experience significant anomalies, we could experience further erosion in our backlog.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as a going concern.</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financial statements have been prepared on a going concern basis of accounting which assumes that we will continue as a going concern, and do not reflect any adjustments that might result if the Company is unable to continue as a going concern. The Company’s ability to continue as a going concern is dependent on the Company’s ability to generate revenues and raise capital. To date, the Company has not generated sufficient revenues to provide cash flows that enable the Company to finance its operations internally. In connection with an evaluation conducted by the Company’s management during the preparation of this report, management concluded that there were conditions and events which raised substantial doubt as to the Company’s ability to continue as a going concern within twelve months after the date of the issuance of the financial statements included in this report.</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uncertainty regarding our ability to continue as a going concern could materially adversely affect our share price and our ability to service our indebtedness, raise new capital or enter into commercial transactions. To address these matters, the Company may take actions that materially and adversely affect our business, including significant reductions in research, development, administrative and commercial activities, reduction of our employee base, and ultimately curtailing or ceasing operations, any of which could materially adversely affect our business, financial condition, results of operations and share price. In addition, doubts about our ability to continue as a going concern could impact our relationships with customers, vendors and other third parties and our ability to obtain, maintain or renew contracts with them, or negatively impact our negotiating leverage with such parties, which could have a material adverse effect on our business, financial condition and results of operations. Furthermore, any loss of key personnel, employee attrition or material erosion of employee morale arising out of doubts about our ability to operate as a going concern could have a material adverse effect on our ability to effectively conduct our business and could impair our ability to execute our strategy and implement our business objectives, thereby having a material adverse effect on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achieve the expected cost savings and related benefits from our reduction in workforce.</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3, 2023 we reduced our workforce to enable us to help achieve a more cost-efficient organization necessary to increase the cash runway of the Company. The reduction in workforce affected 18 employees. The Company may have to implement additional reductions in workforce if the Company is unable to raise additional capital or otherwise fund the operations of the Company.The reductions in workforce to date, and any further reductions,as well as the perceptions of our vendors, customers, potential customers and investors regarding these actions,could materially adversely affect our ability to operate our business and achieve our business objectives, which could have a material adverse effect on our business, financial condition, results of operations and share price.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auto"/>
        </w:rPr>
        <w:t>The pursuit of additional capital and other strategic alternatives will consume a substantial portion of the time and attention of our management and require additional capital resources which may be disruptive to our business,and could have a material adverse effect on our business, financial condition and results of operations.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not able to predict with certainty the amount of time and resources necessary to successfully identify, pursue and execute any strategic alternative or to obtain additional financing. The diversion of management’s attention may materially adversely affect the conduct of our business, and, as a result, our financial condition and results of operations. The additional expense we accrue in connection with our review of strategic alternatives and pursuit of additional capital may materially adversely impact our financial condition and partially offset the value of any strategic plan we may pursue or additional financing we may be able to obtain.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Rule 10b5-1 Trading Plans</w:t>
      </w:r>
    </w:p>
    <w:p>
      <w:pPr>
        <w:spacing w:after="0" w:line="14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There were no adoption or termination of contracts, instructions or written plans for the purchase and sale of the Company’s securities by our Section 16 officers and directors for the three months ended June 30, 2023, each of which would be intended to satisfy the affirmative defense conditions of Rule 10b5-1(c) under the Exchange Act.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 for Accelerated Vesting upon a Change in Control</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August 8, 2023, the Compensation Committee of our Board of Directors authorized the Company to enter into a letter agreement with each active, full-time employee of the Company for the purpose of enhancing employee retention, providing for the accelerated vesting of all outstanding equity awards upon a Change in Control (as defined in the Company’s 2021 Equity Incentive Plan). A copy of the form of letter agreement is attached to this Quarterly Report on Form 10-Q as Exhibit 10.2.</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Financial Statement Schedules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Number</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100" w:type="dxa"/>
            <w:vAlign w:val="bottom"/>
            <w:tcBorders>
              <w:bottom w:val="single" w:sz="8" w:color="CCEEFF"/>
            </w:tcBorders>
            <w:gridSpan w:val="15"/>
          </w:tcPr>
          <w:p>
            <w:pPr>
              <w:ind w:left="300"/>
              <w:spacing w:after="0"/>
              <w:rPr>
                <w:sz w:val="20"/>
                <w:szCs w:val="20"/>
                <w:color w:val="auto"/>
              </w:rPr>
            </w:pPr>
            <w:r>
              <w:rPr>
                <w:rFonts w:ascii="Arial" w:cs="Arial" w:eastAsia="Arial" w:hAnsi="Arial"/>
                <w:sz w:val="16"/>
                <w:szCs w:val="16"/>
                <w:b w:val="1"/>
                <w:bCs w:val="1"/>
                <w:color w:val="auto"/>
              </w:rPr>
              <w:t>Description of Exhibit</w:t>
            </w:r>
          </w:p>
        </w:tc>
      </w:tr>
      <w:tr>
        <w:trPr>
          <w:trHeight w:val="172"/>
        </w:trPr>
        <w:tc>
          <w:tcPr>
            <w:tcW w:w="1300" w:type="dxa"/>
            <w:vAlign w:val="bottom"/>
            <w:tcBorders>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9840" w:type="dxa"/>
            <w:vAlign w:val="bottom"/>
            <w:tcBorders>
              <w:bottom w:val="single" w:sz="8" w:color="0000FF"/>
            </w:tcBorders>
            <w:gridSpan w:val="17"/>
            <w:shd w:val="clear" w:color="auto" w:fill="CCEEFF"/>
          </w:tcPr>
          <w:p>
            <w:pPr>
              <w:spacing w:after="0" w:line="152" w:lineRule="exact"/>
              <w:rPr>
                <w:rFonts w:ascii="Arial" w:cs="Arial" w:eastAsia="Arial" w:hAnsi="Arial"/>
                <w:sz w:val="17"/>
                <w:szCs w:val="17"/>
                <w:color w:val="0000FF"/>
              </w:rPr>
            </w:pPr>
            <w:hyperlink r:id="rId63">
              <w:r>
                <w:rPr>
                  <w:rFonts w:ascii="Arial" w:cs="Arial" w:eastAsia="Arial" w:hAnsi="Arial"/>
                  <w:sz w:val="17"/>
                  <w:szCs w:val="17"/>
                  <w:color w:val="0000FF"/>
                </w:rPr>
                <w:t>Agreement and Plan of Merger, dated as of October 7, 2020, by and among Stable Road Acquisition Corp., Project Marvel First</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156"/>
        </w:trPr>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40" w:type="dxa"/>
            <w:vAlign w:val="bottom"/>
            <w:gridSpan w:val="17"/>
            <w:shd w:val="clear" w:color="auto" w:fill="CCEEFF"/>
          </w:tcPr>
          <w:p>
            <w:pPr>
              <w:spacing w:after="0" w:line="156" w:lineRule="exact"/>
              <w:rPr>
                <w:rFonts w:ascii="Arial" w:cs="Arial" w:eastAsia="Arial" w:hAnsi="Arial"/>
                <w:sz w:val="18"/>
                <w:szCs w:val="18"/>
                <w:color w:val="0000FF"/>
                <w:w w:val="96"/>
              </w:rPr>
            </w:pPr>
            <w:hyperlink r:id="rId63">
              <w:r>
                <w:rPr>
                  <w:rFonts w:ascii="Arial" w:cs="Arial" w:eastAsia="Arial" w:hAnsi="Arial"/>
                  <w:sz w:val="18"/>
                  <w:szCs w:val="18"/>
                  <w:color w:val="0000FF"/>
                  <w:w w:val="96"/>
                </w:rPr>
                <w:t>Merger Sub, Inc., Project Marvel Second Merger Sub, LLC, and Momentus Inc. (incorporated by reference to Exhibit 10.2 to the</w:t>
              </w:r>
            </w:hyperlink>
          </w:p>
        </w:tc>
        <w:tc>
          <w:tcPr>
            <w:tcW w:w="20" w:type="dxa"/>
            <w:vAlign w:val="bottom"/>
            <w:shd w:val="clear" w:color="auto" w:fill="CCEEFF"/>
          </w:tcPr>
          <w:p>
            <w:pPr>
              <w:spacing w:after="0"/>
              <w:rPr>
                <w:sz w:val="13"/>
                <w:szCs w:val="13"/>
                <w:color w:val="auto"/>
              </w:rPr>
            </w:pPr>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800" w:type="dxa"/>
            <w:vAlign w:val="bottom"/>
            <w:tcBorders>
              <w:top w:val="single" w:sz="8" w:color="0000FF"/>
            </w:tcBorders>
            <w:gridSpan w:val="15"/>
            <w:shd w:val="clear" w:color="auto" w:fill="CCEEFF"/>
          </w:tcPr>
          <w:p>
            <w:pPr>
              <w:spacing w:after="0" w:line="169" w:lineRule="exact"/>
              <w:rPr>
                <w:rFonts w:ascii="Arial" w:cs="Arial" w:eastAsia="Arial" w:hAnsi="Arial"/>
                <w:sz w:val="18"/>
                <w:szCs w:val="18"/>
                <w:color w:val="0000FF"/>
              </w:rPr>
            </w:pPr>
            <w:hyperlink r:id="rId63">
              <w:r>
                <w:rPr>
                  <w:rFonts w:ascii="Arial" w:cs="Arial" w:eastAsia="Arial" w:hAnsi="Arial"/>
                  <w:sz w:val="18"/>
                  <w:szCs w:val="18"/>
                  <w:color w:val="0000FF"/>
                </w:rPr>
                <w:t>Company’s Current Report on Form 8-K filed on October 7, 2020).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1"/>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6"/>
                <w:szCs w:val="16"/>
                <w:color w:val="auto"/>
              </w:rPr>
            </w:pPr>
          </w:p>
        </w:tc>
        <w:tc>
          <w:tcPr>
            <w:tcW w:w="9880" w:type="dxa"/>
            <w:vAlign w:val="bottom"/>
            <w:gridSpan w:val="19"/>
          </w:tcPr>
          <w:p>
            <w:pPr>
              <w:spacing w:after="0" w:line="189" w:lineRule="exact"/>
              <w:rPr>
                <w:rFonts w:ascii="Arial" w:cs="Arial" w:eastAsia="Arial" w:hAnsi="Arial"/>
                <w:sz w:val="18"/>
                <w:szCs w:val="18"/>
                <w:color w:val="0000FF"/>
                <w:w w:val="96"/>
              </w:rPr>
            </w:pPr>
            <w:hyperlink r:id="rId64">
              <w:r>
                <w:rPr>
                  <w:rFonts w:ascii="Arial" w:cs="Arial" w:eastAsia="Arial" w:hAnsi="Arial"/>
                  <w:sz w:val="18"/>
                  <w:szCs w:val="18"/>
                  <w:color w:val="0000FF"/>
                  <w:w w:val="96"/>
                </w:rPr>
                <w:t>Amendment No. 1 to Agreement and Plan of Merger, dated March 5, 2021, by and among Stable Road Acquisition Corp., Project</w:t>
              </w:r>
            </w:hyperlink>
          </w:p>
        </w:tc>
      </w:tr>
      <w:tr>
        <w:trPr>
          <w:trHeight w:val="155"/>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Marvel First Merger Sub, Inc., Project Marvel Second Merger Sub, LLC, and Momentus Inc. (incorporated by reference to Exhibit 2.2</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20" w:type="dxa"/>
            <w:vAlign w:val="bottom"/>
            <w:gridSpan w:val="11"/>
          </w:tcPr>
          <w:p>
            <w:pPr>
              <w:spacing w:after="0" w:line="169" w:lineRule="exact"/>
              <w:rPr>
                <w:rFonts w:ascii="Arial" w:cs="Arial" w:eastAsia="Arial" w:hAnsi="Arial"/>
                <w:sz w:val="18"/>
                <w:szCs w:val="18"/>
                <w:color w:val="0000FF"/>
              </w:rPr>
            </w:pPr>
            <w:hyperlink r:id="rId64">
              <w:r>
                <w:rPr>
                  <w:rFonts w:ascii="Arial" w:cs="Arial" w:eastAsia="Arial" w:hAnsi="Arial"/>
                  <w:sz w:val="18"/>
                  <w:szCs w:val="18"/>
                  <w:color w:val="0000FF"/>
                </w:rPr>
                <w:t>to the Company’s Registration Statement on Form S-4 (Registration No. 333-249787) filed on March 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6"/>
                <w:szCs w:val="16"/>
                <w:color w:val="auto"/>
              </w:rPr>
            </w:pPr>
          </w:p>
        </w:tc>
        <w:tc>
          <w:tcPr>
            <w:tcW w:w="9880" w:type="dxa"/>
            <w:vAlign w:val="bottom"/>
            <w:gridSpan w:val="19"/>
            <w:shd w:val="clear" w:color="auto" w:fill="CCEEFF"/>
          </w:tcPr>
          <w:p>
            <w:pPr>
              <w:spacing w:after="0" w:line="189"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Amendment No. 2 to Agreement and Plan of Merger, dated as of April 6, 2021, by and among Stable Road Acquisition Corp., Project</w:t>
              </w:r>
            </w:hyperlink>
          </w:p>
        </w:tc>
      </w:tr>
      <w:tr>
        <w:trPr>
          <w:trHeight w:val="156"/>
        </w:trPr>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76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Marvel First Merger Sub, Inc., Project Marvel Second Merger Sub, LLC, and Momentus Inc. (incorporated by reference to Exhibit 2.3</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720" w:type="dxa"/>
            <w:vAlign w:val="bottom"/>
            <w:tcBorders>
              <w:top w:val="single" w:sz="8" w:color="0000FF"/>
            </w:tcBorders>
            <w:gridSpan w:val="11"/>
            <w:shd w:val="clear" w:color="auto" w:fill="CCEEFF"/>
          </w:tcPr>
          <w:p>
            <w:pPr>
              <w:spacing w:after="0" w:line="169" w:lineRule="exact"/>
              <w:rPr>
                <w:rFonts w:ascii="Arial" w:cs="Arial" w:eastAsia="Arial" w:hAnsi="Arial"/>
                <w:sz w:val="18"/>
                <w:szCs w:val="18"/>
                <w:color w:val="0000FF"/>
              </w:rPr>
            </w:pPr>
            <w:hyperlink r:id="rId65">
              <w:r>
                <w:rPr>
                  <w:rFonts w:ascii="Arial" w:cs="Arial" w:eastAsia="Arial" w:hAnsi="Arial"/>
                  <w:sz w:val="18"/>
                  <w:szCs w:val="18"/>
                  <w:color w:val="0000FF"/>
                </w:rPr>
                <w:t>to the Company’s Registration Statement on Form S-4 (Registration No. 333-249787) filed on June 29,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1"/>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6"/>
                <w:szCs w:val="16"/>
                <w:color w:val="auto"/>
              </w:rPr>
            </w:pPr>
          </w:p>
        </w:tc>
        <w:tc>
          <w:tcPr>
            <w:tcW w:w="9880" w:type="dxa"/>
            <w:vAlign w:val="bottom"/>
            <w:gridSpan w:val="19"/>
          </w:tcPr>
          <w:p>
            <w:pPr>
              <w:spacing w:after="0" w:line="189"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Amendment No. 3 to Agreement and Plan of Merger, dated as of June 29, 2021, by and among Stable Road Acquisition Corp., Project</w:t>
              </w:r>
            </w:hyperlink>
          </w:p>
        </w:tc>
      </w:tr>
      <w:tr>
        <w:trPr>
          <w:trHeight w:val="156"/>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Marvel First Merger Sub, Inc., Project Marvel Second Merger Sub, LLC, and Momentus Inc. (incorporated by reference to Exhibit 2.4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2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66">
              <w:r>
                <w:rPr>
                  <w:rFonts w:ascii="Arial" w:cs="Arial" w:eastAsia="Arial" w:hAnsi="Arial"/>
                  <w:sz w:val="18"/>
                  <w:szCs w:val="18"/>
                  <w:color w:val="0000FF"/>
                </w:rPr>
                <w:t>to the Company’s Registration Statement on Form S-4 (Registration No. 333-249787) filed on June 29, 2021).</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6"/>
                <w:szCs w:val="16"/>
                <w:color w:val="auto"/>
              </w:rPr>
            </w:pPr>
          </w:p>
        </w:tc>
        <w:tc>
          <w:tcPr>
            <w:tcW w:w="9880" w:type="dxa"/>
            <w:vAlign w:val="bottom"/>
            <w:gridSpan w:val="19"/>
            <w:shd w:val="clear" w:color="auto" w:fill="CCEEFF"/>
          </w:tcPr>
          <w:p>
            <w:pPr>
              <w:spacing w:after="0" w:line="189"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First Amendment to the Amended and Restated Bylaws of Momentus Inc. (incorporated by reference to Exhibit 3.1 to the Company’s</w:t>
              </w:r>
            </w:hyperlink>
          </w:p>
        </w:tc>
      </w:tr>
      <w:tr>
        <w:trPr>
          <w:trHeight w:val="155"/>
        </w:trPr>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Current Report on Form 8-K filed on July 25, 2023).</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9880" w:type="dxa"/>
            <w:vAlign w:val="bottom"/>
            <w:gridSpan w:val="19"/>
          </w:tcPr>
          <w:p>
            <w:pPr>
              <w:spacing w:after="0" w:line="189"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Second Amendment to the Momentus Inc. 2022 Inducement Equity Plan (incorporated by reference to Exhibit 99.3 to the Company’s</w:t>
              </w:r>
            </w:hyperlink>
          </w:p>
        </w:tc>
      </w:tr>
      <w:tr>
        <w:trPr>
          <w:trHeight w:val="156"/>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Registration Statement on Form S-8 (Registration No. 333-272104) filed on May 19, 2023).</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6"/>
                <w:szCs w:val="16"/>
                <w:color w:val="auto"/>
              </w:rPr>
            </w:pPr>
          </w:p>
        </w:tc>
        <w:tc>
          <w:tcPr>
            <w:tcW w:w="9880" w:type="dxa"/>
            <w:vAlign w:val="bottom"/>
            <w:gridSpan w:val="19"/>
            <w:shd w:val="clear" w:color="auto" w:fill="CCEEFF"/>
          </w:tcPr>
          <w:p>
            <w:pPr>
              <w:spacing w:after="0" w:line="189" w:lineRule="exact"/>
              <w:rPr>
                <w:rFonts w:ascii="Arial" w:cs="Arial" w:eastAsia="Arial" w:hAnsi="Arial"/>
                <w:sz w:val="18"/>
                <w:szCs w:val="18"/>
                <w:color w:val="0000FF"/>
              </w:rPr>
            </w:pPr>
            <w:hyperlink r:id="rId69">
              <w:r>
                <w:rPr>
                  <w:rFonts w:ascii="Arial" w:cs="Arial" w:eastAsia="Arial" w:hAnsi="Arial"/>
                  <w:sz w:val="18"/>
                  <w:szCs w:val="18"/>
                  <w:color w:val="0000FF"/>
                </w:rPr>
                <w:t>Form of Change in Control Letter Agreement.</w:t>
              </w:r>
            </w:hyperlink>
          </w:p>
        </w:tc>
      </w:tr>
      <w:tr>
        <w:trPr>
          <w:trHeight w:val="21"/>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6"/>
                <w:szCs w:val="16"/>
                <w:color w:val="auto"/>
              </w:rPr>
            </w:pPr>
          </w:p>
        </w:tc>
        <w:tc>
          <w:tcPr>
            <w:tcW w:w="9880" w:type="dxa"/>
            <w:vAlign w:val="bottom"/>
            <w:gridSpan w:val="19"/>
          </w:tcPr>
          <w:p>
            <w:pPr>
              <w:spacing w:after="0" w:line="189"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Certification Pursuant to Rules 13a-14(a) and 15d-14(a) Under The Securities Act of 1934, As Adopted Pursuant to Section 302 of the</w:t>
              </w:r>
            </w:hyperlink>
          </w:p>
        </w:tc>
      </w:tr>
      <w:tr>
        <w:trPr>
          <w:trHeight w:val="156"/>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Sarbanes-Oxley Act of 2002</w:t>
              </w:r>
            </w:hyperlink>
          </w:p>
        </w:tc>
        <w:tc>
          <w:tcPr>
            <w:tcW w:w="60" w:type="dxa"/>
            <w:vAlign w:val="bottom"/>
            <w:gridSpan w:val="3"/>
          </w:tcPr>
          <w:p>
            <w:pPr>
              <w:spacing w:after="0"/>
              <w:rPr>
                <w:sz w:val="13"/>
                <w:szCs w:val="13"/>
                <w:color w:val="auto"/>
              </w:rPr>
            </w:pPr>
          </w:p>
        </w:tc>
      </w:tr>
      <w:tr>
        <w:trPr>
          <w:trHeight w:val="34"/>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6"/>
                <w:szCs w:val="16"/>
                <w:color w:val="auto"/>
              </w:rPr>
            </w:pPr>
          </w:p>
        </w:tc>
        <w:tc>
          <w:tcPr>
            <w:tcW w:w="9880" w:type="dxa"/>
            <w:vAlign w:val="bottom"/>
            <w:gridSpan w:val="19"/>
            <w:shd w:val="clear" w:color="auto" w:fill="CCEEFF"/>
          </w:tcPr>
          <w:p>
            <w:pPr>
              <w:spacing w:after="0" w:line="189"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Certification Pursuant to Rules 13a-14(a) and 15d-14(a) Under The Securities Act of 1934, As Adopted Pursuant to Section 302 of the</w:t>
              </w:r>
            </w:hyperlink>
          </w:p>
        </w:tc>
      </w:tr>
      <w:tr>
        <w:trPr>
          <w:trHeight w:val="155"/>
        </w:trPr>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Sarbanes-Oxley Act of 2002</w:t>
              </w:r>
            </w:hyperlink>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34"/>
        </w:trPr>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6"/>
                <w:szCs w:val="16"/>
                <w:color w:val="auto"/>
              </w:rPr>
            </w:pPr>
          </w:p>
        </w:tc>
        <w:tc>
          <w:tcPr>
            <w:tcW w:w="9880" w:type="dxa"/>
            <w:vAlign w:val="bottom"/>
            <w:gridSpan w:val="19"/>
          </w:tcPr>
          <w:p>
            <w:pPr>
              <w:spacing w:after="0" w:line="189" w:lineRule="exact"/>
              <w:rPr>
                <w:sz w:val="20"/>
                <w:szCs w:val="20"/>
                <w:color w:val="auto"/>
              </w:rPr>
            </w:pPr>
            <w:r>
              <w:rPr>
                <w:rFonts w:ascii="Arial" w:cs="Arial" w:eastAsia="Arial" w:hAnsi="Arial"/>
                <w:sz w:val="18"/>
                <w:szCs w:val="18"/>
                <w:color w:val="0000FF"/>
              </w:rPr>
              <w:t>Certification Pursuant to 18 U.S.C. Section 1350, As Adopted Pursuant to Section 906 of the Sarbanes-Oxley Act of 2002</w:t>
            </w:r>
          </w:p>
        </w:tc>
      </w:tr>
      <w:tr>
        <w:trPr>
          <w:trHeight w:val="21"/>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6"/>
                <w:szCs w:val="16"/>
                <w:color w:val="auto"/>
              </w:rPr>
            </w:pPr>
          </w:p>
        </w:tc>
        <w:tc>
          <w:tcPr>
            <w:tcW w:w="988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Certification Pursuant to 18 U.S.C. Section 1350, As Adopted Pursuant to Section 906 of the Sarbanes-Oxley Act of 2002</w:t>
            </w:r>
          </w:p>
        </w:tc>
      </w:tr>
      <w:tr>
        <w:trPr>
          <w:trHeight w:val="21"/>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0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5"/>
                <w:szCs w:val="15"/>
                <w:color w:val="auto"/>
              </w:rPr>
            </w:pPr>
          </w:p>
        </w:tc>
        <w:tc>
          <w:tcPr>
            <w:tcW w:w="9880" w:type="dxa"/>
            <w:vAlign w:val="bottom"/>
            <w:gridSpan w:val="19"/>
          </w:tcPr>
          <w:p>
            <w:pPr>
              <w:spacing w:after="0" w:line="176" w:lineRule="exact"/>
              <w:rPr>
                <w:sz w:val="20"/>
                <w:szCs w:val="20"/>
                <w:color w:val="auto"/>
              </w:rPr>
            </w:pPr>
            <w:r>
              <w:rPr>
                <w:rFonts w:ascii="Arial" w:cs="Arial" w:eastAsia="Arial" w:hAnsi="Arial"/>
                <w:sz w:val="18"/>
                <w:szCs w:val="18"/>
                <w:color w:val="auto"/>
                <w:w w:val="96"/>
              </w:rPr>
              <w:t>Inline XBRL Instance Document - the instance document does not appear in the Interactive Data File because its XBRL tags are</w:t>
            </w:r>
          </w:p>
        </w:tc>
      </w:tr>
      <w:tr>
        <w:trPr>
          <w:trHeight w:val="237"/>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36"/>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shd w:val="clear" w:color="auto" w:fill="CCEEFF"/>
          </w:tcPr>
          <w:p>
            <w:pPr>
              <w:spacing w:after="0"/>
              <w:rPr>
                <w:sz w:val="20"/>
                <w:szCs w:val="20"/>
                <w:color w:val="auto"/>
              </w:rPr>
            </w:pPr>
          </w:p>
        </w:tc>
        <w:tc>
          <w:tcPr>
            <w:tcW w:w="98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shd w:val="clear" w:color="auto" w:fill="CCEEFF"/>
          </w:tcPr>
          <w:p>
            <w:pPr>
              <w:spacing w:after="0"/>
              <w:rPr>
                <w:sz w:val="19"/>
                <w:szCs w:val="19"/>
                <w:color w:val="auto"/>
              </w:rPr>
            </w:pPr>
          </w:p>
        </w:tc>
        <w:tc>
          <w:tcPr>
            <w:tcW w:w="98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29"/>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shd w:val="clear" w:color="auto" w:fill="CCEEFF"/>
          </w:tcPr>
          <w:p>
            <w:pPr>
              <w:spacing w:after="0"/>
              <w:rPr>
                <w:sz w:val="19"/>
                <w:szCs w:val="19"/>
                <w:color w:val="auto"/>
              </w:rPr>
            </w:pPr>
          </w:p>
        </w:tc>
        <w:tc>
          <w:tcPr>
            <w:tcW w:w="98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__________</w:t>
      </w:r>
    </w:p>
    <w:p>
      <w:pPr>
        <w:spacing w:after="0" w:line="14" w:lineRule="exact"/>
        <w:rPr>
          <w:sz w:val="20"/>
          <w:szCs w:val="20"/>
          <w:color w:val="auto"/>
        </w:rPr>
      </w:pPr>
    </w:p>
    <w:p>
      <w:pPr>
        <w:ind w:right="6640" w:firstLine="8"/>
        <w:spacing w:after="0" w:line="255"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Management contract or compensatory plan or arrangement </w:t>
      </w:r>
      <w:r>
        <w:rPr>
          <w:rFonts w:ascii="Arial" w:cs="Arial" w:eastAsia="Arial" w:hAnsi="Arial"/>
          <w:sz w:val="21"/>
          <w:szCs w:val="21"/>
          <w:color w:val="auto"/>
        </w:rPr>
        <w:t xml:space="preserve">* </w:t>
      </w:r>
      <w:r>
        <w:rPr>
          <w:rFonts w:ascii="Arial" w:cs="Arial" w:eastAsia="Arial" w:hAnsi="Arial"/>
          <w:sz w:val="17"/>
          <w:szCs w:val="17"/>
          <w:color w:val="auto"/>
        </w:rPr>
        <w:t>Filed herewith</w:t>
      </w:r>
    </w:p>
    <w:p>
      <w:pPr>
        <w:ind w:left="480" w:hanging="472"/>
        <w:spacing w:after="0" w:line="237" w:lineRule="auto"/>
        <w:tabs>
          <w:tab w:leader="none" w:pos="4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Furnished herewith</w:t>
      </w:r>
    </w:p>
    <w:p>
      <w:pPr>
        <w:spacing w:after="0" w:line="3" w:lineRule="exact"/>
        <w:rPr>
          <w:sz w:val="20"/>
          <w:szCs w:val="20"/>
          <w:color w:val="auto"/>
        </w:rPr>
      </w:pPr>
    </w:p>
    <w:p>
      <w:pPr>
        <w:ind w:left="340" w:hanging="332"/>
        <w:spacing w:after="0" w:line="258"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480" w:type="dxa"/>
            <w:vAlign w:val="bottom"/>
          </w:tcPr>
          <w:p>
            <w:pPr>
              <w:ind w:left="1620"/>
              <w:spacing w:after="0"/>
              <w:rPr>
                <w:sz w:val="20"/>
                <w:szCs w:val="20"/>
                <w:color w:val="auto"/>
              </w:rPr>
            </w:pPr>
            <w:r>
              <w:rPr>
                <w:rFonts w:ascii="Arial" w:cs="Arial" w:eastAsia="Arial" w:hAnsi="Arial"/>
                <w:sz w:val="18"/>
                <w:szCs w:val="18"/>
                <w:b w:val="1"/>
                <w:bCs w:val="1"/>
                <w:color w:val="auto"/>
              </w:rPr>
              <w:t>MOMENTUS INC.</w:t>
            </w:r>
          </w:p>
        </w:tc>
        <w:tc>
          <w:tcPr>
            <w:tcW w:w="4500" w:type="dxa"/>
            <w:vAlign w:val="bottom"/>
          </w:tcPr>
          <w:p>
            <w:pPr>
              <w:spacing w:after="0"/>
              <w:rPr>
                <w:sz w:val="20"/>
                <w:szCs w:val="20"/>
                <w:color w:val="auto"/>
              </w:rPr>
            </w:pPr>
          </w:p>
        </w:tc>
      </w:tr>
      <w:tr>
        <w:trPr>
          <w:trHeight w:val="486"/>
        </w:trPr>
        <w:tc>
          <w:tcPr>
            <w:tcW w:w="3240" w:type="dxa"/>
            <w:vAlign w:val="bottom"/>
          </w:tcPr>
          <w:p>
            <w:pPr>
              <w:spacing w:after="0"/>
              <w:rPr>
                <w:sz w:val="20"/>
                <w:szCs w:val="20"/>
                <w:color w:val="auto"/>
              </w:rPr>
            </w:pPr>
            <w:r>
              <w:rPr>
                <w:rFonts w:ascii="Arial" w:cs="Arial" w:eastAsia="Arial" w:hAnsi="Arial"/>
                <w:sz w:val="18"/>
                <w:szCs w:val="18"/>
                <w:color w:val="auto"/>
              </w:rPr>
              <w:t>Date: August 14, 2023</w:t>
            </w:r>
          </w:p>
        </w:tc>
        <w:tc>
          <w:tcPr>
            <w:tcW w:w="3480" w:type="dxa"/>
            <w:vAlign w:val="bottom"/>
          </w:tcPr>
          <w:p>
            <w:pPr>
              <w:ind w:left="262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Rood</w:t>
            </w:r>
          </w:p>
        </w:tc>
      </w:tr>
      <w:tr>
        <w:trPr>
          <w:trHeight w:val="222"/>
        </w:trPr>
        <w:tc>
          <w:tcPr>
            <w:tcW w:w="3240" w:type="dxa"/>
            <w:vAlign w:val="bottom"/>
          </w:tcPr>
          <w:p>
            <w:pPr>
              <w:spacing w:after="0"/>
              <w:rPr>
                <w:sz w:val="19"/>
                <w:szCs w:val="19"/>
                <w:color w:val="auto"/>
              </w:rPr>
            </w:pPr>
          </w:p>
        </w:tc>
        <w:tc>
          <w:tcPr>
            <w:tcW w:w="3480" w:type="dxa"/>
            <w:vAlign w:val="bottom"/>
          </w:tcPr>
          <w:p>
            <w:pPr>
              <w:ind w:left="2620"/>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John Rood</w:t>
            </w:r>
          </w:p>
        </w:tc>
      </w:tr>
      <w:tr>
        <w:trPr>
          <w:trHeight w:val="176"/>
        </w:trPr>
        <w:tc>
          <w:tcPr>
            <w:tcW w:w="3240" w:type="dxa"/>
            <w:vAlign w:val="bottom"/>
          </w:tcPr>
          <w:p>
            <w:pPr>
              <w:spacing w:after="0"/>
              <w:rPr>
                <w:sz w:val="15"/>
                <w:szCs w:val="15"/>
                <w:color w:val="auto"/>
              </w:rPr>
            </w:pPr>
          </w:p>
        </w:tc>
        <w:tc>
          <w:tcPr>
            <w:tcW w:w="3480" w:type="dxa"/>
            <w:vAlign w:val="bottom"/>
          </w:tcPr>
          <w:p>
            <w:pPr>
              <w:ind w:left="2620"/>
              <w:spacing w:after="0" w:line="176" w:lineRule="exact"/>
              <w:rPr>
                <w:sz w:val="20"/>
                <w:szCs w:val="20"/>
                <w:color w:val="auto"/>
              </w:rPr>
            </w:pPr>
            <w:r>
              <w:rPr>
                <w:rFonts w:ascii="Arial" w:cs="Arial" w:eastAsia="Arial" w:hAnsi="Arial"/>
                <w:sz w:val="18"/>
                <w:szCs w:val="18"/>
                <w:color w:val="auto"/>
              </w:rPr>
              <w:t>Title:</w:t>
            </w:r>
          </w:p>
        </w:tc>
        <w:tc>
          <w:tcPr>
            <w:tcW w:w="4500" w:type="dxa"/>
            <w:vAlign w:val="bottom"/>
          </w:tcPr>
          <w:p>
            <w:pPr>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3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99"/>
        </w:trPr>
        <w:tc>
          <w:tcPr>
            <w:tcW w:w="3240" w:type="dxa"/>
            <w:vAlign w:val="bottom"/>
          </w:tcPr>
          <w:p>
            <w:pPr>
              <w:spacing w:after="0"/>
              <w:rPr>
                <w:sz w:val="20"/>
                <w:szCs w:val="20"/>
                <w:color w:val="auto"/>
              </w:rPr>
            </w:pPr>
            <w:r>
              <w:rPr>
                <w:rFonts w:ascii="Arial" w:cs="Arial" w:eastAsia="Arial" w:hAnsi="Arial"/>
                <w:sz w:val="18"/>
                <w:szCs w:val="18"/>
                <w:color w:val="auto"/>
              </w:rPr>
              <w:t>Date: August 14, 2023</w:t>
            </w:r>
          </w:p>
        </w:tc>
        <w:tc>
          <w:tcPr>
            <w:tcW w:w="3480" w:type="dxa"/>
            <w:vAlign w:val="bottom"/>
          </w:tcPr>
          <w:p>
            <w:pPr>
              <w:ind w:left="262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Williams</w:t>
            </w:r>
          </w:p>
        </w:tc>
      </w:tr>
      <w:tr>
        <w:trPr>
          <w:trHeight w:val="222"/>
        </w:trPr>
        <w:tc>
          <w:tcPr>
            <w:tcW w:w="3240" w:type="dxa"/>
            <w:vAlign w:val="bottom"/>
          </w:tcPr>
          <w:p>
            <w:pPr>
              <w:spacing w:after="0"/>
              <w:rPr>
                <w:sz w:val="19"/>
                <w:szCs w:val="19"/>
                <w:color w:val="auto"/>
              </w:rPr>
            </w:pPr>
          </w:p>
        </w:tc>
        <w:tc>
          <w:tcPr>
            <w:tcW w:w="3480" w:type="dxa"/>
            <w:vAlign w:val="bottom"/>
          </w:tcPr>
          <w:p>
            <w:pPr>
              <w:ind w:left="2620"/>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Eric Williams</w:t>
            </w:r>
          </w:p>
        </w:tc>
      </w:tr>
      <w:tr>
        <w:trPr>
          <w:trHeight w:val="176"/>
        </w:trPr>
        <w:tc>
          <w:tcPr>
            <w:tcW w:w="3240" w:type="dxa"/>
            <w:vAlign w:val="bottom"/>
          </w:tcPr>
          <w:p>
            <w:pPr>
              <w:spacing w:after="0"/>
              <w:rPr>
                <w:sz w:val="15"/>
                <w:szCs w:val="15"/>
                <w:color w:val="auto"/>
              </w:rPr>
            </w:pPr>
          </w:p>
        </w:tc>
        <w:tc>
          <w:tcPr>
            <w:tcW w:w="3480" w:type="dxa"/>
            <w:vAlign w:val="bottom"/>
          </w:tcPr>
          <w:p>
            <w:pPr>
              <w:ind w:left="2620"/>
              <w:spacing w:after="0" w:line="176" w:lineRule="exact"/>
              <w:rPr>
                <w:sz w:val="20"/>
                <w:szCs w:val="20"/>
                <w:color w:val="auto"/>
              </w:rPr>
            </w:pPr>
            <w:r>
              <w:rPr>
                <w:rFonts w:ascii="Arial" w:cs="Arial" w:eastAsia="Arial" w:hAnsi="Arial"/>
                <w:sz w:val="18"/>
                <w:szCs w:val="18"/>
                <w:color w:val="auto"/>
              </w:rPr>
              <w:t>Title:</w:t>
            </w:r>
          </w:p>
        </w:tc>
        <w:tc>
          <w:tcPr>
            <w:tcW w:w="4500" w:type="dxa"/>
            <w:vAlign w:val="bottom"/>
          </w:tcPr>
          <w:p>
            <w:pPr>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9"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color w:val="auto"/>
        </w:rPr>
        <w:t>In connection with the Quarterly Report on Form 10-Q of Momentus Inc., a Delaware corporation (the “Company”), on Form 10-Q for the fiscal quarter ended June 30, 2023, as filed with the Securities and Exchange Commission on the date hereof (the “Form 10-Q”), I, John Rood, Chief Executive Officer of the Company, certify, pursuant to 18 U.S.C. section 1350, as adopted pursuant section 906 of the Sarbanes-Oxley Act of 2002, that to the best of our knowledge:</w:t>
      </w:r>
    </w:p>
    <w:p>
      <w:pPr>
        <w:spacing w:after="0" w:line="10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Form 10-Q fully complies with the requirements of section 13(a) or section 15(d) of the Securities Exchange Act of 1934, as amended; and</w:t>
      </w:r>
    </w:p>
    <w:p>
      <w:pPr>
        <w:spacing w:after="0" w:line="207" w:lineRule="exact"/>
        <w:rPr>
          <w:rFonts w:ascii="Arial" w:cs="Arial" w:eastAsia="Arial" w:hAnsi="Arial"/>
          <w:sz w:val="16"/>
          <w:szCs w:val="16"/>
          <w:color w:val="auto"/>
        </w:rPr>
      </w:pPr>
    </w:p>
    <w:p>
      <w:pPr>
        <w:ind w:left="660" w:right="740" w:hanging="328"/>
        <w:spacing w:after="0" w:line="308"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38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By:</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/s/John Rood</w:t>
            </w:r>
          </w:p>
        </w:tc>
        <w:tc>
          <w:tcPr>
            <w:tcW w:w="720" w:type="dxa"/>
            <w:vAlign w:val="bottom"/>
          </w:tcPr>
          <w:p>
            <w:pPr>
              <w:spacing w:after="0"/>
              <w:rPr>
                <w:sz w:val="17"/>
                <w:szCs w:val="17"/>
                <w:color w:val="auto"/>
              </w:rPr>
            </w:pPr>
          </w:p>
        </w:tc>
      </w:tr>
      <w:tr>
        <w:trPr>
          <w:trHeight w:val="249"/>
        </w:trPr>
        <w:tc>
          <w:tcPr>
            <w:tcW w:w="8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Name:</w:t>
            </w:r>
          </w:p>
        </w:tc>
        <w:tc>
          <w:tcPr>
            <w:tcW w:w="1720" w:type="dxa"/>
            <w:vAlign w:val="bottom"/>
            <w:gridSpan w:val="2"/>
          </w:tcPr>
          <w:p>
            <w:pPr>
              <w:spacing w:after="0"/>
              <w:rPr>
                <w:sz w:val="20"/>
                <w:szCs w:val="20"/>
                <w:color w:val="auto"/>
              </w:rPr>
            </w:pPr>
            <w:r>
              <w:rPr>
                <w:rFonts w:ascii="Arial" w:cs="Arial" w:eastAsia="Arial" w:hAnsi="Arial"/>
                <w:sz w:val="18"/>
                <w:szCs w:val="18"/>
                <w:color w:val="auto"/>
              </w:rPr>
              <w:t>John Rood</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380"/>
              <w:spacing w:after="0"/>
              <w:rPr>
                <w:sz w:val="20"/>
                <w:szCs w:val="20"/>
                <w:color w:val="auto"/>
              </w:rPr>
            </w:pPr>
            <w:r>
              <w:rPr>
                <w:rFonts w:ascii="Arial" w:cs="Arial" w:eastAsia="Arial" w:hAnsi="Arial"/>
                <w:sz w:val="18"/>
                <w:szCs w:val="18"/>
                <w:color w:val="auto"/>
              </w:rPr>
              <w:t>August 14, 2023</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Title:</w:t>
            </w:r>
          </w:p>
        </w:tc>
        <w:tc>
          <w:tcPr>
            <w:tcW w:w="1720" w:type="dxa"/>
            <w:vAlign w:val="bottom"/>
            <w:gridSpan w:val="2"/>
          </w:tcPr>
          <w:p>
            <w:pPr>
              <w:spacing w:after="0"/>
              <w:rPr>
                <w:sz w:val="20"/>
                <w:szCs w:val="20"/>
                <w:color w:val="auto"/>
              </w:rPr>
            </w:pPr>
            <w:r>
              <w:rPr>
                <w:rFonts w:ascii="Arial" w:cs="Arial" w:eastAsia="Arial" w:hAnsi="Arial"/>
                <w:sz w:val="18"/>
                <w:szCs w:val="18"/>
                <w:color w:val="auto"/>
                <w:w w:val="92"/>
              </w:rPr>
              <w:t>Chief Executive Officer</w:t>
            </w:r>
          </w:p>
        </w:tc>
      </w:tr>
    </w:tbl>
    <w:p>
      <w:pPr>
        <w:spacing w:after="0" w:line="200" w:lineRule="exact"/>
        <w:rPr>
          <w:sz w:val="20"/>
          <w:szCs w:val="20"/>
          <w:color w:val="auto"/>
        </w:rPr>
      </w:pPr>
    </w:p>
    <w:p>
      <w:pPr>
        <w:spacing w:after="0" w:line="299"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8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9"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In connection with the Quarterly Report on Form 10-Q of Momentus Inc., a Delaware corporation (the “Company”), on Form 10-Q for the fiscal quarter ended June 30, 2023, as filed with the Securities and Exchange Commission on the date hereof (the “Form 10-Q”), I, Eric Williams, Chief Financial Officer of the Company, certify, pursuant to 18 U.S.C. section 1350, as adopted pursuant section 906 of the Sarbanes-Oxley Act of 2002, that to the best of our knowledge:</w:t>
      </w:r>
    </w:p>
    <w:p>
      <w:pPr>
        <w:spacing w:after="0" w:line="10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Form 10-Q fully complies with the requirements of section 13(a) or section 15(d) of the Securities Exchange Act of 1934, as amended; and</w:t>
      </w:r>
    </w:p>
    <w:p>
      <w:pPr>
        <w:spacing w:after="0" w:line="207" w:lineRule="exact"/>
        <w:rPr>
          <w:rFonts w:ascii="Arial" w:cs="Arial" w:eastAsia="Arial" w:hAnsi="Arial"/>
          <w:sz w:val="16"/>
          <w:szCs w:val="16"/>
          <w:color w:val="auto"/>
        </w:rPr>
      </w:pPr>
    </w:p>
    <w:p>
      <w:pPr>
        <w:ind w:left="660" w:right="740" w:hanging="328"/>
        <w:spacing w:after="0" w:line="308"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42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By:</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/s/Eric Williams</w:t>
            </w:r>
          </w:p>
        </w:tc>
      </w:tr>
      <w:tr>
        <w:trPr>
          <w:trHeight w:val="249"/>
        </w:trPr>
        <w:tc>
          <w:tcPr>
            <w:tcW w:w="8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Name:</w:t>
            </w: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Eric Williams</w:t>
            </w:r>
          </w:p>
        </w:tc>
        <w:tc>
          <w:tcPr>
            <w:tcW w:w="440" w:type="dxa"/>
            <w:vAlign w:val="bottom"/>
          </w:tcPr>
          <w:p>
            <w:pPr>
              <w:spacing w:after="0"/>
              <w:rPr>
                <w:sz w:val="21"/>
                <w:szCs w:val="21"/>
                <w:color w:val="auto"/>
              </w:rPr>
            </w:pP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380"/>
              <w:spacing w:after="0"/>
              <w:rPr>
                <w:sz w:val="20"/>
                <w:szCs w:val="20"/>
                <w:color w:val="auto"/>
              </w:rPr>
            </w:pPr>
            <w:r>
              <w:rPr>
                <w:rFonts w:ascii="Arial" w:cs="Arial" w:eastAsia="Arial" w:hAnsi="Arial"/>
                <w:sz w:val="18"/>
                <w:szCs w:val="18"/>
                <w:color w:val="auto"/>
              </w:rPr>
              <w:t>August 14, 2023</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Title:</w:t>
            </w: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Chief Financial Officer</w:t>
            </w:r>
          </w:p>
        </w:tc>
      </w:tr>
    </w:tbl>
    <w:p>
      <w:pPr>
        <w:spacing w:after="0" w:line="200" w:lineRule="exact"/>
        <w:rPr>
          <w:sz w:val="20"/>
          <w:szCs w:val="20"/>
          <w:color w:val="auto"/>
        </w:rPr>
      </w:pPr>
    </w:p>
    <w:p>
      <w:pPr>
        <w:spacing w:after="0" w:line="299"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lowerRoman"/>
      <w:start w:val="2"/>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2" Type="http://schemas.openxmlformats.org/officeDocument/2006/relationships/image" Target="media/image56.png"/><Relationship Id="rId63" Type="http://schemas.openxmlformats.org/officeDocument/2006/relationships/hyperlink" Target="https://www.sec.gov/Archives/edgar/data/1781162/000121390020030403/ea127854ex2-1_stableroad.htm" TargetMode="External"/><Relationship Id="rId64" Type="http://schemas.openxmlformats.org/officeDocument/2006/relationships/hyperlink" Target="https://www.sec.gov/Archives/edgar/data/1781162/000121390021013894/fs42021a2_stableroadacq.htm#T110" TargetMode="External"/><Relationship Id="rId65" Type="http://schemas.openxmlformats.org/officeDocument/2006/relationships/hyperlink" Target="https://www.sec.gov/Archives/edgar/data/1781162/000121390021020806/ea139255ex2-1_stableroad.htm" TargetMode="External"/><Relationship Id="rId66" Type="http://schemas.openxmlformats.org/officeDocument/2006/relationships/hyperlink" Target="https://www.sec.gov/Archives/edgar/data/1781162/000121390021034706/ea143483ex2-1_stableroad.htm" TargetMode="External"/><Relationship Id="rId67" Type="http://schemas.openxmlformats.org/officeDocument/2006/relationships/hyperlink" Target="https://www.sec.gov/ix?doc=/Archives/edgar/data/1781162/000114036123035996/brhc20056305_8k.htm" TargetMode="External"/><Relationship Id="rId68" Type="http://schemas.openxmlformats.org/officeDocument/2006/relationships/hyperlink" Target="https://www.sec.gov/Archives/edgar/data/1781162/000114036123025797/brhc20053108_s8.htm" TargetMode="External"/><Relationship Id="rId69" Type="http://schemas.openxmlformats.org/officeDocument/2006/relationships/hyperlink" Target="https://www.sec.gov/Archives/edgar/data/1781162/000178116223000042/a102formofchangeincontroll.htm" TargetMode="External"/><Relationship Id="rId70" Type="http://schemas.openxmlformats.org/officeDocument/2006/relationships/hyperlink" Target="https://www.sec.gov/Archives/edgar/data/1781162/000178116223000042/a20230630-ex311xceo.htm" TargetMode="External"/><Relationship Id="rId71" Type="http://schemas.openxmlformats.org/officeDocument/2006/relationships/hyperlink" Target="https://www.sec.gov/Archives/edgar/data/1781162/000178116223000042/a20230630-ex312xcf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2023-08-15T11:55:49Z</dcterms:created>
  <dcterms:modified xsi:type="dcterms:W3CDTF">2023-08-15T11:55:49Z</dcterms:modified>
</cp:coreProperties>
</file>