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64" w:lineRule="exact"/>
        <w:rPr>
          <w:sz w:val="24"/>
          <w:szCs w:val="24"/>
          <w:color w:val="auto"/>
        </w:rPr>
      </w:pPr>
    </w:p>
    <w:p>
      <w:pPr>
        <w:ind w:left="620" w:hanging="600"/>
        <w:spacing w:after="0"/>
        <w:tabs>
          <w:tab w:leader="none" w:pos="6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2025</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75" w:lineRule="exact"/>
        <w:rPr>
          <w:sz w:val="24"/>
          <w:szCs w:val="24"/>
          <w:color w:val="auto"/>
        </w:rPr>
      </w:pPr>
    </w:p>
    <w:p>
      <w:pPr>
        <w:ind w:left="4380" w:right="1900" w:hanging="4360"/>
        <w:spacing w:after="0" w:line="395" w:lineRule="auto"/>
        <w:tabs>
          <w:tab w:leader="none" w:pos="615"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001-39128</w:t>
      </w:r>
    </w:p>
    <w:p>
      <w:pPr>
        <w:spacing w:after="0" w:line="2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4"/>
          <w:szCs w:val="34"/>
          <w:b w:val="1"/>
          <w:bCs w:val="1"/>
          <w:color w:val="auto"/>
        </w:rPr>
        <w:t>Momentus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25" w:lineRule="exact"/>
        <w:rPr>
          <w:sz w:val="24"/>
          <w:szCs w:val="24"/>
          <w:color w:val="auto"/>
        </w:rPr>
      </w:pPr>
    </w:p>
    <w:p>
      <w:pPr>
        <w:ind w:left="2460"/>
        <w:spacing w:after="0"/>
        <w:tabs>
          <w:tab w:leader="none" w:pos="800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84-1905538</w:t>
      </w:r>
    </w:p>
    <w:p>
      <w:pPr>
        <w:spacing w:after="0" w:line="53" w:lineRule="exact"/>
        <w:rPr>
          <w:sz w:val="24"/>
          <w:szCs w:val="24"/>
          <w:color w:val="auto"/>
        </w:rPr>
      </w:pPr>
    </w:p>
    <w:p>
      <w:pPr>
        <w:ind w:left="760"/>
        <w:spacing w:after="0"/>
        <w:tabs>
          <w:tab w:leader="none" w:pos="7160" w:val="left"/>
        </w:tabs>
        <w:rPr>
          <w:sz w:val="20"/>
          <w:szCs w:val="20"/>
          <w:color w:val="auto"/>
        </w:rPr>
      </w:pPr>
      <w:r>
        <w:rPr>
          <w:rFonts w:ascii="Times New Roman" w:cs="Times New Roman" w:eastAsia="Times New Roman" w:hAnsi="Times New Roman"/>
          <w:sz w:val="17"/>
          <w:szCs w:val="17"/>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color w:val="auto"/>
        </w:rPr>
        <w:t>(I.R.S. Employer Identification No.)</w:t>
      </w:r>
    </w:p>
    <w:p>
      <w:pPr>
        <w:sectPr>
          <w:pgSz w:w="11900" w:h="16838" w:orient="portrait"/>
          <w:cols w:equalWidth="0" w:num="1">
            <w:col w:w="11260"/>
          </w:cols>
          <w:pgMar w:left="320" w:top="226" w:right="319" w:bottom="1440" w:gutter="0" w:footer="0" w:header="0"/>
        </w:sectPr>
      </w:pPr>
    </w:p>
    <w:p>
      <w:pPr>
        <w:spacing w:after="0" w:line="97"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3901 N. First Street</w:t>
      </w:r>
    </w:p>
    <w:p>
      <w:pPr>
        <w:spacing w:after="0" w:line="20"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San Jose, California</w:t>
      </w:r>
    </w:p>
    <w:p>
      <w:pPr>
        <w:spacing w:after="0" w:line="44"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303"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7"/>
          <w:szCs w:val="17"/>
          <w:b w:val="1"/>
          <w:bCs w:val="1"/>
          <w:color w:val="auto"/>
        </w:rPr>
        <w:t>(650) 564-7820</w:t>
      </w:r>
    </w:p>
    <w:p>
      <w:pPr>
        <w:spacing w:after="0" w:line="32" w:lineRule="exact"/>
        <w:rPr>
          <w:sz w:val="24"/>
          <w:szCs w:val="24"/>
          <w:color w:val="auto"/>
        </w:rPr>
      </w:pPr>
    </w:p>
    <w:p>
      <w:pPr>
        <w:jc w:val="center"/>
        <w:ind w:left="38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b w:val="1"/>
          <w:bCs w:val="1"/>
          <w:color w:val="auto"/>
        </w:rPr>
        <w:t>95134</w:t>
      </w:r>
    </w:p>
    <w:p>
      <w:pPr>
        <w:spacing w:after="0" w:line="15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color w:val="auto"/>
        </w:rPr>
        <w:t>(Zip Code)</w:t>
      </w:r>
    </w:p>
    <w:p>
      <w:pPr>
        <w:spacing w:after="0" w:line="1334" w:lineRule="exact"/>
        <w:rPr>
          <w:sz w:val="24"/>
          <w:szCs w:val="24"/>
          <w:color w:val="auto"/>
        </w:rPr>
      </w:pPr>
    </w:p>
    <w:p>
      <w:pPr>
        <w:sectPr>
          <w:pgSz w:w="11900" w:h="16838" w:orient="portrait"/>
          <w:cols w:equalWidth="0" w:num="2">
            <w:col w:w="7380" w:space="680"/>
            <w:col w:w="3200"/>
          </w:cols>
          <w:pgMar w:left="320" w:top="226" w:right="319" w:bottom="1440" w:gutter="0" w:footer="0" w:header="0"/>
          <w:type w:val="continuous"/>
        </w:sectPr>
      </w:pP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Warrants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bl>
    <w:p>
      <w:pPr>
        <w:spacing w:after="0" w:line="177"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62"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62"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100" w:type="dxa"/>
            <w:vAlign w:val="bottom"/>
          </w:tcPr>
          <w:p>
            <w:pPr>
              <w:ind w:left="860"/>
              <w:spacing w:after="0"/>
              <w:rPr>
                <w:sz w:val="20"/>
                <w:szCs w:val="20"/>
                <w:color w:val="auto"/>
              </w:rPr>
            </w:pPr>
            <w:r>
              <w:rPr>
                <w:rFonts w:ascii="Wingdings" w:cs="Wingdings" w:eastAsia="Wingdings" w:hAnsi="Wingdings"/>
                <w:sz w:val="17"/>
                <w:szCs w:val="17"/>
                <w:b w:val="1"/>
                <w:bCs w:val="1"/>
                <w:color w:val="auto"/>
              </w:rPr>
              <w:t>o</w:t>
            </w: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Accelerated filer</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r>
        <w:trPr>
          <w:trHeight w:val="245"/>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100" w:type="dxa"/>
            <w:vAlign w:val="bottom"/>
          </w:tcPr>
          <w:p>
            <w:pPr>
              <w:ind w:left="860"/>
              <w:spacing w:after="0"/>
              <w:rPr>
                <w:sz w:val="20"/>
                <w:szCs w:val="20"/>
                <w:color w:val="auto"/>
              </w:rPr>
            </w:pPr>
            <w:r>
              <w:rPr>
                <w:rFonts w:ascii="Wingdings" w:cs="Wingdings" w:eastAsia="Wingdings" w:hAnsi="Wingdings"/>
                <w:sz w:val="17"/>
                <w:szCs w:val="17"/>
                <w:b w:val="1"/>
                <w:bCs w:val="1"/>
                <w:color w:val="auto"/>
              </w:rPr>
              <w:t>x</w:t>
            </w: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x</w:t>
            </w:r>
          </w:p>
        </w:tc>
      </w:tr>
      <w:tr>
        <w:trPr>
          <w:trHeight w:val="245"/>
        </w:trPr>
        <w:tc>
          <w:tcPr>
            <w:tcW w:w="24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r>
        <w:trPr>
          <w:trHeight w:val="709"/>
        </w:trPr>
        <w:tc>
          <w:tcPr>
            <w:tcW w:w="2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jc w:val="right"/>
              <w:ind w:right="2474"/>
              <w:spacing w:after="0"/>
              <w:rPr>
                <w:sz w:val="20"/>
                <w:szCs w:val="20"/>
                <w:color w:val="auto"/>
              </w:rPr>
            </w:pPr>
            <w:r>
              <w:rPr>
                <w:rFonts w:ascii="Times New Roman" w:cs="Times New Roman" w:eastAsia="Times New Roman" w:hAnsi="Times New Roman"/>
                <w:sz w:val="17"/>
                <w:szCs w:val="17"/>
                <w:color w:val="auto"/>
              </w:rPr>
              <w:t>1</w:t>
            </w:r>
          </w:p>
        </w:tc>
        <w:tc>
          <w:tcPr>
            <w:tcW w:w="3020" w:type="dxa"/>
            <w:vAlign w:val="bottom"/>
          </w:tcPr>
          <w:p>
            <w:pPr>
              <w:spacing w:after="0"/>
              <w:rPr>
                <w:sz w:val="24"/>
                <w:szCs w:val="24"/>
                <w:color w:val="auto"/>
              </w:rPr>
            </w:pPr>
          </w:p>
        </w:tc>
      </w:tr>
      <w:tr>
        <w:trPr>
          <w:trHeight w:val="108"/>
        </w:trPr>
        <w:tc>
          <w:tcPr>
            <w:tcW w:w="24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5,536,616 shares of Class A common stock as of May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1040" w:type="dxa"/>
            <w:vAlign w:val="bottom"/>
          </w:tcPr>
          <w:p>
            <w:pPr>
              <w:spacing w:after="0"/>
              <w:rPr>
                <w:sz w:val="17"/>
                <w:szCs w:val="17"/>
                <w:color w:val="auto"/>
              </w:rPr>
            </w:pPr>
          </w:p>
        </w:tc>
      </w:tr>
      <w:tr>
        <w:trPr>
          <w:trHeight w:val="638"/>
        </w:trPr>
        <w:tc>
          <w:tcPr>
            <w:tcW w:w="60" w:type="dxa"/>
            <w:vAlign w:val="bottom"/>
            <w:tcBorders>
              <w:top w:val="single" w:sz="8" w:color="3051F2"/>
            </w:tcBorders>
          </w:tcPr>
          <w:p>
            <w:pPr>
              <w:spacing w:after="0"/>
              <w:rPr>
                <w:sz w:val="24"/>
                <w:szCs w:val="24"/>
                <w:color w:val="auto"/>
              </w:rPr>
            </w:pPr>
          </w:p>
        </w:tc>
        <w:tc>
          <w:tcPr>
            <w:tcW w:w="1220" w:type="dxa"/>
            <w:vAlign w:val="bottom"/>
            <w:tcBorders>
              <w:top w:val="single" w:sz="8" w:color="3051F2"/>
            </w:tcBorders>
          </w:tcPr>
          <w:p>
            <w:pPr>
              <w:spacing w:after="0"/>
              <w:rPr>
                <w:sz w:val="24"/>
                <w:szCs w:val="24"/>
                <w:color w:val="auto"/>
              </w:rPr>
            </w:pPr>
          </w:p>
        </w:tc>
        <w:tc>
          <w:tcPr>
            <w:tcW w:w="8860" w:type="dxa"/>
            <w:vAlign w:val="bottom"/>
          </w:tcPr>
          <w:p>
            <w:pPr>
              <w:ind w:left="3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40" w:type="dxa"/>
            <w:vAlign w:val="bottom"/>
          </w:tcPr>
          <w:p>
            <w:pPr>
              <w:spacing w:after="0"/>
              <w:rPr>
                <w:sz w:val="24"/>
                <w:szCs w:val="24"/>
                <w:color w:val="auto"/>
              </w:rPr>
            </w:pPr>
          </w:p>
        </w:tc>
      </w:tr>
      <w:tr>
        <w:trPr>
          <w:trHeight w:val="245"/>
        </w:trPr>
        <w:tc>
          <w:tcPr>
            <w:tcW w:w="60" w:type="dxa"/>
            <w:vAlign w:val="bottom"/>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886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Page</w:t>
            </w:r>
          </w:p>
        </w:tc>
      </w:tr>
      <w:tr>
        <w:trPr>
          <w:trHeight w:val="212"/>
        </w:trPr>
        <w:tc>
          <w:tcPr>
            <w:tcW w:w="60" w:type="dxa"/>
            <w:vAlign w:val="bottom"/>
          </w:tcPr>
          <w:p>
            <w:pPr>
              <w:spacing w:after="0"/>
              <w:rPr>
                <w:sz w:val="18"/>
                <w:szCs w:val="18"/>
                <w:color w:val="auto"/>
              </w:rPr>
            </w:pPr>
          </w:p>
        </w:tc>
        <w:tc>
          <w:tcPr>
            <w:tcW w:w="10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 - Financial Information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1. Condensed Consolidated Interim Financial Statements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Condensed Consolidated Balance Sheets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Condensed Consolidated Statements of Operations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Condensed Consolidated Statements of Stockholders’ Deficit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Condensed Consolidated Statements of Cash Flows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Notes to the Condensed Consolidated Interim Financial Statements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49</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4. Controls and Procedures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50</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II - Other Information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1. Legal Proceedings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1A. Risk Factors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3. Defaults Upon Senior Securities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4. Mine Safety Disclosures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5. Other Information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6. Exhibits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54</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operations and business plan; the results of the Company’s evaluation of the strategic alternatives and the risks associated with any transactions pursued as a results thereof; the ability of the Company to obtain licenses and government approvals for its missions, which are essential to its operations; successful completion of our efforts to prepare our spacecraft for flight, that the vehicles that we plan to operate in future missions will be ready on time, or that they will operate as intended; the ability of the Company to effectively market and sell satellite buses;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possibility that the Company may be adversely affected by other economic, business, and/or competitive factors; and/or other risks and uncertainties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described under Part II,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Form 10-Q and under Part I, Item 1A in our Annual Report on Form 10-K filed with the U.S. Securities and Exchange Commission (“SEC”) on April 1, 2025, as amended on April 9, 2025.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April 1, 2025, as amended on April 9, 2025, may not be exhaustive.</w:t>
      </w:r>
    </w:p>
    <w:p>
      <w:pPr>
        <w:spacing w:after="0" w:line="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17"/>
        </w:trPr>
        <w:tc>
          <w:tcPr>
            <w:tcW w:w="7800" w:type="dxa"/>
            <w:vAlign w:val="bottom"/>
          </w:tcPr>
          <w:p>
            <w:pPr>
              <w:jc w:val="center"/>
              <w:ind w:left="335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6"/>
        </w:trPr>
        <w:tc>
          <w:tcPr>
            <w:tcW w:w="7800" w:type="dxa"/>
            <w:vAlign w:val="bottom"/>
          </w:tcPr>
          <w:p>
            <w:pPr>
              <w:jc w:val="center"/>
              <w:ind w:left="337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7800" w:type="dxa"/>
            <w:vAlign w:val="bottom"/>
          </w:tcPr>
          <w:p>
            <w:pPr>
              <w:jc w:val="center"/>
              <w:ind w:left="33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7"/>
        </w:trPr>
        <w:tc>
          <w:tcPr>
            <w:tcW w:w="7800" w:type="dxa"/>
            <w:vAlign w:val="bottom"/>
          </w:tcPr>
          <w:p>
            <w:pPr>
              <w:jc w:val="center"/>
              <w:ind w:left="3374"/>
              <w:spacing w:after="0"/>
              <w:rPr>
                <w:sz w:val="20"/>
                <w:szCs w:val="20"/>
                <w:color w:val="auto"/>
              </w:rPr>
            </w:pPr>
            <w:r>
              <w:rPr>
                <w:rFonts w:ascii="Times New Roman" w:cs="Times New Roman" w:eastAsia="Times New Roman" w:hAnsi="Times New Roman"/>
                <w:sz w:val="17"/>
                <w:szCs w:val="17"/>
                <w:i w:val="1"/>
                <w:iCs w:val="1"/>
                <w:color w:val="auto"/>
              </w:rPr>
              <w:t>(in thousands except number of shares and par value)</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5"/>
        </w:trPr>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7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7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194"/>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Insurance receivable</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r>
      <w:tr>
        <w:trPr>
          <w:trHeight w:val="219"/>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4,526</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right-of-use asset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11,727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9,952</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20"/>
        </w:trPr>
        <w:tc>
          <w:tcPr>
            <w:tcW w:w="7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6,312</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5,596</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liabilities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payable, current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4,957</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Contract liabilities, current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liability, current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Litigation settlement contingency</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19"/>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15,010</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liabilities, non-current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8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12"/>
        </w:trPr>
        <w:tc>
          <w:tcPr>
            <w:tcW w:w="7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2,752</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17,762</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deficit: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68"/>
        </w:trPr>
        <w:tc>
          <w:tcPr>
            <w:tcW w:w="78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Preferred stock, $0.00001 par value; 20,000,000 shares authorized and 0 issued and outstanding as of March 31,</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 and December 31, 2024, respectively</w:t>
            </w:r>
          </w:p>
        </w:tc>
        <w:tc>
          <w:tcPr>
            <w:tcW w:w="28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Class A common stock, $0.00001 par value; 250,000,000 shares authorized and 4,780,010 issued and</w:t>
            </w: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8"/>
        </w:trPr>
        <w:tc>
          <w:tcPr>
            <w:tcW w:w="78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outstanding as of March 31, 2025; 250,000,000 shares authorized and 2,780,597 issued and outstanding as of</w:t>
            </w: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Class B common stock, $0.00001 par value; 0 shares authorized and 0 issued and outstanding as of March 31,</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 and December 31, 2024, respectively</w:t>
            </w:r>
          </w:p>
        </w:tc>
        <w:tc>
          <w:tcPr>
            <w:tcW w:w="28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408,193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400,183</w:t>
            </w:r>
          </w:p>
        </w:tc>
      </w:tr>
      <w:tr>
        <w:trPr>
          <w:trHeight w:val="219"/>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(414,165)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(407,993)</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liabilities and stockholders’ equity deficit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11,727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9,952</w:t>
            </w: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3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823"/>
        </w:trPr>
        <w:tc>
          <w:tcPr>
            <w:tcW w:w="20" w:type="dxa"/>
            <w:vAlign w:val="bottom"/>
            <w:tcBorders>
              <w:top w:val="single" w:sz="8" w:color="3051F2"/>
            </w:tcBorders>
          </w:tcPr>
          <w:p>
            <w:pPr>
              <w:spacing w:after="0"/>
              <w:rPr>
                <w:sz w:val="24"/>
                <w:szCs w:val="24"/>
                <w:color w:val="auto"/>
              </w:rPr>
            </w:pPr>
          </w:p>
        </w:tc>
        <w:tc>
          <w:tcPr>
            <w:tcW w:w="1260" w:type="dxa"/>
            <w:vAlign w:val="bottom"/>
            <w:tcBorders>
              <w:top w:val="single" w:sz="8" w:color="3051F2"/>
            </w:tcBorders>
          </w:tcPr>
          <w:p>
            <w:pPr>
              <w:spacing w:after="0"/>
              <w:rPr>
                <w:sz w:val="24"/>
                <w:szCs w:val="24"/>
                <w:color w:val="auto"/>
              </w:rPr>
            </w:pPr>
          </w:p>
        </w:tc>
        <w:tc>
          <w:tcPr>
            <w:tcW w:w="2640" w:type="dxa"/>
            <w:vAlign w:val="bottom"/>
          </w:tcPr>
          <w:p>
            <w:pPr>
              <w:spacing w:after="0"/>
              <w:rPr>
                <w:sz w:val="24"/>
                <w:szCs w:val="24"/>
                <w:color w:val="auto"/>
              </w:rPr>
            </w:pPr>
          </w:p>
        </w:tc>
        <w:tc>
          <w:tcPr>
            <w:tcW w:w="4400" w:type="dxa"/>
            <w:vAlign w:val="bottom"/>
            <w:gridSpan w:val="2"/>
          </w:tcPr>
          <w:p>
            <w:pPr>
              <w:jc w:val="center"/>
              <w:ind w:right="91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40" w:type="dxa"/>
            <w:vAlign w:val="bottom"/>
            <w:gridSpan w:val="3"/>
          </w:tcPr>
          <w:p>
            <w:pPr>
              <w:jc w:val="center"/>
              <w:ind w:left="1574"/>
              <w:spacing w:after="0" w:line="194" w:lineRule="exact"/>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400" w:type="dxa"/>
            <w:vAlign w:val="bottom"/>
            <w:gridSpan w:val="2"/>
          </w:tcPr>
          <w:p>
            <w:pPr>
              <w:jc w:val="center"/>
              <w:ind w:right="9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400" w:type="dxa"/>
            <w:vAlign w:val="bottom"/>
            <w:gridSpan w:val="2"/>
          </w:tcPr>
          <w:p>
            <w:pPr>
              <w:jc w:val="center"/>
              <w:ind w:right="914"/>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20" w:type="dxa"/>
            <w:vAlign w:val="bottom"/>
            <w:gridSpan w:val="4"/>
          </w:tcPr>
          <w:p>
            <w:pPr>
              <w:jc w:val="right"/>
              <w:ind w:right="854"/>
              <w:spacing w:after="0" w:line="181" w:lineRule="exact"/>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20" w:type="dxa"/>
            <w:vAlign w:val="bottom"/>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12"/>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Gross profit</w:t>
            </w:r>
          </w:p>
        </w:tc>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2,676</w:t>
            </w: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6,164</w:t>
            </w:r>
          </w:p>
        </w:tc>
      </w:tr>
      <w:tr>
        <w:trPr>
          <w:trHeight w:val="212"/>
        </w:trPr>
        <w:tc>
          <w:tcPr>
            <w:tcW w:w="20" w:type="dxa"/>
            <w:vAlign w:val="bottom"/>
          </w:tcPr>
          <w:p>
            <w:pPr>
              <w:spacing w:after="0"/>
              <w:rPr>
                <w:sz w:val="18"/>
                <w:szCs w:val="18"/>
                <w:color w:val="auto"/>
              </w:rPr>
            </w:pPr>
          </w:p>
        </w:tc>
        <w:tc>
          <w:tcPr>
            <w:tcW w:w="390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8,840</w:t>
            </w:r>
          </w:p>
        </w:tc>
      </w:tr>
      <w:tr>
        <w:trPr>
          <w:trHeight w:val="212"/>
        </w:trPr>
        <w:tc>
          <w:tcPr>
            <w:tcW w:w="20" w:type="dxa"/>
            <w:vAlign w:val="bottom"/>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(8,327)</w:t>
            </w:r>
          </w:p>
        </w:tc>
      </w:tr>
      <w:tr>
        <w:trPr>
          <w:trHeight w:val="219"/>
        </w:trPr>
        <w:tc>
          <w:tcPr>
            <w:tcW w:w="20" w:type="dxa"/>
            <w:vAlign w:val="bottom"/>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3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2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20" w:type="dxa"/>
            <w:vAlign w:val="bottom"/>
          </w:tcPr>
          <w:p>
            <w:pPr>
              <w:spacing w:after="0"/>
              <w:rPr>
                <w:sz w:val="19"/>
                <w:szCs w:val="19"/>
                <w:color w:val="auto"/>
              </w:rPr>
            </w:pPr>
          </w:p>
        </w:tc>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Gain on debt extinguishment</w:t>
            </w:r>
          </w:p>
        </w:tc>
        <w:tc>
          <w:tcPr>
            <w:tcW w:w="3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39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Other income (expense)</w:t>
            </w:r>
          </w:p>
        </w:tc>
        <w:tc>
          <w:tcPr>
            <w:tcW w:w="38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2"/>
        </w:trPr>
        <w:tc>
          <w:tcPr>
            <w:tcW w:w="20" w:type="dxa"/>
            <w:vAlign w:val="bottom"/>
          </w:tcPr>
          <w:p>
            <w:pPr>
              <w:spacing w:after="0"/>
              <w:rPr>
                <w:sz w:val="18"/>
                <w:szCs w:val="18"/>
                <w:color w:val="auto"/>
              </w:rPr>
            </w:pPr>
          </w:p>
        </w:tc>
        <w:tc>
          <w:tcPr>
            <w:tcW w:w="3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other income, net</w:t>
            </w:r>
          </w:p>
        </w:tc>
        <w:tc>
          <w:tcPr>
            <w:tcW w:w="3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2"/>
        </w:trPr>
        <w:tc>
          <w:tcPr>
            <w:tcW w:w="2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60" w:type="dxa"/>
            <w:vAlign w:val="bottom"/>
          </w:tcPr>
          <w:p>
            <w:pPr>
              <w:spacing w:after="0"/>
              <w:rPr>
                <w:sz w:val="18"/>
                <w:szCs w:val="18"/>
                <w:color w:val="auto"/>
              </w:rPr>
            </w:pPr>
          </w:p>
        </w:tc>
        <w:tc>
          <w:tcPr>
            <w:tcW w:w="5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(8,313)</w:t>
            </w: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8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r>
      <w:tr>
        <w:trPr>
          <w:trHeight w:val="223"/>
        </w:trPr>
        <w:tc>
          <w:tcPr>
            <w:tcW w:w="20" w:type="dxa"/>
            <w:vAlign w:val="bottom"/>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basic and diluted</w:t>
            </w:r>
          </w:p>
        </w:tc>
        <w:tc>
          <w:tcPr>
            <w:tcW w:w="3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3,761,542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899,068</w:t>
            </w: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1"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DEFICIT</w:t>
      </w: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i w:val="1"/>
          <w:iCs w:val="1"/>
          <w:color w:val="auto"/>
        </w:rPr>
        <w:t>(in thousands, except share data)</w:t>
      </w:r>
    </w:p>
    <w:p>
      <w:pPr>
        <w:sectPr>
          <w:pgSz w:w="11900" w:h="16838" w:orient="portrait"/>
          <w:cols w:equalWidth="0" w:num="1">
            <w:col w:w="10780"/>
          </w:cols>
          <w:pgMar w:left="320" w:top="123"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December 31, 2024</w:t>
      </w:r>
    </w:p>
    <w:p>
      <w:pPr>
        <w:spacing w:after="0" w:line="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Issuance of common stock upon vesting of RSUs</w:t>
      </w:r>
    </w:p>
    <w:p>
      <w:pPr>
        <w:spacing w:after="0" w:line="24" w:lineRule="exact"/>
        <w:rPr>
          <w:sz w:val="20"/>
          <w:szCs w:val="20"/>
          <w:color w:val="auto"/>
        </w:rPr>
      </w:pPr>
    </w:p>
    <w:p>
      <w:pPr>
        <w:ind w:left="700" w:right="80"/>
        <w:spacing w:after="0" w:line="237" w:lineRule="auto"/>
        <w:rPr>
          <w:sz w:val="20"/>
          <w:szCs w:val="20"/>
          <w:color w:val="auto"/>
        </w:rPr>
      </w:pPr>
      <w:r>
        <w:rPr>
          <w:rFonts w:ascii="Times New Roman" w:cs="Times New Roman" w:eastAsia="Times New Roman" w:hAnsi="Times New Roman"/>
          <w:sz w:val="17"/>
          <w:szCs w:val="17"/>
          <w:color w:val="auto"/>
        </w:rPr>
        <w:t>Share repurchase related to Section 16 Officer tax coverage exchange</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Stock-based compensation - stock options, RSAs, RSUs</w:t>
      </w:r>
    </w:p>
    <w:p>
      <w:pPr>
        <w:spacing w:after="0" w:line="28" w:lineRule="exact"/>
        <w:rPr>
          <w:sz w:val="20"/>
          <w:szCs w:val="20"/>
          <w:color w:val="auto"/>
        </w:rPr>
      </w:pPr>
    </w:p>
    <w:p>
      <w:pPr>
        <w:ind w:left="700"/>
        <w:spacing w:after="0" w:line="237" w:lineRule="auto"/>
        <w:rPr>
          <w:sz w:val="20"/>
          <w:szCs w:val="20"/>
          <w:color w:val="auto"/>
        </w:rPr>
      </w:pPr>
      <w:r>
        <w:rPr>
          <w:rFonts w:ascii="Times New Roman" w:cs="Times New Roman" w:eastAsia="Times New Roman" w:hAnsi="Times New Roman"/>
          <w:sz w:val="17"/>
          <w:szCs w:val="17"/>
          <w:color w:val="auto"/>
        </w:rPr>
        <w:t>Issuance of common stock and related warrants in registered offering, net of issuance costs</w:t>
      </w:r>
    </w:p>
    <w:p>
      <w:pPr>
        <w:spacing w:after="0" w:line="10" w:lineRule="exact"/>
        <w:rPr>
          <w:sz w:val="20"/>
          <w:szCs w:val="20"/>
          <w:color w:val="auto"/>
        </w:rPr>
      </w:pPr>
    </w:p>
    <w:p>
      <w:pPr>
        <w:ind w:left="700" w:right="360"/>
        <w:spacing w:after="0" w:line="239" w:lineRule="auto"/>
        <w:rPr>
          <w:sz w:val="20"/>
          <w:szCs w:val="20"/>
          <w:color w:val="auto"/>
        </w:rPr>
      </w:pPr>
      <w:r>
        <w:rPr>
          <w:rFonts w:ascii="Times New Roman" w:cs="Times New Roman" w:eastAsia="Times New Roman" w:hAnsi="Times New Roman"/>
          <w:sz w:val="17"/>
          <w:szCs w:val="17"/>
          <w:color w:val="auto"/>
        </w:rPr>
        <w:t>Issuance of common stock upon exercise of pre-funded warrants</w:t>
      </w:r>
    </w:p>
    <w:p>
      <w:pPr>
        <w:spacing w:after="0" w:line="10" w:lineRule="exact"/>
        <w:rPr>
          <w:sz w:val="20"/>
          <w:szCs w:val="20"/>
          <w:color w:val="auto"/>
        </w:rPr>
      </w:pPr>
    </w:p>
    <w:p>
      <w:pPr>
        <w:ind w:left="700" w:right="460"/>
        <w:spacing w:after="0" w:line="239" w:lineRule="auto"/>
        <w:rPr>
          <w:sz w:val="20"/>
          <w:szCs w:val="20"/>
          <w:color w:val="auto"/>
        </w:rPr>
      </w:pPr>
      <w:r>
        <w:rPr>
          <w:rFonts w:ascii="Times New Roman" w:cs="Times New Roman" w:eastAsia="Times New Roman" w:hAnsi="Times New Roman"/>
          <w:sz w:val="17"/>
          <w:szCs w:val="17"/>
          <w:color w:val="auto"/>
        </w:rPr>
        <w:t>Issuance of common stock in connection with warrant inducement, net of issuance costs</w:t>
      </w:r>
    </w:p>
    <w:p>
      <w:pPr>
        <w:spacing w:after="0" w:line="10" w:lineRule="exact"/>
        <w:rPr>
          <w:sz w:val="20"/>
          <w:szCs w:val="20"/>
          <w:color w:val="auto"/>
        </w:rPr>
      </w:pPr>
    </w:p>
    <w:p>
      <w:pPr>
        <w:ind w:left="700"/>
        <w:spacing w:after="0" w:line="239" w:lineRule="auto"/>
        <w:rPr>
          <w:sz w:val="20"/>
          <w:szCs w:val="20"/>
          <w:color w:val="auto"/>
        </w:rPr>
      </w:pPr>
      <w:r>
        <w:rPr>
          <w:rFonts w:ascii="Times New Roman" w:cs="Times New Roman" w:eastAsia="Times New Roman" w:hAnsi="Times New Roman"/>
          <w:sz w:val="17"/>
          <w:szCs w:val="17"/>
          <w:color w:val="auto"/>
        </w:rPr>
        <w:t>Issuance of common stock for convertible note principal and interest</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Net loss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March 31, 2025</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20" w:type="dxa"/>
            <w:vAlign w:val="bottom"/>
            <w:gridSpan w:val="3"/>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Common stock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64"/>
        </w:trPr>
        <w:tc>
          <w:tcPr>
            <w:tcW w:w="20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restart"/>
          </w:tcPr>
          <w:p>
            <w:pPr>
              <w:jc w:val="center"/>
              <w:ind w:right="200"/>
              <w:spacing w:after="0" w:line="167"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restart"/>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103"/>
        </w:trPr>
        <w:tc>
          <w:tcPr>
            <w:tcW w:w="2020" w:type="dxa"/>
            <w:vAlign w:val="bottom"/>
            <w:gridSpan w:val="3"/>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2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line="181" w:lineRule="exact"/>
              <w:rPr>
                <w:sz w:val="20"/>
                <w:szCs w:val="20"/>
                <w:color w:val="auto"/>
              </w:rPr>
            </w:pPr>
            <w:r>
              <w:rPr>
                <w:rFonts w:ascii="Times New Roman" w:cs="Times New Roman" w:eastAsia="Times New Roman" w:hAnsi="Times New Roman"/>
                <w:sz w:val="17"/>
                <w:szCs w:val="17"/>
                <w:b w:val="1"/>
                <w:bCs w:val="1"/>
                <w:color w:val="auto"/>
                <w:w w:val="99"/>
              </w:rPr>
              <w:t>paid-in</w:t>
            </w:r>
          </w:p>
        </w:tc>
        <w:tc>
          <w:tcPr>
            <w:tcW w:w="1160" w:type="dxa"/>
            <w:vAlign w:val="bottom"/>
            <w:gridSpan w:val="3"/>
            <w:vMerge w:val="restart"/>
          </w:tcPr>
          <w:p>
            <w:pPr>
              <w:ind w:left="60"/>
              <w:spacing w:after="0" w:line="181"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0"/>
                <w:szCs w:val="10"/>
                <w:color w:val="auto"/>
              </w:rPr>
            </w:pPr>
          </w:p>
        </w:tc>
        <w:tc>
          <w:tcPr>
            <w:tcW w:w="920" w:type="dxa"/>
            <w:vAlign w:val="bottom"/>
            <w:vMerge w:val="restart"/>
          </w:tcPr>
          <w:p>
            <w:pPr>
              <w:jc w:val="center"/>
              <w:ind w:right="94"/>
              <w:spacing w:after="0" w:line="181" w:lineRule="exact"/>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34"/>
        </w:trPr>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0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80" w:type="dxa"/>
            <w:vAlign w:val="bottom"/>
          </w:tcPr>
          <w:p>
            <w:pPr>
              <w:spacing w:after="0"/>
              <w:rPr>
                <w:sz w:val="18"/>
                <w:szCs w:val="18"/>
                <w:color w:val="auto"/>
              </w:rPr>
            </w:pPr>
          </w:p>
        </w:tc>
        <w:tc>
          <w:tcPr>
            <w:tcW w:w="9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1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2,780,597</w:t>
            </w:r>
          </w:p>
        </w:tc>
        <w:tc>
          <w:tcPr>
            <w:tcW w:w="80" w:type="dxa"/>
            <w:vAlign w:val="bottom"/>
          </w:tcPr>
          <w:p>
            <w:pPr>
              <w:spacing w:after="0"/>
              <w:rPr>
                <w:sz w:val="19"/>
                <w:szCs w:val="19"/>
                <w:color w:val="auto"/>
              </w:rPr>
            </w:pPr>
          </w:p>
        </w:tc>
        <w:tc>
          <w:tcPr>
            <w:tcW w:w="84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400,183</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(407,993)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(7,810)</w:t>
            </w:r>
          </w:p>
        </w:tc>
        <w:tc>
          <w:tcPr>
            <w:tcW w:w="0" w:type="dxa"/>
            <w:vAlign w:val="bottom"/>
          </w:tcPr>
          <w:p>
            <w:pPr>
              <w:spacing w:after="0"/>
              <w:rPr>
                <w:sz w:val="1"/>
                <w:szCs w:val="1"/>
                <w:color w:val="auto"/>
              </w:rPr>
            </w:pPr>
          </w:p>
        </w:tc>
      </w:tr>
      <w:tr>
        <w:trPr>
          <w:trHeight w:val="223"/>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0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0" w:type="dxa"/>
            <w:vAlign w:val="bottom"/>
          </w:tcPr>
          <w:p>
            <w:pPr>
              <w:spacing w:after="0"/>
              <w:rPr>
                <w:sz w:val="1"/>
                <w:szCs w:val="1"/>
                <w:color w:val="auto"/>
              </w:rPr>
            </w:pPr>
          </w:p>
        </w:tc>
      </w:tr>
      <w:tr>
        <w:trPr>
          <w:trHeight w:val="30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4,401</w:t>
            </w:r>
          </w:p>
        </w:tc>
        <w:tc>
          <w:tcPr>
            <w:tcW w:w="0" w:type="dxa"/>
            <w:vAlign w:val="bottom"/>
          </w:tcPr>
          <w:p>
            <w:pPr>
              <w:spacing w:after="0"/>
              <w:rPr>
                <w:sz w:val="1"/>
                <w:szCs w:val="1"/>
                <w:color w:val="auto"/>
              </w:rPr>
            </w:pPr>
          </w:p>
        </w:tc>
      </w:tr>
      <w:tr>
        <w:trPr>
          <w:trHeight w:val="400"/>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1,176,886</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0"/>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331,000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0" w:type="dxa"/>
            <w:vAlign w:val="bottom"/>
          </w:tcPr>
          <w:p>
            <w:pPr>
              <w:spacing w:after="0"/>
              <w:rPr>
                <w:sz w:val="1"/>
                <w:szCs w:val="1"/>
                <w:color w:val="auto"/>
              </w:rPr>
            </w:pPr>
          </w:p>
        </w:tc>
      </w:tr>
      <w:tr>
        <w:trPr>
          <w:trHeight w:val="400"/>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30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(6,172)</w:t>
            </w:r>
          </w:p>
        </w:tc>
        <w:tc>
          <w:tcPr>
            <w:tcW w:w="0" w:type="dxa"/>
            <w:vAlign w:val="bottom"/>
          </w:tcPr>
          <w:p>
            <w:pPr>
              <w:spacing w:after="0"/>
              <w:rPr>
                <w:sz w:val="1"/>
                <w:szCs w:val="1"/>
                <w:color w:val="auto"/>
              </w:rPr>
            </w:pPr>
          </w:p>
        </w:tc>
      </w:tr>
      <w:tr>
        <w:trPr>
          <w:trHeight w:val="186"/>
        </w:trPr>
        <w:tc>
          <w:tcPr>
            <w:tcW w:w="110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4,780,010</w:t>
            </w:r>
          </w:p>
        </w:tc>
        <w:tc>
          <w:tcPr>
            <w:tcW w:w="8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ind w:right="65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408,193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(414,165)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(5,972)</w:t>
            </w: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-1988820</wp:posOffset>
            </wp:positionV>
            <wp:extent cx="6549390" cy="139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-1710055</wp:posOffset>
            </wp:positionV>
            <wp:extent cx="6549390" cy="254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-1317625</wp:posOffset>
            </wp:positionV>
            <wp:extent cx="6549390" cy="254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-809625</wp:posOffset>
            </wp:positionV>
            <wp:extent cx="6549390" cy="254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-302260</wp:posOffset>
            </wp:positionV>
            <wp:extent cx="6549390" cy="139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-15875</wp:posOffset>
            </wp:positionV>
            <wp:extent cx="6549390" cy="130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9390" cy="13081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4860" w:space="140"/>
            <w:col w:w="5780"/>
          </w:cols>
          <w:pgMar w:left="320" w:top="123" w:right="79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color w:val="auto"/>
        </w:rPr>
        <w:t>Balance, December 31, 2023</w:t>
      </w:r>
    </w:p>
    <w:p>
      <w:pPr>
        <w:spacing w:after="0" w:line="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Issuance of common stock upon vesting of RSUs</w:t>
      </w:r>
    </w:p>
    <w:p>
      <w:pPr>
        <w:spacing w:after="0" w:line="24" w:lineRule="exact"/>
        <w:rPr>
          <w:sz w:val="20"/>
          <w:szCs w:val="20"/>
          <w:color w:val="auto"/>
        </w:rPr>
      </w:pPr>
    </w:p>
    <w:p>
      <w:pPr>
        <w:ind w:left="700" w:right="80"/>
        <w:spacing w:after="0" w:line="237" w:lineRule="auto"/>
        <w:rPr>
          <w:sz w:val="20"/>
          <w:szCs w:val="20"/>
          <w:color w:val="auto"/>
        </w:rPr>
      </w:pPr>
      <w:r>
        <w:rPr>
          <w:rFonts w:ascii="Times New Roman" w:cs="Times New Roman" w:eastAsia="Times New Roman" w:hAnsi="Times New Roman"/>
          <w:sz w:val="17"/>
          <w:szCs w:val="17"/>
          <w:color w:val="auto"/>
        </w:rPr>
        <w:t>Share repurchase related to Section 16 Officer tax coverage exchange</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Stock-based compensation - stock options, RSAs, RSUs</w:t>
      </w:r>
    </w:p>
    <w:p>
      <w:pPr>
        <w:spacing w:after="0" w:line="28" w:lineRule="exact"/>
        <w:rPr>
          <w:sz w:val="20"/>
          <w:szCs w:val="20"/>
          <w:color w:val="auto"/>
        </w:rPr>
      </w:pPr>
    </w:p>
    <w:p>
      <w:pPr>
        <w:ind w:left="700"/>
        <w:spacing w:after="0" w:line="237" w:lineRule="auto"/>
        <w:rPr>
          <w:sz w:val="20"/>
          <w:szCs w:val="20"/>
          <w:color w:val="auto"/>
        </w:rPr>
      </w:pPr>
      <w:r>
        <w:rPr>
          <w:rFonts w:ascii="Times New Roman" w:cs="Times New Roman" w:eastAsia="Times New Roman" w:hAnsi="Times New Roman"/>
          <w:sz w:val="17"/>
          <w:szCs w:val="17"/>
          <w:color w:val="auto"/>
        </w:rPr>
        <w:t>Issuance of common stock and related warrants in registered offering, net of issuance costs</w:t>
      </w:r>
    </w:p>
    <w:p>
      <w:pPr>
        <w:spacing w:after="0" w:line="10" w:lineRule="exact"/>
        <w:rPr>
          <w:sz w:val="20"/>
          <w:szCs w:val="20"/>
          <w:color w:val="auto"/>
        </w:rPr>
      </w:pPr>
    </w:p>
    <w:p>
      <w:pPr>
        <w:ind w:left="700" w:right="360"/>
        <w:spacing w:after="0" w:line="239" w:lineRule="auto"/>
        <w:rPr>
          <w:sz w:val="20"/>
          <w:szCs w:val="20"/>
          <w:color w:val="auto"/>
        </w:rPr>
      </w:pPr>
      <w:r>
        <w:rPr>
          <w:rFonts w:ascii="Times New Roman" w:cs="Times New Roman" w:eastAsia="Times New Roman" w:hAnsi="Times New Roman"/>
          <w:sz w:val="17"/>
          <w:szCs w:val="17"/>
          <w:color w:val="auto"/>
        </w:rPr>
        <w:t>Issuance of common stock upon exercise of pre-funded warrants</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Net loss</w:t>
      </w:r>
    </w:p>
    <w:p>
      <w:pPr>
        <w:spacing w:after="0" w:line="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March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591,712</w:t>
            </w:r>
          </w:p>
        </w:tc>
        <w:tc>
          <w:tcPr>
            <w:tcW w:w="8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376,234</w:t>
            </w:r>
          </w:p>
        </w:tc>
        <w:tc>
          <w:tcPr>
            <w:tcW w:w="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(373,047)</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3,187</w:t>
            </w:r>
          </w:p>
        </w:tc>
      </w:tr>
      <w:tr>
        <w:trPr>
          <w:trHeight w:val="223"/>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0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30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4"/>
                <w:szCs w:val="24"/>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w:t>
            </w:r>
          </w:p>
        </w:tc>
      </w:tr>
      <w:tr>
        <w:trPr>
          <w:trHeight w:val="30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158,572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7,171</w:t>
            </w:r>
          </w:p>
        </w:tc>
      </w:tr>
      <w:tr>
        <w:trPr>
          <w:trHeight w:val="400"/>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435,092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0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4"/>
                <w:szCs w:val="24"/>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(8,313)</w:t>
            </w:r>
          </w:p>
        </w:tc>
      </w:tr>
      <w:tr>
        <w:trPr>
          <w:trHeight w:val="212"/>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1,187,564</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384,845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(381,360)</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3,485</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-1358265</wp:posOffset>
            </wp:positionV>
            <wp:extent cx="6549390" cy="139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-965200</wp:posOffset>
            </wp:positionV>
            <wp:extent cx="654939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-572135</wp:posOffset>
            </wp:positionV>
            <wp:extent cx="6549390" cy="254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-179705</wp:posOffset>
            </wp:positionV>
            <wp:extent cx="6549390" cy="163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49390" cy="16383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4860" w:space="140"/>
            <w:col w:w="5780"/>
          </w:cols>
          <w:pgMar w:left="320" w:top="123" w:right="79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22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80"/>
          </w:cols>
          <w:pgMar w:left="320" w:top="123" w:right="7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560" w:type="dxa"/>
            <w:vAlign w:val="bottom"/>
            <w:tcBorders>
              <w:bottom w:val="single" w:sz="8" w:color="auto"/>
            </w:tcBorders>
          </w:tcPr>
          <w:p>
            <w:pPr>
              <w:spacing w:after="0"/>
              <w:rPr>
                <w:sz w:val="17"/>
                <w:szCs w:val="17"/>
                <w:color w:val="auto"/>
              </w:rPr>
            </w:pPr>
          </w:p>
        </w:tc>
      </w:tr>
      <w:tr>
        <w:trPr>
          <w:trHeight w:val="201"/>
        </w:trPr>
        <w:tc>
          <w:tcPr>
            <w:tcW w:w="78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60" w:type="dxa"/>
            <w:vAlign w:val="bottom"/>
            <w:tcBorders>
              <w:bottom w:val="single" w:sz="8" w:color="auto"/>
            </w:tcBorders>
          </w:tcPr>
          <w:p>
            <w:pPr>
              <w:spacing w:after="0"/>
              <w:rPr>
                <w:sz w:val="17"/>
                <w:szCs w:val="17"/>
                <w:color w:val="auto"/>
              </w:rPr>
            </w:pPr>
          </w:p>
        </w:tc>
      </w:tr>
      <w:tr>
        <w:trPr>
          <w:trHeight w:val="18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w:t>
            </w: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(6,172)</w:t>
            </w:r>
          </w:p>
        </w:tc>
        <w:tc>
          <w:tcPr>
            <w:tcW w:w="80" w:type="dxa"/>
            <w:vAlign w:val="bottom"/>
          </w:tcPr>
          <w:p>
            <w:pPr>
              <w:spacing w:after="0"/>
              <w:rPr>
                <w:sz w:val="17"/>
                <w:szCs w:val="17"/>
                <w:color w:val="auto"/>
              </w:rPr>
            </w:pPr>
          </w:p>
        </w:tc>
        <w:tc>
          <w:tcPr>
            <w:tcW w:w="1120" w:type="dxa"/>
            <w:vAlign w:val="bottom"/>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(8,313)</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Amortization of debt (premium) and issuance costs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Amortization of right-of-use asset</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Gain on debt extinguishment</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1,443</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Prepaids and other current assets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(1,363)</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1,288</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Insurance receivable</w:t>
            </w:r>
          </w:p>
        </w:tc>
        <w:tc>
          <w:tcPr>
            <w:tcW w:w="1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non-current assets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liabilities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Accrued interest</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Contract liabilities</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Operating lease liability</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Litigation settlement contingency</w:t>
            </w:r>
          </w:p>
        </w:tc>
        <w:tc>
          <w:tcPr>
            <w:tcW w:w="1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(4,175)</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(5,253)</w:t>
            </w:r>
          </w:p>
        </w:tc>
      </w:tr>
      <w:tr>
        <w:trPr>
          <w:trHeight w:val="125"/>
        </w:trPr>
        <w:tc>
          <w:tcPr>
            <w:tcW w:w="78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205"/>
        </w:trPr>
        <w:tc>
          <w:tcPr>
            <w:tcW w:w="7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7"/>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Purchases of intangible assets</w:t>
            </w:r>
          </w:p>
        </w:tc>
        <w:tc>
          <w:tcPr>
            <w:tcW w:w="1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96"/>
        </w:trPr>
        <w:tc>
          <w:tcPr>
            <w:tcW w:w="7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1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25"/>
        </w:trPr>
        <w:tc>
          <w:tcPr>
            <w:tcW w:w="78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r>
      <w:tr>
        <w:trPr>
          <w:trHeight w:val="205"/>
        </w:trPr>
        <w:tc>
          <w:tcPr>
            <w:tcW w:w="7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7"/>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 of convertible notes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Principal payments on loan payable</w:t>
            </w:r>
          </w:p>
        </w:tc>
        <w:tc>
          <w:tcPr>
            <w:tcW w:w="1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(2,319)</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exercise of warrants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Payments for issuance costs related to exercise of warrants</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Repurchase of Section 16 Officer shares for tax coverage exchange</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issuance of common stock and related warrants</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Payments for issuance costs related to common stock and related warrants</w:t>
            </w:r>
          </w:p>
        </w:tc>
        <w:tc>
          <w:tcPr>
            <w:tcW w:w="1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(829)</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financing activities</w:t>
            </w: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6,001</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4,849</w:t>
            </w:r>
          </w:p>
        </w:tc>
      </w:tr>
      <w:tr>
        <w:trPr>
          <w:trHeight w:val="125"/>
        </w:trPr>
        <w:tc>
          <w:tcPr>
            <w:tcW w:w="78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Increase (Decrease) in cash, cash equivalents and restricted cash</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1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1,572</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2,492</w:t>
            </w:r>
          </w:p>
        </w:tc>
      </w:tr>
      <w:tr>
        <w:trPr>
          <w:trHeight w:val="196"/>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110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3,398</w:t>
            </w:r>
          </w:p>
        </w:tc>
        <w:tc>
          <w:tcPr>
            <w:tcW w:w="80" w:type="dxa"/>
            <w:vAlign w:val="bottom"/>
          </w:tcPr>
          <w:p>
            <w:pPr>
              <w:spacing w:after="0"/>
              <w:rPr>
                <w:sz w:val="17"/>
                <w:szCs w:val="17"/>
                <w:color w:val="auto"/>
              </w:rPr>
            </w:pPr>
          </w:p>
        </w:tc>
        <w:tc>
          <w:tcPr>
            <w:tcW w:w="1120" w:type="dxa"/>
            <w:vAlign w:val="bottom"/>
            <w:tcBorders>
              <w:bottom w:val="single" w:sz="8" w:color="auto"/>
            </w:tcBorders>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2,049</w:t>
            </w:r>
          </w:p>
        </w:tc>
      </w:tr>
      <w:tr>
        <w:trPr>
          <w:trHeight w:val="21"/>
        </w:trPr>
        <w:tc>
          <w:tcPr>
            <w:tcW w:w="7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Nature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Inc. (together with its consolidated subsidiaries “Momentus” or the “Company”) is a U.S. commercial space company that offers satellites, satellite buses, satellite technologies, and space infrastructure services, including in-space transportation, hosted payloads and in-orbit services. Momentus is making new ways of operating in space possible with its in-space transfer and service vehicles, powered by an innovative, space-proven water plasma-based propulsion system.</w:t>
      </w:r>
    </w:p>
    <w:p>
      <w:pPr>
        <w:spacing w:after="0" w:line="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Orbital Service Vehicle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 The Company has produced its next Orbital Service Vehicle, Vigoride 7, that it intends to utilize on a future mission or for use as a satellite bus.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Vigoride OSV, Momentus is now also offering its M-1000 satellite bus which has substantial commonality with Vigoride. With a growing demand for satellite bus services, Momentus is positioned to advance its hardware and flight-proven technology for this market. The M-1000 bus is a flexible option to meet various mission requirements. Innovations to improve sensor capability, maneuverability, increased power, and lower costs are integrated into the product. Momentus believes it can manufacture satellite buses like the M-1000 at a rapid and scalable pace.</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has completed work in support of its Small Business Innovation Research contract from the Space Development Agency that was signed in August 2023. This project’s scope involved making tailored modifications to the system underlying the M-1000 satellite bus and Vigoride OSV to support a full range of U.S. Department of Defense (DoD) payloads. Some of these areas include adding a secure payload interface, optical communications terminals, a high-volume data recorder, and improving the modularity of the propulsion system.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12, 2021, the Company consummated a merger pursuant to the terms of the Agreement and Plan of Merger, dated October 7, 2020, and as amended on March 5, 2021, April 6, 2021, and June 29, 2021 (the “Merger Agreement”), by and among Stable Road Acquisition Corp (“SRAC”), Project Marvel First Merger Sub, Inc., a Delaware corporation and a direct, wholly-owned subsidiary of SRAC (“First Merger Sub”), and Project Marvel Second Merger Sub, LLC, a Delaware limited liability company and a direct, wholly-owned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(“Closing”), the Company changed its name from Stable Road Acquisition Corp. to Momentus Inc., and Legacy Momentus changed its name to Momentus Space, LLC.</w:t>
      </w:r>
    </w:p>
    <w:p>
      <w:pPr>
        <w:spacing w:after="0" w:line="1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Business Combination was accounted for as a reverse recapitalization under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with SRAC and its two wholly-owned subsidiaries. The Company received gross proceeds of $247.3 million upon the closing of the Business Combination. Public and private warrants of SRAC were assumed by the Company as a result of the Business Combination.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assuming that the Company will continue as a going concern. The going concern basis of presentation assumes that the Company will continue in operation one year after the date these condensed consolidated interim financial statements are issued and will be able to realize its assets and discharge its liabilities and commitments in the normal course of business. The Company’s ability to continue as a going concern is dependent on the Company’s ability to successfully raise capital to fund its business operations and execute on its business plan. To date the Company remains heavily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focused on growth and continued development of its proprietary technology, and as a result, it has not generated sufficient revenues to provide cash flows that enable the Company to finance its operations internally and the Company’s consolidated financial position and operating results raise substantial doubt about the Company’s ability to continue as a going concern. This is reflected by the Company’s incurred net loss of $6.2 million for the three months ended March 31, 2025, and accumulated deficit of $414.2 million as of March 31, 2025. Additionally, the Company used net cash of $4.2 million to fund its operating activities for the three months ended March 31, 2025, and had cash and cash equivalents of $3.4 million as of March 31, 2025.</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Pursuant to the requirements of ASC Sub-Topic 205-40, </w:t>
      </w:r>
      <w:r>
        <w:rPr>
          <w:rFonts w:ascii="Times New Roman" w:cs="Times New Roman" w:eastAsia="Times New Roman" w:hAnsi="Times New Roman"/>
          <w:sz w:val="17"/>
          <w:szCs w:val="17"/>
          <w:i w:val="1"/>
          <w:iCs w:val="1"/>
          <w:color w:val="auto"/>
        </w:rPr>
        <w:t>Disclosure of Uncertainties about an Entity’s Ability to Continue as a Going Concern</w:t>
      </w:r>
      <w:r>
        <w:rPr>
          <w:rFonts w:ascii="Times New Roman" w:cs="Times New Roman" w:eastAsia="Times New Roman" w:hAnsi="Times New Roman"/>
          <w:sz w:val="17"/>
          <w:szCs w:val="17"/>
          <w:color w:val="auto"/>
        </w:rPr>
        <w:t>, management must evaluate whether there are conditions or events, considered in the aggregate, that raise substantial doubt about the Company’s ability to continue as a going concern for one year from the date these condensed consolidated interim financial statements are issued. This evaluation does not take into consideration the potential mitigating effect of management’s plans that have not been fully implemented or are not within control of the Company as of the date the condensed consolidated interim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condensed consolidated interim financial statements are issued, and (2) it is probable that the plans, when implemented, will mitigate the relevant conditions or events that raise substantial doubt about the Company’s ability to continue as a going concern within one year after the date that the condensed consolidated interim financial statements are issued.</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preparation of the condensed consolidated interim financial statements for the three months ended March 31, 2025, management conducted an evaluation and concluded that there were conditions and events, considered in the aggregate, which raised substantial doubt as to the Company’s ability to continue as a going concern within twelve months after the date of the issuance of such condensed consolidated interim financial statements. The Company believes that its current level of cash and cash equivalents are not sufficient to fund its regular operations, scaling of commercial production, and maintain its existing services and products. These conditions raise substantial doubt regarding its ability to continue as a going concern for a period of at least one year from the date of issuance of these condensed consolidated interim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all opportunities to access additional capital through any available means.</w:t>
      </w:r>
    </w:p>
    <w:p>
      <w:pPr>
        <w:spacing w:after="0" w:line="1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3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on a going concern basis of accounting. The accompanying condensed consolidated interim financial statements do not reflect any adjustments that might result if the Company is unable to continue as a going concern.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Effective December 12, 2024, the Company’s stockholders approved a 1-for-14 reverse stock split of the Company’s Class A common stock. As a result of the reverse stock split, every 14 shares of Class A common stock issued and outstanding on December 12, 2024,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Both the Company’s Class B common stock and the Company’s preferred stock were not affected by the reverse stock split.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to the reverse stock split implemented in December 2024, the Company previously effected a 1-for-50 reverse stock split of the Company’s Class A common stock on August 22, 2023, whereby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Both the Company’s Class B common stock and the Company’s preferred stock were not affected by the reverse stock split.</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Also on the effective date of each reverse stock split, all options, warrants and other convertible securities of the Company outstanding immediately prior to each reverse stock split were adjusted by dividing the number of shares of Class A common stock into which the options, warrants and other convertible securities are exercisable or convertible by the factor applied in each reverse stock split, and multiplying the exercise or conversion price thereof by the same amount, all in accordance with the terms of the plans, agreements or arrangements governing such options, warrants and other convertible securities and subject to rounding to the nearest whole share. Such proportional adjustments were also made to the number of shares and restricted stock units issued and issuable under the Company’s equity compensation plan.</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December 2024 1-for-14 reverse stock split. See Note 9 for additional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Consolidated Interim Financial Information</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in accordance with accounting principles generally accepted in the United States of America (“GAAP”) and pursuant to the rules and regulations of the SEC. Certain information and footnote disclosures normally included in financial statements prepared in accordance with GAAP have been condensed or omitted pursuant to such rules and regulations. The consolidated balance sheet as of December 31, 2024 was derived from the Company’s audited financial statements but does not include all disclosures required by GAAP for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unaudited condensed consolidated interim financial statements have been prepared on the same basis as the audited consolidated financial statements. The accompanying condensed consolidated interim financial statements contain all adjustments that are necessary to present fairly the Company’s financial position as of March 31, 2025 and December 31, 2024, the results of operations for the three months ended March 31, 2025 and 2024, the statement of stockholders’ equity for the three months ended March 31, 2025 and 2024, and cash flows for the three months ended March 31, 2025 and 2024. Such adjustments are of a normal and recurring nature. The results for the three months ended March 31, 2025 are not necessarily indicative of the results for the year ending December 31, 2025, or for any future period. These condensed consolidated interim financial statements should be read in conjunction with the audited financial statements as of and for the years ended December 31, 2024 and 2023, filed with the SEC in our Annual Report on Form 10-K filed by the Company on April 1, 2025, and Form 10-K/A filed on April 9,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condensed consolidated interim financial statements include the accounts of the Company and its subsidiaries. All intercompany transactions and balances have been eliminated upon consolidation.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preparation of condensed consolidated interim financial statements in conformity with GAAP requires management to make estimates and assumptions that affect the reported amounts in the condensed consolidated interim financial statements and accompanying notes. Management bases its estimates on historical experience and on various other factors it believes to be reasonable under the circumstances, the results of which form the basis for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making judgments about the carrying values of assets and liabilities. Accordingly, actual results could differ from those estimates. Significant estimates inherent in the preparation of the condensed consolidated interim financial statements include, but are not limited to, the timing of revenue recognition, accounting for useful lives of property, machinery and equipment, net, intangible assets, net, accrued liabilities, leases, income taxes including deferred tax assets and liabilities, impairment valuation, stock-based compensation, warrant liabilities, and litigation contingencies.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Cash and cash equivalents consist of cash on hand, cash in bank with no restrictions, as well as highly liquid investments which are unrestricted as to withdrawal or use, and which have original maturities of three months or less when initially purchased.</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 places its cash in the bank, which may at times be in excess of the Federal Deposit Insurance Corporation (“FDIC”) insurance limits of $250,000 per depositor, with high credit quality financial institutions and attempts to limit the amount of credit exposure with any one institution.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Accounts receivable as of December 31, 2024, represent amounts primarily due from the Defense Advanced Research Project Agency (“DARPA”) to provide support to the DARPA Novel Orbital and Moon Manufacturing, Materials, and Mass-efficient Design (NOM4D) program, including arranging launch services, payload integration, and in-orbit hosting of the payload for a complex in-space assembly mission. Accounts Receivable are stated at invoice value less estimated allowances for credit losses. Allowances are recorded based on the Company’s assessment of various factors, such as: historical experience, credit quality of its customers, aging of the accounts receivable balances, economic conditions, and other factors that may affect a customer’s ability to pay. The allowance for credit losses as of March 31, 2025 and December 31, 2024, was zero.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prepays for certain launch costs to third-party providers that will carry the transport vehicle to orbit. Prepaid costs allocated to the delivery of a customers’ payload are classified as deferred fulfillment costs and prepaid costs allocated to our payload are classified as prepaid launch costs. All deferred fulfillment and prepaid launch costs recognized as cost of revenue upon delivery of the related payloads.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March 31, 2025 and December 31, 2024, the Company had deferred fulfillment and prepaid launch costs of $3.1 million and $2.6 million, respectively, with $1.5 million and zero recorded within prepaids and other current assets, respectively, and $1.6 million and $2.6 million recorded within other non-current assets in our condensed consolidated balance sheets.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Machinery and Equipment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Fixed Assets</w:t>
            </w:r>
          </w:p>
        </w:tc>
        <w:tc>
          <w:tcPr>
            <w:tcW w:w="8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Estimated Useful Life</w:t>
            </w:r>
          </w:p>
        </w:tc>
      </w:tr>
      <w:tr>
        <w:trPr>
          <w:trHeight w:val="31"/>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r>
      <w:tr>
        <w:trPr>
          <w:trHeight w:val="238"/>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years</w:t>
            </w:r>
          </w:p>
        </w:tc>
      </w:tr>
      <w:tr>
        <w:trPr>
          <w:trHeight w:val="23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Five years</w:t>
            </w:r>
          </w:p>
        </w:tc>
      </w:tr>
      <w:tr>
        <w:trPr>
          <w:trHeight w:val="251"/>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Lesser of estimated useful life or remaining lease term (one year to seven years)</w:t>
            </w:r>
          </w:p>
        </w:tc>
      </w:tr>
      <w:tr>
        <w:trPr>
          <w:trHeight w:val="232"/>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 years</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of maintenance or repairs that do not extend the lives of the respective assets are charged to expenses as incurred.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spacing w:after="0" w:line="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In accordance with ASC Sub-Topic 350-40,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the Company presents capitalized implementation costs for cloud computing arrangements within prepaid and other current assets, and other non-current assets to properly present the capitalized costs with their related subscription fees.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 estimates loss contingencies in accordance with ASC Sub-Topic 450-20, </w:t>
      </w:r>
      <w:r>
        <w:rPr>
          <w:rFonts w:ascii="Times New Roman" w:cs="Times New Roman" w:eastAsia="Times New Roman" w:hAnsi="Times New Roman"/>
          <w:sz w:val="17"/>
          <w:szCs w:val="17"/>
          <w:i w:val="1"/>
          <w:iCs w:val="1"/>
          <w:color w:val="auto"/>
        </w:rPr>
        <w:t>Loss Contingencies</w:t>
      </w:r>
      <w:r>
        <w:rPr>
          <w:rFonts w:ascii="Times New Roman" w:cs="Times New Roman" w:eastAsia="Times New Roman" w:hAnsi="Times New Roman"/>
          <w:sz w:val="17"/>
          <w:szCs w:val="17"/>
          <w:color w:val="auto"/>
        </w:rPr>
        <w:t xml:space="preserve"> (“ASC 450-20”), which states that a loss contingency shall be accrued by a charge to income if both of the following conditions are met: (i) information available before the condensed consolidated interim financial statements are issued or are available to be issued indicates that it is probable that a liability had been incurred at the date of the condensed consolidated interim financial statements and (ii) the amount of loss can be reasonably estimated. We regularly evaluate current information available to us to determine whether such accruals should be adjusted and whether new accruals are required. Refer to Note 12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also has services available on a ‘stand ready’ basis as needed until the mission reaches its conclusion. The Company recognizes revenue for these in-orbit services ratably over time on a straight-line basis. The Company also enters into contracts to perform analysis and provide engineering services to U.S. Government organizations.</w:t>
      </w:r>
    </w:p>
    <w:p>
      <w:pPr>
        <w:spacing w:after="0" w:line="9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Company accounts for customer contracts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Topic 606”), which includes the following five-step model:</w:t>
      </w:r>
    </w:p>
    <w:p>
      <w:pPr>
        <w:spacing w:after="0" w:line="83"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Contracts to provide engineering services to U.S. Government organizations generally have set payments tied to each milestone. When a milestone is achieved, the Company submits the completed service for approval, submits invoices to the government site, and collects on that completed milestone. During the three months ended March 31, 2025 and 2024, the Company recorded $0.2 million and $0.5 million, respectively, of revenue from the U.S. Government.</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part of its contracts with customers, the Company collects up-front non-refundable deposits prior to launch. As of March 31, 2025 and December 31, 2024, the Company had customer deposit balances of $3.0 million and $2.2 million, respectively, related to signed contracts with customers, including firm orders and options (some of which have already been exercised by customers). These deposits are recorded as contract liabilities in the Company’s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condensed consolidated balance sheets. Included in the collected amount as of March 31, 2025 and December 31, 2024, are $0.2 million and $1.9 million, respectively, of non-current deposits.</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During the three months ended March 31, 2025, the Company recognized $0.3 million of revenue, due to engineering services performed under the DARPA NOM4D and other DARPA programs, payment under the Space Development Agency Hybrid Acquisition for Proliferated Low Earth Orbit (HALO) program, and forfeited customer deposits primarily related to expired options. Of the $0.3 million of revenue recognized, $0.1 million was derived from the December 31, 2024 contract liability balance. During the three months ended March 31, 2024, the Company recognized $0.5 million of revenue, due to engineering services performed on the Space Development Agency milestone two agreement and forfeited customer deposits primarily related to expired options. Of the $0.5 million of revenue recognized, $0.04 million was derived from the December 31, 2023 contract liability balance.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disaggregation of revenue by type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7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21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 customer deposits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Engineering project services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w:t>
            </w: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101" w:lineRule="exact"/>
        <w:rPr>
          <w:sz w:val="20"/>
          <w:szCs w:val="20"/>
          <w:color w:val="auto"/>
        </w:rPr>
      </w:pPr>
    </w:p>
    <w:p>
      <w:pPr>
        <w:ind w:left="460" w:hanging="14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w:t>
      </w:r>
    </w:p>
    <w:p>
      <w:pPr>
        <w:spacing w:after="0" w:line="139" w:lineRule="exact"/>
        <w:rPr>
          <w:rFonts w:ascii="Times New Roman" w:cs="Times New Roman" w:eastAsia="Times New Roman" w:hAnsi="Times New Roman"/>
          <w:sz w:val="17"/>
          <w:szCs w:val="17"/>
          <w:color w:val="auto"/>
        </w:rPr>
      </w:pPr>
    </w:p>
    <w:p>
      <w:pPr>
        <w:ind w:left="460" w:hanging="14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the quoted prices in active markets that are observable either directly or indirectly; and</w:t>
      </w:r>
    </w:p>
    <w:p>
      <w:pPr>
        <w:spacing w:after="0" w:line="152" w:lineRule="exact"/>
        <w:rPr>
          <w:rFonts w:ascii="Times New Roman" w:cs="Times New Roman" w:eastAsia="Times New Roman" w:hAnsi="Times New Roman"/>
          <w:sz w:val="17"/>
          <w:szCs w:val="17"/>
          <w:color w:val="auto"/>
        </w:rPr>
      </w:pPr>
    </w:p>
    <w:p>
      <w:pPr>
        <w:ind w:left="460" w:hanging="14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in which there is little or no market data, which requires that the Company develop its own assumptions.</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three months ended March 31, 2025 and at December 31, 2024.</w:t>
      </w:r>
    </w:p>
    <w:p>
      <w:pPr>
        <w:spacing w:after="0" w:line="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Certain of the Company’s warrants are recorded as a derivative liability pursuant to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Topic 815”), and are classified within Level 3 of the fair value hierarchy as the Company is using the Black Scholes Option Pricing model. The primary significant unobservable input used in the valuation of the warrants is expected stock price volatility.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 to the remaining expected life of the warrants. The expected term was based on the maturity of the warrants, which is 5 years for Class A common stock warrants and 1.5 years for Class B common stock warrants. The dividend yield percentage is zero because the Company does not currently pay dividends, nor does it intend to do so during the expected term of the warrants. Upon conversion of the Legacy Momentus private warrants immediately prior to the business combination, the key valuation input was the closing price of Company’s Class A common stock on the Closing, as the expected term and volatility were immaterial to the pricing model. There were no transfers between levels of input during the three months ended March 31, 2025 and 2024.</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40" w:type="dxa"/>
            <w:vAlign w:val="bottom"/>
          </w:tcPr>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9240" w:type="dxa"/>
            <w:vAlign w:val="bottom"/>
          </w:tcPr>
          <w:p>
            <w:pPr>
              <w:ind w:left="2200"/>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tc>
        <w:tc>
          <w:tcPr>
            <w:tcW w:w="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9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2"/>
        </w:trPr>
        <w:tc>
          <w:tcPr>
            <w:tcW w:w="9240" w:type="dxa"/>
            <w:vAlign w:val="bottom"/>
          </w:tcPr>
          <w:p>
            <w:pPr>
              <w:spacing w:after="0"/>
              <w:rPr>
                <w:sz w:val="20"/>
                <w:szCs w:val="20"/>
                <w:color w:val="auto"/>
              </w:rPr>
            </w:pPr>
            <w:r>
              <w:rPr>
                <w:rFonts w:ascii="Times New Roman" w:cs="Times New Roman" w:eastAsia="Times New Roman" w:hAnsi="Times New Roman"/>
                <w:sz w:val="17"/>
                <w:szCs w:val="17"/>
                <w:color w:val="auto"/>
              </w:rPr>
              <w:t>The change in fair values of liabilities subject to recurring remeasurement were as follows:</w:t>
            </w: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9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0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Warrant Liability (Level</w:t>
            </w:r>
          </w:p>
        </w:tc>
        <w:tc>
          <w:tcPr>
            <w:tcW w:w="0" w:type="dxa"/>
            <w:vAlign w:val="bottom"/>
          </w:tcPr>
          <w:p>
            <w:pPr>
              <w:spacing w:after="0"/>
              <w:rPr>
                <w:sz w:val="1"/>
                <w:szCs w:val="1"/>
                <w:color w:val="auto"/>
              </w:rPr>
            </w:pPr>
          </w:p>
        </w:tc>
      </w:tr>
      <w:tr>
        <w:trPr>
          <w:trHeight w:val="227"/>
        </w:trPr>
        <w:tc>
          <w:tcPr>
            <w:tcW w:w="9240" w:type="dxa"/>
            <w:vAlign w:val="bottom"/>
            <w:tcBorders>
              <w:bottom w:val="single" w:sz="8" w:color="CCEEFF"/>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3)</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9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Change in Fair Value</w:t>
            </w: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March 31, 2025</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private warrants and stock purchase warrants are recorded as derivative liabilities pursuant to ASC Topic 815 and are classified within Level 3 of the fair value hierarchy as the Company is using the Black Scholes Option Pricing model to calculate fair value. See Note 9 for additional information. Significant unobservable inputs, prior to the Company’s stock being publicly listed, included stock price, volatility and expected term. At the end of each reporting period, changes in fair value during the period are recognized as components of other income within the condensed consolidated statements of operations. The Company will continue to adjust the warrant liability for changes in fair value until the earlier of (i) the exercise or expiration of the warrants or (ii) the redemption of the warrants, at which time the warrants will be reclassified to additional paid-in capital within the condensed consolidated statements of stockholders’ equity (deficit).</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warrants issued by Momentus Inc. prior to the Business Combination were exercised in connection with the Business Combination and as a result, the Company performed a fair value measurement of those warrants on the Closing and recorded the change in the instruments’ fair values prior to converting them to equity. The warrants assumed by the Company as a result of the Business Combination remain outstanding.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and Private Warrants</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Prior to the Business Combination, SRAC issued 16,104 private placement warrants (“Private Warrants”) and 12,322 public warrants (“Public Warrants” and, collectively with the Private Warrants, the “Public and Private Warrants”). Each whole warrant entitles the holder to purchase one share of the Company’s Class A common stock at a price of $8,050 per share, subject to adjustments and will expire five years after the Business Combination or earlier upon redemption or liquidation.</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condensed consolidated balance sheet at fair value upon the Closing, with subsequent changes in the fair value recognized in the condensed consolidated statements of operations at each reporting date. The fair value of the Private Warrants was measured using the Black-Scholes option-pricing model at each measurement date.</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Topic 815, at the initial recognition.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than the Public and Private Warrants noted above, the Company also had other warrants issued and outstanding which were recognized as derivative liabilities in accordance with ASC Topic 815 until they were fully exercised. Accordingly, the Company recognized the warrant instruments as liabilities at fair value and adjusts the instruments to fair value at each reporting period until exercised. The fair value of the warrant liabilities issued were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initially measured using the Black-Scholes model and were subsequently remeasured at each reporting period with changes recorded as a component of other income in the Company’s condensed consolidated statements of operations. Derivative warrant liabilities are classified as non-current as their liquidation is not reasonably expected to require the use of current assets or require the creation of current liabilities. See Note 9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Classified Warrants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Subsequent to the Business Combination, the Company has issued warrants in conjunction with various securities purchase agreements and borrowings (See Note 8 and Note 9 for additional information). The warrants are freestanding equity-linked instruments that meet the indexation and equity classification criteria of ASC Sub-Topic 815-40.</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grant-date fair value of these warrants is recorded in additional paid-in capital on the condensed consolidated balance sheets. The fair value of the warrants are measured using the Black-Scholes option-pricing model on the grant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Modification of Equity Classified Warrants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change in the terms or conditions of a warrant is accounted for as a modification. For a warrant modification accounted for under ASC Topic 815, the effect of a modification shall be measured as the difference between the fair value of the modified warrant and the fair value of the original warrant immediately before its terms are modified, with each measured on the modification date. The accounting for incremental fair value of the modified warrants over the original warrants is based on the specific facts and circumstances related to the modification. When a modification is directly attributable to an equity offering, the incremental change in fair value of the warrants is accounted for as an equity issuance cost. When a modification is directly attributable to a debt offering, the incremental change in fair value of the warrants is accounted for as a debt discount or debt issuance cost. For all other modifications, the incremental change in fair value is recognized as a deemed dividend.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Instruments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evaluates its convertible debt issuances to determine if those contracts or embedded components of those contracts qualify as derivatives requiring separate recognition in the Company’s financial statements. Entities must consider whether to classify contracts that may be settled in its own stock, such as warrants, as equity of the entity or as an asset or liability. If an event that is not within the entity’s control could require net cash settlement, then the contract should be classified as an asset or a liability rather than as equity.</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the embedded conversion options do not require bifurcation, the Company then evaluates for the existence of a beneficial conversion feature by comparing the fair value of the Company’s underlying stock as of the commitment date to the effective conversion price of the instrument (the intrinsic value).</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Debt discounts under these arrangements are amortized over the term of the related debt to their stated date of redemption and are classified in interest expense in the condensed consolidated statements of operations.</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Amendments to convertible instruments are evaluated as to whether they should be accounted for as a modification of the original instrument with no change to the accounting or, if the terms are substantially changed, as an extinguishment of the original instrument and the issuance of a new instrument.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Basic and Diluted Loss Per Share</w:t>
      </w:r>
    </w:p>
    <w:p>
      <w:pPr>
        <w:spacing w:after="0" w:line="1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7"/>
          <w:szCs w:val="17"/>
          <w:color w:val="auto"/>
        </w:rPr>
        <w:t>cash flows are not expected to be sufficient to recover the recorded value of the assets, the assets are written down to their estimated fair value. During the three months ended March 31, 2025 and 2024, there were no impairments of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lived assets. See Note 4 and Note 5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a stock incentive plan under which equity awards are granted to employees, directors, and consultants. All stock-based payments are recognized in the condensed consolidated interim financial statements based on their respective grant date fair values.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determined using the Black Scholes Merton Option Pricing model, using a six-month expected term to conform with the six month ESPP offering period.</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fair value of equity awards is expensed over the related service period which is typically the vesting period, and expense is only recognized for awards that are expected to vest. The Company accounts for forfeitures as they occur.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401(k) Plan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a 401(k) plan that it offers to its full-time employees. The Company did not contribute to the plan during the three months ended March 31,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and labor hours (both internal and subcontractors).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is charged to expense.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determines if an arrangement contains a lease at inception based on whether there is an identified property, plant or equipment and whether the Company controls the use of the identified asset throughout the period of use.</w:t>
      </w:r>
    </w:p>
    <w:p>
      <w:pPr>
        <w:spacing w:after="0" w:line="46"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7"/>
          <w:szCs w:val="17"/>
          <w:color w:val="auto"/>
        </w:rPr>
        <w:t>Operating leases are included in the accompanying condensed consolidated balance sheets. Operating lease right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 See Note 6 for additional details on the Company’s leases.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Topic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(“ASC Topic 280”), we are not organized around specific services or geographic regions.</w:t>
      </w:r>
    </w:p>
    <w:p>
      <w:pPr>
        <w:spacing w:after="0" w:line="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Our chief operating decision maker “CODM” uses financial information to evaluate our performance, which is the same basis on which our results and performance are communicated to our Board of Directors. All of the Company’s long-lived assets are held domestically in the United States and of the $0.3 million of revenue recognized by the Company during the three months ended March 31, 2025, none was derived from customers domiciled in foreign countries. Based on the information described above and in accordance with the applicable literature, management has concluded that we are organized and operated as one operating and reportable segment.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consolidated financial position or results of operations.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October 2023, the FASB issued Accounting Standards Update (“ASU”) 2023-06, Disclosure Improvements: Codification Amendments in Response to the SEC’s Disclosure Update and Simplification Initiative (“ASU 2023-06”). The amendments in this ASU are expected to clarify or improve disclosure and presentation requirements of a variety of ASC topics by aligning them with the SEC’s regulations. ASU 2023-06 will become effective for each amendment on the effective date of the SEC’s corresponding disclosure rule changes, which must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occur by June 30, 2027, or the amendments will not take effect. The Company does not anticipate that the adoption of ASU 2023-06 will have a material impact on its consolidated financial statement disclosures.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March 2024, the FASB issued ASU 2024-01 to clarify how an entity determines whether a profits interest or similar award is within the scope of ASC Topic 718 </w:t>
      </w:r>
      <w:r>
        <w:rPr>
          <w:rFonts w:ascii="Times New Roman" w:cs="Times New Roman" w:eastAsia="Times New Roman" w:hAnsi="Times New Roman"/>
          <w:sz w:val="17"/>
          <w:szCs w:val="17"/>
          <w:i w:val="1"/>
          <w:iCs w:val="1"/>
          <w:color w:val="auto"/>
        </w:rPr>
        <w:t xml:space="preserve">Compensation - Stock Compensation </w:t>
      </w:r>
      <w:r>
        <w:rPr>
          <w:rFonts w:ascii="Times New Roman" w:cs="Times New Roman" w:eastAsia="Times New Roman" w:hAnsi="Times New Roman"/>
          <w:sz w:val="17"/>
          <w:szCs w:val="17"/>
          <w:color w:val="auto"/>
        </w:rPr>
        <w:t>or not a share-based payment arrangement and therefore within the scope of other guidance. The amendments of ASU 2024-01 are effective for annual periods beginning after December 15, 2024, and interim periods within those annual periods. For all other entities, the amendments are effective for annual periods beginning after December 15, 2025, and interim periods within those annual periods. The Company is in the process of evaluating the potential impact ASU 2024-01 will have on its consolidated financial statement disclosures.</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Disaggregation of Income Statement Expenses (DISE)</w:t>
      </w:r>
      <w:r>
        <w:rPr>
          <w:rFonts w:ascii="Times New Roman" w:cs="Times New Roman" w:eastAsia="Times New Roman" w:hAnsi="Times New Roman"/>
          <w:sz w:val="17"/>
          <w:szCs w:val="17"/>
          <w:color w:val="auto"/>
        </w:rPr>
        <w:t xml:space="preserve"> (“ASU 2024-03”), that requires disclosures about specific types of expenses included in the expense captions presented on the face of the income statement as well as disclosures about selling expenses. Public entities must adopt the new guidance for fiscal years beginning after December 15, 2026, and interim reporting periods beginning after December 15, 2027. The amendments in ASU 2024-06 will be applied prospectively with the option for retrospective application and early adoption is permitted. The Company is in the process of evaluating the potential impact of ASU 2024-03 will have on its consolidated financial statements and related disclosures.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Standards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Topic 280 on an interim and annual basis. The Company adopted ASU 2023-07 during the year ended December 31, 2024. See Note 15 </w:t>
      </w:r>
      <w:r>
        <w:rPr>
          <w:rFonts w:ascii="Times New Roman" w:cs="Times New Roman" w:eastAsia="Times New Roman" w:hAnsi="Times New Roman"/>
          <w:sz w:val="17"/>
          <w:szCs w:val="17"/>
          <w:i w:val="1"/>
          <w:iCs w:val="1"/>
          <w:color w:val="auto"/>
        </w:rPr>
        <w:t>Segment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Geographic Information </w:t>
      </w:r>
      <w:r>
        <w:rPr>
          <w:rFonts w:ascii="Times New Roman" w:cs="Times New Roman" w:eastAsia="Times New Roman" w:hAnsi="Times New Roman"/>
          <w:sz w:val="17"/>
          <w:szCs w:val="17"/>
          <w:color w:val="auto"/>
        </w:rPr>
        <w:t>in the accompanying notes to the condensed consolidated interim financial statements for further detail.</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that addresses requests for improved income tax disclosures from investors that use the financial statements to make capital allocation decisions. Public entities must adopt the new guidance for fiscal years beginning after December 15, 2024. The amendments in ASU 2023-09 should be applied on a prospective basis. Retrospective application and early adoption is permitted. The Company adopted ASU 2023-09 on January 1, 2025, which did not have a material impact on its consolidated financial statement disclosures.</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March 2024, the FASB issued ASU 2024-02 which removes references to the Board’s concepts statements from the FASB Accounting Standards Codification. The ASU is part of the Board’s standing project to make “Codification updates for technical corrections such as conforming amendments, clarifications to guidance, simplifications to wording or the structure of guidance, and other minor improvements.” The amendments in this Update are effective for public business entities for fiscal years beginning after December 15, 2024. For all other entities, the amendments are effective for fiscal years beginning after December 15, 2025. The Company adopted ASU 2024-02 on January 1, 2025, which did not have a material impact on its consolidated financial statements and related disclosures.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3. Prepaids and Other Current Assets</w:t>
            </w: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Prepaids and other current assets consisted of the following:</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vMerge w:val="continue"/>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launch costs, current</w:t>
            </w:r>
          </w:p>
        </w:tc>
        <w:tc>
          <w:tcPr>
            <w:tcW w:w="122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Prepaid insurance and other assets</w:t>
            </w:r>
          </w:p>
        </w:tc>
        <w:tc>
          <w:tcPr>
            <w:tcW w:w="1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1,580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tcBorders>
              <w:bottom w:val="single" w:sz="8" w:color="auto"/>
            </w:tcBorders>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3,031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As of March 31, 2025 and 2024, the non-current portion of prepaid launch costs recorded in other non-current assets was approximately $1.6 million and $2.6 million, respectively.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4. Property, Machinery and Equipment</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Property, machinery and equipment, net consisted of the following:</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80" w:type="dxa"/>
            <w:vAlign w:val="bottom"/>
          </w:tcPr>
          <w:p>
            <w:pPr>
              <w:spacing w:after="0"/>
              <w:rPr>
                <w:sz w:val="24"/>
                <w:szCs w:val="24"/>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gross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Depreciation expense related to property, machinery and equipment was $0.3 million and $0.2 million for the three months ended March 31, 2025 and 2024, respectively. Depreciation expense is recorded within operating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Intangible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March 31,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7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5"/>
                <w:szCs w:val="15"/>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5"/>
                <w:szCs w:val="15"/>
                <w:color w:val="auto"/>
              </w:rPr>
            </w:pPr>
          </w:p>
        </w:tc>
        <w:tc>
          <w:tcPr>
            <w:tcW w:w="21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19"/>
        </w:trPr>
        <w:tc>
          <w:tcPr>
            <w:tcW w:w="3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5.0</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December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7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5"/>
                <w:szCs w:val="15"/>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5"/>
                <w:szCs w:val="15"/>
                <w:color w:val="auto"/>
              </w:rPr>
            </w:pPr>
          </w:p>
        </w:tc>
        <w:tc>
          <w:tcPr>
            <w:tcW w:w="21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19"/>
        </w:trPr>
        <w:tc>
          <w:tcPr>
            <w:tcW w:w="3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related to intangible assets was $0.01 million and $0.01 million for the three months ended March 31, 2025 and 2024, respectively.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7"/>
                <w:szCs w:val="17"/>
                <w:color w:val="auto"/>
              </w:rPr>
              <w:t>As of March 31, 2025, the future estimated amortization expense related to intangible assets is as follows: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86"/>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7"/>
        </w:trPr>
        <w:tc>
          <w:tcPr>
            <w:tcW w:w="9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Leases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leases office space under a non-cancellable operating lease. In January 2021, the Company commenced a lease in San Jose, California. The lease had an original expiration date in February 1, 2028.</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Due to an event of default under the lease occurring in October 2024, and the likelihood of the landlord executing its right to early terminate the lease as a result, the Company determined this represented a remeasurement event and</w:t>
      </w:r>
    </w:p>
    <w:p>
      <w:pPr>
        <w:sectPr>
          <w:pgSz w:w="11900" w:h="16838" w:orient="portrait"/>
          <w:cols w:equalWidth="0" w:num="1">
            <w:col w:w="11240"/>
          </w:cols>
          <w:pgMar w:left="320" w:top="329" w:right="3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6. Leases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remeasured the lease as of December 31, 2024. On February 26, 2025, the landlord executed its option to terminate the lease early on March 31, 2026.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operating lease expense were as follows: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5"/>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21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expense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lease expense</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expense consists of the Company’s proportionate share of operating expenses, property taxes, and insurance.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2025, the weighted-average remaining lease term was 1.0 year and the weighted-average discount rate was 149.0%.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As of March 31, 2025, the maturities of the Company’s operating lease liabilities were as follows:</w:t>
            </w: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payments</w:t>
            </w: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2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7. Accrued Liabilities</w:t>
            </w:r>
          </w:p>
        </w:tc>
        <w:tc>
          <w:tcPr>
            <w:tcW w:w="1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78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consisted of the following:</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vMerge w:val="continue"/>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and other professional services</w:t>
            </w:r>
          </w:p>
        </w:tc>
        <w:tc>
          <w:tcPr>
            <w:tcW w:w="122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expense</w:t>
            </w:r>
          </w:p>
        </w:tc>
        <w:tc>
          <w:tcPr>
            <w:tcW w:w="1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projects</w:t>
            </w: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1,152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tcBorders>
              <w:bottom w:val="single" w:sz="8" w:color="auto"/>
            </w:tcBorders>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2,887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Loan Payable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Loan</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13, 2024, the Company and J.J. Astor &amp; Co. entered into a loan agreement (the “December Loan”) pursuant to which the Company borrowed $2.0 million and paid debt issuance costs of $0.3 million. The December Loan had a maturity date of September 19, 2025, and was payable in 40 weekly installments of $68 thousand. The December Loan could be prepaid at any time on or before January 13, 2025, for $2.4 million and at any time thereafter through the maturity date for $2.7 million.</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December Loan are secured by a lien on substantially all of the assets of the Company. Upon event of default, amounts owing under the December Loan are convertible into shares of Class A common stock at a conversion price of $5.92 per share prior to May 5, 2025, and thereafter the conversion price will be reduced to 80% of the average of the four lowest volume weighted average closing prices of the Class A common stock during the 20 trading days immediately prior to conversion.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in connection with the December Loan, the Company agreed to issue J.J. Astor &amp; Co. warrants to purchase up to 28,572 shares of Class A common stock with an exercise price of $5.92 per share (the “J.J. Astor Warrants”). The J.J. Astor Warrants had a relative value of $0.1 million which was as accounted for as an additional debt issuance cost for the December Loan. The warrants are fully vested, and expire five years from the date of issuance. The Company determined the fair value of the warrants by using a Black-Scholes option pricing model, with the following assumptions: expected term of 5.01 years, stock price of $5.92, exercise price of $5.92, volatility of 100.00%, risk-free rate of 4.25%, and no forfeiture rate.</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December 18, 2024, the Company prepaid $2.4 million in order to extinguish the December Loan. The Company recognized a $0.8 million loss on extinguishment in the condensed consolidated statements of operations related to the December Loan.</w:t>
      </w:r>
    </w:p>
    <w:p>
      <w:pPr>
        <w:spacing w:after="0" w:line="87"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In connection with the December Loan, the Company agreed to issue J.J. Astor &amp; Co. a second warrant that is exercisable and issuable upon certain customary events of default to purchase up to 285,715 shares of Class A common stock with an exercise price per share equal to the closing price of the Class A common stock as traded in the applicable trading market on the date of the event of default, subject to adjustment (the “Default Warrants”). The Default Warrants were an embedded derivative that required bifurcation and recognition as a derivative liability (the “Default Warrant Derivative”). The Default Warrant Derivative instrument is recorded at fair value and marked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 each reporting period with changes in fair value being reflected in earnings. As of the issuance date, and immediately prior to extinguishment of the December Loan on December 18, 2024, the Default Warrant Derivative was valued at zero.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Promissory Notes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July 12, 2024, the Company and Space Infrastructure Ventures (“SIV”) entered into a secured convertible promissory note (the “July Convertible Note”) pursuant to which the Company borrowed $2.3 million as of September 26, 2024. The July Convertible Note bears an annual interest rate of 15%. Principal on the July Convertible Note is to be re-paid in four equal payments on a quarterly basis, commencing on December 1, 2024, and maturing on September 1, 2025, at which time all accrued interest is due.</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July Convertible Note are secured by a lien on substantially all of the assets of the Company. In lieu of cash payments of accrued interest, SIV, in its sole discretion, may elect to receive shares of Class A common stock at a conversion price of $7.41 per share. On the maturity date, subject to the satisfaction of applicable legal and regulatory conditions, all outstanding obligations under the July Convertible Note automatically convert into Class A common stock at the conversion price.</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July Convertible Note requires SIV’s consent to take certain actions, such as increasing compensation, purchasing assets, extending financing, making capital expenditures, repaying debts outside the ordinary course of business or investing in any entity or enterprise.</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July Convertible Note can be prepaid in full at any time, subject to a prepayment penalty fee of 10%. The July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Momentus. Contingent interest related to these events of default was an embedded derivative that required bifurcation and recognition as a derivative liability (“Default Interest Derivative”). The Default Interest Derivative instrument is recorded at fair value and marked-to-market each reporting period with changes in fair value being reflected in earnings. As of the issuance date, December 31, 2024, and March 31, 2025, the Default Interest Derivative was valued at zero.</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October 24, 2024, the Company and SIV entered into a secured convertible promissory note (the “October Convertible Note”) pursuant to which the Company borrowed $3.0 million in two tranches, consisting of (i) an initial loan in the principal amount of $2.0 million, and (ii) up to an additional $1.0 million in principal amount which could be borrowed from December 2, 2024 through February 14, 2025. Borrowings under the October Convertible Note bear interest at 15% per annum. The October Convertible Note has a maturity date of October 24,</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2025, at which time all principal and accrued interest is due. The Company paid debt issuance costs of $0.1 million in relation to borrowing $2.0 million under the first tranche of the October Convertible Note.</w:t>
      </w:r>
    </w:p>
    <w:p>
      <w:pPr>
        <w:spacing w:after="0" w:line="7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As a third-party debt issuance cost related to the October Convertible Note, the Company agreed to issue an investor warrants to purchase up to 357,143 shares of Class A common stock with an exercise price of $8.05 per share (the “Investor Warrants”). The Investor Warrants had a fair value of $2.0 million which was as accounted for as debt issuance costs allocated between two tranches of the October Convertible Note; $1.3 million was allocated to the first tranche and $0.7 million was allocated to the second tranche. The investor may not exercise the Investor Warrants prior to April 24, 2025, and the Investor Warrants will expire April 24, 2030. The Company determined the fair value of the warrants by using a Black-Scholes option pricing model, with the following assumptions: expected term of 5.50 years, stock price of $7.41, exercise price of $8.05, volatility of 97.50%, risk-free rate of 4.05%, and no forfeiture rate.</w:t>
      </w:r>
    </w:p>
    <w:p>
      <w:pPr>
        <w:spacing w:after="0" w:line="11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Amounts borrowed under the October Convertible Note are secured by a lien on substantially all of the assets of the Company. At any time after the date that is six months after the original issuance date of the October Convertible Note, SIV, in its sole discretion, may convert some or all of the outstanding obligations 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October Convertible Note into shares of Class A common stock at a conversion price of $7.41 per share.</w:t>
      </w:r>
    </w:p>
    <w:p>
      <w:pPr>
        <w:spacing w:after="0" w:line="153"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In addition, in connection with the first tranche of the October Convertible Note, the Company agreed to issue SIV warrants to purchase up to 269,950 shares of Class A common stock with an exercise price of $7.41 per share (the “October SIV Warrants”). The October SIV Warrants had a relative value of $0.8 million which was as accounted for as an additional debt issuance cost for the October Convertible Note. SIV may not exercise the October SIV Warrants prior to April 24, 2025, and the October SIV Warrants will expire April 24, 2030. The Company determined the fair value of the warrants by using a Black-Scholes option pricing model, with the following assumptions: expected term of 5.44 years, stock price of $8.82, exercise price of $7.41, volatility of 97.50%,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rate of 4.33%, and no forfeiture rate.</w:t>
      </w:r>
    </w:p>
    <w:p>
      <w:pPr>
        <w:spacing w:after="0" w:line="1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Neither the October Convertible Note nor the October SIV Warrants can be converted or exercised if it would cause the aggregate number of shares of Class A common stock beneficially owned by SIV to exceed 9.99% of the number of shares of Class A common stock outstanding immediately after giving effect to the conversion or exercise, as applicable. Conversion of the October Convertible Note and exercise of the October SIV Warrants is also subject to compliance with applicable Nasdaq rules, and if shareholder approval is required the Company will use commercially reasonable efforts to obtain such approval.</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October Convertible Note requires SIV’s consent to take certain actions, such as purchasing assets outside the ordinary course of business, extending financing, making capital expenditures in excess of $0.1 million, repaying debts outside the ordinary course of business or investing in any entity or enterprise.</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October Convertible Note can be prepaid in full at any time, subject to a prepayment fee of 10%. The October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the Company. Contingent interest related to these events of default was an embedded derivative that required bifurcation and recognition as a derivative liability (“Default Interest Derivative”). The Default Interest Derivative instrument is recorded at fair value and marked-to-market each reporting period with changes in fair value being reflected in earnings. As of the issuance date, December 31, 2024, and March 31, 2025, the Default Interest Derivative was valued at zero.</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November 2024, the Company amended the July Convertible Note and the October Convertible Note (the “November Amendment”). The November Amendment, among other things, accelerated the borrowing date for the second tranche of the October Convertible Note, for which the Company immediately borrowed the $1.0 million available under the second tranche, and provided that owed under both the July Convertible Note and the October Convertible Note may be converted to Class A common stock at any time. The November Amendment was accounted for as an extinguishment of both the July Convertible Note and the October Convertible Note. The Company recognized a $3.2 million loss on extinguishment in the condensed consolidated statements of operations related to the November Amendment, resulting from the difference between the carrying value and reacquisition price of the July Convertible Note and the first tranche of the October Convertible Note. The Company recognized an aggregate debt premium of $1.2 million related to the July Convertible Note and the first tranche of the October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Convertible Note as a result. Furthermore, the Company recognized an additional $0.3 million loss on extinguishment in the condensed consolidated statements of operations for a debt premium resulting from the difference between the proceeds received and fair value of the second tranche of the October Convertible Note.</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in connection with the November Amendment, the Company agreed to issue SIV warrants to purchase up to 193,273 shares of Class A common stock with an exercise price of $7.41 per share (the “December SIV Warrants”). The December SIV Warrants had a relative value of $0.5 million which was as accounted for as an additional debt issuance cost for the second tranche of the October Convertible Note. SIV may not exercise the December SIV Warrants prior to April 24, 2025, and the December SIV Warrants will expire April 24, 2030. The Company determined the fair value of the warrants by using a Black-Scholes option pricing model, with the following assumptions: expected term of 5.38 years, stock price of $7.84, exercise price of $7.41, volatility of 97.50%, risk-free rate of 4.08%, and no forfeiture rate.</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capitalized cash debt issuance costs of $0.1 million in relation to the November Amendment. The debt issuance costs, including $0.7 million allocated from the Investor Warrants and $0.5 million related to the December SIV Warrants, and $0.3 million debt premium for the second tranche of the October Convertible Note are being amortized over the term of the October Convertible Note using an effective interest rate of 348%. The debt premium of $0.7 million related to the first tranche of the October Convertible Note is being amortized over the term of the October Convertible Note using an effective interest rate of (18)%.</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February 7, 2025, in Company converted $0.2 million of principal and $0.1 million of accrued interest, including unamortized premium of $0.05 million, of the October Convertible Note into 40,000 shares of Class A common stock at a conversion price of $7.41 per share. The conversion was accounted for under ASC 470-20, with no gain or loss recognized.</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March 3, 2025, the Board of Directors of the Company approved a reduction in the conversion price for the July Convertible Note from $7.41 per share to $2.12 per share during the period beginning on March 3, 2025 and continuing until there are no further obligations outstanding under the July Convertible Note. The reduction in the conversion price for the July Convertible Note was accounted for as an extinguishment. The Company recognized a $0.1 million gain on extinguishment in the condensed consolidated statements of operations related to this extinguishment, resulting from the difference between the carrying value and reacquisition price of the July Convertible Note. The Company recognized a debt premium of $0.2 million related to the July Convertible Note, which is being amortized over the term of the July Convertible Note using an effective interest rate of (25)%.</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Furthermore, on March 3, 2025, in Company converted $0.3 million of principal and $0.03 million of accrued interest of the July Convertible Note into 150,000 shares of Class A common stock at a conversion price of $2.12 per share. The conversion was accounted for under ASC 470-20, with no gain or loss recognized.</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March 31, 2025, the July Convertible Note has a carrying amount of $1.3 million, consisting of principal of $1.2 million and unamortized premium of $0.1 million, and the October Convertible Note has a carrying value of $2.4 million, consisting of principal of $2.8 million and net unamortized discount of $0.4 million. The total loan payable consisted of convertible promissory note principal of $4.0 million and accrued interest of $0.1 million. The convertible notes have future scheduled maturities of $4.0 million for 2025.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February 22, 2021, the Company entered into a Term Loan and Security Agreement (the “Term Loan”) with Western Technology Investment which provided the Company with up to $40.0 million in borrowing capacity at an annual interest rate of 12.0%. The Company borrowed $25.0 million of the Term Loan at inception of the agreement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allocated the proceeds from the Term Loan agreement to the note and warrants issued in conjunction with the Term Loan comprising the financing agreement based on the relative fair value of the individual securities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62.6% of its initial face value, and because the discount is amortized over the period from issuance to maturity, the calculated effective interest rate up until January 2022 was 126.0%.</w:t>
      </w:r>
    </w:p>
    <w:p>
      <w:pPr>
        <w:spacing w:after="0" w:line="9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color w:val="auto"/>
        </w:rPr>
        <w:t>As a result of the exercised extended repayment schedule, the unamortized discount and issuance costs were recast over the updated term of the loan and resulted in a recalculated effective interest rate of 28.2%. Interest expense amortization related to the Term Loan was zero and $0.05 million for the three months ended March 31, 2025 and 2024,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January 2024, the Company repaid the remaining principal balance of the Term Loan.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Stockholders' Equity (Deficit)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and Preferred Stock</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Effective December 12, 2024, the Company’s stockholders approved a 1-for-14 reverse stock split of the Company’s Class A common stock. As a result of the reverse stock split, every 14 shares of Class A common stock issued and outstanding on December 12, 2024, were automatically combined into one share of Class A common stock. Any fractional shares resulting from the reverse stock split were rounded up to the next nearest whole share of Class A common stock.</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reverse stock split implemented in December 2024, the Company previously effected a 1-for-50 reverse stock split of the Company’s Class A common stock on August 22, 2023, whereby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To effectuate the December 2024 1-for-14 reverse stock split, the Company filed a certificate of amendment to the Second Amended and Restated Certificate of Incorporation. As a result of the reverse stock split, there was no change to par value and the total number of authorized shares of Class A common stock.</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the terms of the Second Amended and Restated Certificate of Incorporation, as amended, the Company is authorized and has available a total of 270,000,000 shares of stock, consisting of (i) 250,000,000 shares of Class A common stock, par value $0.00001 per share, (ii) — shares of Class B common stock, par value $0.00001 per share, and (iii) 20,000,000 shares of preferred stock, par value $0.00001 per share.</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Each share of preferred stock is convertible, at the option of the holder thereof, at any time and from time to time, and without the payment of additional consideration by the holder thereof, into ten (10) shares of Class A common stock.</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Also on the effective date of the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are exercisable or convertible by 14 and multiplying the exercise or conversion price thereof by 14, all in accordance with the terms of the plans, agreements or arrangements governing such options, warrants and other convertible securities and subject to rounding to the nearest whole share. Such proportional adjustments were also made to the number of shares and restricted stock units issued and issuable under the Company’s equity compensation plan.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December 2024 1-for-14 reverse stock split.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March 2025 Warrant Inducement Agreement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March 20, 2025, the Company entered into a warrant inducement agreement with an investor who was holding the Modified Warrants (see discussion of the February 2025 Offering below). Pursuant to the warrant inducement agreement, on March 21, 2025, the investor agreed to exercise for cash 1,071,429 of the Modified Warrants (the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“Induced Warrants”). The investor paid gross proceeds of $2.1 million, before deducting offering fees and other expenses of $0.2 million payable by the Company, representing the exercise price of $1.93 per share for the 1,071,429 shares of Class A common stock issuable upon the exercise of the Induced Warrants. Prior to entering into the warrant inducement agreement, the Induced Warrants would have been immediately exercisable at an exercise price of $3.80 per share. Net proceeds of $1.9 million from the exercise of the Induced Warrants was recorded to additional paid-in capital.</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agreed to issue new warrants to purchase up to 2,142,858 shares of Class A common stock, with an exercise price of $2.00 (the “March 2025 Warrants”), in consideration of the investor’s agreement to exercise the Induced Warrants. The Company agreed in the to file a registration statement on Form S-1 within 30 days of March 20, 2025, providing for the resale of the shares issuable by the March 2025 Warrants. The March 2025 Warrants will be exercisable immediately after issuance and will expire five years from the date of issuance. The March 2025 Warrants meet the requirements for equity classification.</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may not effect the exercise of certain March 2025 Warrants, and the investor will not be entitled to exercise any portion of any such March 2025 Warrant, which, upon giving effect to such exercise, would cause the aggregate number of shares of Class A common stock beneficially owned by the Holder of such March 2025 Warrant (together with its affiliates) to exceed 4.99% of the number of shares of Class A common stock outstanding immediately after giving effect to the exercise, as such percentage ownership is determined in accordance with the terms of such March 2025 Warrant.</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March 24, 2025, only 331,000 shares of Class A common stock were delivered to the investor due to beneficial ownership limitations on the exercise of the Induced Warrants. An additional 115,429 shares were subsequently delivered to the investor during April 2025. The remaining 625,000 shares have not yet been delivered to the investor, in accordance with the beneficial ownership limitations in the respective warrant agreements.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February 2025 Public Offering</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February 11, 2025, the Company consummated a “best efforts” public offering (the “February 2025 Offering”) of an aggregate of (i) 300,000 shares of Class A common stock at a purchase price of $3.925 per share, (ii) prefunded warrants (the “February 2025 Pre-Funded Warrants”) to purchase 973,886 shares of Class A common stock, and (iii) warrants to purchase 1,273,886 shares of Class A common stock (the “February 2025 Warrants”).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February 2025 Pre-Funded Warrant was equal to the price per share of Class A common stock being sold in the February 2025 Offering minus $0.00001. The February 2025 Pre-Funded Warrants have an exercise price of $0.00001 per share and are exercisable any time after the issuance, and will not expire until exercised. The February 2025 Warrants have an exercise price per share of Class A common stock equal to $3.80 per share and will expire five years from the date of issuance. The February 2025 Offering closed on February 11, 2025.</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February 2025 Offering of approximately $5.0 million, before deducting estimated issuance costs of $0.6 million. Net proceeds of $4.4 million from the February 2025 Offering was recorded to additional paid-in-capital. Both the February 2025 Pre-Funded Warrants and the February 2025 Warrants meet the requirements for equity classification.</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February 2025 Offering, the Company entered into a securities purchase agreement with a single institutional investor, pursuant to which the Company agreed not to effect or enter into an agreement to effect any issuance by the Company or any of its subsidiaries of shares of common stock or common stock equivalents for a period of thirty (30) days and will not effect or enter into an agreement to effect any issuance by the Company or any of its subsidiaries of shares of common stock or common stock equivalents (or a combination of units thereof) involving a variable rate transaction for a period of six (6) months after the February 11, 2025, subject to certain exceptions.</w:t>
      </w:r>
    </w:p>
    <w:p>
      <w:pPr>
        <w:spacing w:after="0" w:line="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Also in connection with the February 2025 Offering, the Company agreed to amend the September 2024 Class A Warrants, September 2024 Class B Warrants (see discussion of the September 2024 Offering below), December Warrants (see discussion of the December 2024 Offering below), and Investor Warrants (collectively, the “Modified Warrants”) to purchase up to an aggregate of 714,286, 357,143, 800,000, and 357,143 shares of Class A common stock, respectively. Prior to amendment, the September 2024 Class A Warrants, September 2024 Class B Warrants,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and Inventor Warrants had an exercise price of $8.05 per share and the December Warrants had an exercise price of $6.08 per share. The September 2024 Class A Warrants, September 2024 Class B Warrants, December Warrants, and Investor Warrants had termination dates of March 17, 2030, March 17, 2026, December 18, 2029, and April 24, 2030, respectively. Upon amendment, each of the Modified Warrants will have a reduced exercise price of $3.80 per share and a termination date of February 11, 2030.</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Additionally, in connection with the February 2025 Offering, the Company entered into a Placement Agency Agreement on February 11, 2025, with the agency which assisted with the transaction. The Company paid a cash placement agent commission equal to 7.0% of gross proceeds from the February 2025 Offering and issued warrants (the “February 2025 Placement Agent Warrants”) to purchase 63,694 shares of Class A common stock at an exercise price of $4.3175, exercisable immediately upon issuance. The February 2025 Placement Agent Warrants will expire five years from the date of issuance.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2024 Securities Purchase Agreement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17, 2024, the Company entered into a Securities Purchase Agreement with an investor, pursuant to which the Company issued and sold to the investor in a registered direct offering (the “December 2024 Offering”) (i) 230,000 shares of Class A common stock at a purchase price of $6.20 per share, (ii) pre-funded warrants (the “December Pre-Funded Warrants”) to purchase 570,000 shares of Class A common stock, and (iii) warrants to purchase 800,000 shares of Class A common stock (the “December Warrants”).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December Pre-Funded Warrant was equal to the price per share of Class A common stock being sold in the December 2024 Offering minus $0.00001. The December Pre-Funded Warrants have an exercise price of $0.00001 per share and are exercisable any time after the issuance, and will not expire until exercised. The December Warrants have an exercise price per share of Class A common stock equal to $6.08 per share and will expire five years from the date of issuance. The December 2024 Offering closed on December 18, 2024.</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December 2024 Offering of approximately $5.0 million, before deducting estimated issuance costs of $0.5 million. Net proceeds of $4.4 million from the December 2024 Offering was recorded to additional paid-in-capital. Both the December Pre-Funded Warrants and the December Warrants meet the requirements for equity classification.</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December 2024 Offering, the Company entered into a Placement Agency Agreement on December 17, 2024, with the agency which assisted with the transaction. The Company paid a cash placement agent commission equal to 7.0% of gross proceeds from the December 2024 Offering and issued warrants (the “December Placement Agent Warrants”) to purchase 40,000 shares of Class A common stock at an exercise price of $6.82, exercisable immediately upon issuance. The December Placement Agent Warrants will expire 5 years from the date of issuance. The $0.3 million fair value of the December Placement Agent Warrants was accounted for as an additional equity issuance cost for the December 2024 Offering, which was recorded to additional paid-in-capital.</w:t>
      </w:r>
    </w:p>
    <w:p>
      <w:pPr>
        <w:spacing w:after="0" w:line="97" w:lineRule="exact"/>
        <w:rPr>
          <w:sz w:val="20"/>
          <w:szCs w:val="20"/>
          <w:color w:val="auto"/>
        </w:rPr>
      </w:pPr>
    </w:p>
    <w:p>
      <w:pPr>
        <w:ind w:right="240"/>
        <w:spacing w:after="0" w:line="427" w:lineRule="auto"/>
        <w:rPr>
          <w:sz w:val="20"/>
          <w:szCs w:val="20"/>
          <w:color w:val="auto"/>
        </w:rPr>
      </w:pPr>
      <w:r>
        <w:rPr>
          <w:rFonts w:ascii="Times New Roman" w:cs="Times New Roman" w:eastAsia="Times New Roman" w:hAnsi="Times New Roman"/>
          <w:sz w:val="17"/>
          <w:szCs w:val="17"/>
          <w:color w:val="auto"/>
        </w:rPr>
        <w:t xml:space="preserve">In December 2024, the Company issued 367,000 shares of Class A common stock as a result of the exercise of the some of the December Pre-Funded Warrants. </w:t>
      </w:r>
      <w:r>
        <w:rPr>
          <w:rFonts w:ascii="Times New Roman" w:cs="Times New Roman" w:eastAsia="Times New Roman" w:hAnsi="Times New Roman"/>
          <w:sz w:val="17"/>
          <w:szCs w:val="17"/>
          <w:b w:val="1"/>
          <w:bCs w:val="1"/>
          <w:i w:val="1"/>
          <w:iCs w:val="1"/>
          <w:color w:val="auto"/>
        </w:rPr>
        <w:t>September 2024 Securities Purchase Agreement</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15, 2024, the Company entered into a Securities Purchase Agreement with an investor, pursuant to which the Company issued and sold to an investor in a private placement transaction (the “September 2024 Offering”), (i) pre-funded warrants (the “September 2024 Pre-Funded Warrants”) to purchase 357,143 shares of the Company’s Class A common stock at a purchase price of $7.70 per share, (ii) Class A warrants to purchase 714,286 shares of Class A common stock (the “September 2024 Class A Warrants”), and (iii) Class B warrants to purchase 357,143 shares of Class A common stock (the “September 2024 Class B Warrants” and, collectively with the September 2024 Class A Warrants, the “September 2024 Warrants”).</w:t>
      </w:r>
    </w:p>
    <w:p>
      <w:pPr>
        <w:spacing w:after="0" w:line="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September 2024 Pre-Funded Warrants have an exercise price of $0.00001 per share and are exercisable any time after issuance, and will not expire until exercised. The September 2024 Warrants have an exercise price per share of Class A common stock equal to $8.05 per share. The September 2024 Class A Warrants will expire on March 17, 2030, and the September 2024 Class B Warrants will expire on March 17, 2026. The exercise price and the number of shares of Class A common stock issuable upon exercise of the September 2024 Warrants is subject to</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appropriate adjustments in the event of certain stock dividends and distributions, stock splits, stock combinations, reclassifications or similar events affecting the Class A common stock. The investor may not exercise the September 2024 Warrants until 6 months after the original issuance date of the September 2024 Warrants. The September 2024 Offering closed on September 17, 2024.</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September 2024 Offering of approximately $2.8 million, before deducting estimated placement agent commissions and expenses of $0.3 million. Net proceeds of $2.4 million from the September 2024 Offering was recorded to additional paid-in-capital. Both the September 2024 Pre-Funded Warrants and the September 2024 Warrants meet the requirements for equity classification.</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connection with the September 2024 Offering, the Company entered into a Placement Agency Agreement on September 15, 2024, with the agency which assisted with the transaction. The Company paid a cash placement agent commission equal to 7.0% of gross proceeds from the September 2024 Offering and issued warrants (the “September 2024 Placement Agent Warrants”) to purchase 17,857 shares of Class A common stock and 17,858 shares of Class B common stock at an exercise price of $8.8550, exercisable commencing on or after March 14, 2025. One half of the September 2024 Placement Agent Warrants have a term of 18 months from the date of issuance and the other half have a term of five years from the date of issuance. The $0.1 million fair value of the September 2024 Placement Agent Warrants was accounted for as an additional equity issuance cost for the September 2024 Offering, which was recorded to additional paid-in-capital.</w:t>
      </w:r>
    </w:p>
    <w:p>
      <w:pPr>
        <w:spacing w:after="0" w:line="3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September 30, 2024, the Company issued 357,143 shares of Class A common stock as a result of the exercise of the September 2024 Pre-Funded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Cashless Exercise of Warrants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August 2024, the Company issued 637,238 shares of Class A common stock in connection with the cashless exercise of certain outstanding warrants (see discussion of each type of warrants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March 2024 Securities Purchase Agreement</w:t>
      </w:r>
    </w:p>
    <w:p>
      <w:pPr>
        <w:spacing w:after="0" w:line="146"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7"/>
          <w:szCs w:val="17"/>
          <w:color w:val="auto"/>
        </w:rPr>
        <w:t>On March 4, 2024, the Company entered into a Securities Purchase Agreement, with an investor, pursuant to which the Company issued and sold to the investor in a registered direct offering (the “March Offering”), (i) an aggregate of 94,286 shares of the Company’s Class A common stock at a purchase price of $12.11 per share, (ii)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(the “March Pre-Funded Warrants”) to purchase 236,020 shares of the Company’s Class A common stock, and (iii) warrants to purchase 330,306 shares of Class A common stock (the “March Warrants”).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March Pre-Funded Warrant was equal to the price per share of Class A common stock being sold in the March Offering minus $0.00001. The March Pre-Funded Warrants have an exercise price of $0.00001 per share and are exercisable any time after the issuance, and will not expire until exercised. The March Warrants have an exercise price per share of Class A common stock equal to $10.36 per share and will expire five years from the date of issuance. The March Offering closed on March 7, 2024.</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March Offering of approximately $4.0 million, before deducting estimated issuance costs of $0.5 million. Net proceeds of $3.5 million from the March Offering was recorded to additional paid-in-capital. Both the March Pre-Funded Warrants and the March Warrants meet the requirements for equity classification.</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March Offering, the Company also agreed to amend the January Warrants to purchase up to an aggregate of 263,358 shares of Class A common stock at an exercise price of $13.44 per share (the “January Modified Warrants”). Prior to amendment, the January Modified Warrants had a termination date of January 17,</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2029. Upon shareholder approval of the amendment, the January Modified Warrants had a reduced exercise price of $10.36 per share and a termination date of June 28, 2029.</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March Offering, during the year ended December 31, 2024, the Company issued 236,020 shares of Class A common stock as a result of all of the March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January 2024 Securities Purchase Agreement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January 12, 2024, the Company entered into a Securities Purchase Agreement, with an investor, pursuant to which the Company issued and sold to the investor in a registered direct offering (the “January Offering”), (i) an aggregate of 64,286 shares of the Company’s Class A common stock at a purchase price of $15.19 per share, (ii) pre-funded warrants (the “January Pre-Funded Warrants”) to purchase 199,072 shares of the Company’s Class A common stock, and (iii) warrants to purchase 263,358 shares of Class A common stock (the “January Warrants”).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January Pre-Funded Warrant was equal to the price per share of Class A common stock being sold in the January Offering minus $0.00001. The January Pre-Funded Warrants have an exercise price of $0.00001 per share and are exercisable any time after the issuance, and will not expire until exercised. The January Warrants have an exercise price per share of Class A common stock equal to $13.44 per share and will expire five years from the date of issuance. The January Offering closed on January 17, 2024.</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January Offering of approximately $4.0 million, before deducting estimated issuance costs of $0.4 million. Net proceeds of $3.6 million from the January Offering was recorded to additional paid-in-capital. Both the January Pre-Funded Warrants and the January Warrants meet the requirements for equity classification.</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January Offering, the Company also agreed, subject to certain conditions and procedures, to amend each of the warrants issued in November 2023 to purchase up to an aggregate of 414,896 shares of Class A common stock at an exercise price of $54.04 per share (the “November Modified Warrants”). Prior to amendment, the November Modified Warrants had a termination date of November 9, 2028. The November Modified Warrants were amended on May 9, 2024, to have a reduced exercise price of $7.62 per share and a termination date of May 9, 2029.</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January Offering, during the year ended December 31, 2024, the Company issued 199,072 shares of Class A common stock as a result of all of the January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and Private Warrants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March 31, 2025 and 2024, the Company had Public and Private Warrants outstanding to purchase 12,322 shares and 16,104 shares of Class A common stock, respectively, related to the Business Combination. The warrants entitle the registered holder to purchase stock at a price of $8,050 per share, subject to adjustment, at any time commencing on August 12, 2021. The Public and Private Warrants expire on the fifth anniversary of the Business Combination, or earlier upon redemption or liquidation.</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Private Warrants assumed in connection with the Business Combination are accounted for as a derivative liability and a decrease of the estimated fair value of the warrants of $0.6 million for the year ended December 31, 2023, was recorded in other income (expense) within the condensed consolidated statements of operations. The Public Warrants and the legacy outstanding Private Warrants were recorded as equity within the condensed consolidated statements of stockholders’ equity.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Sponsor Earnout Shares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 result of the Business Combination, the Company modified the terms of 2,054 shares of Class A common stock held by SRAC’s sponsor (the “Sponsor Earnout Shares”), such that all such shares will be forfeited if the share price of Class A common stock does not reach a volume-weighted average closing sale price of $8,750, two thirds of such shares will be forfeited if the share price of Class A common stock does not reach a volume-weighted average closing sale price of $10,500, and one third of such shares will be forfeited if the share price of Class A common stock does not reach a volume-weighted average closing sale price of $12,250, in each case, prior to the fifth anniversary of the Business Combination. Certain events which change the number of outstanding shares of Class 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Stock-based Compensation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Stock Plans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February and March 2020, the Board of Directors of Momentus Inc.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Equity Incentive Plan</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2021, the Company adopted the 2021 Equity Incentive Plan (the “2021 Plan”), under which 8,547 shares of Class A common stock were initially reserved for issuance. The 2021 Plan allows for the issuance of incentive stock options,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(i) three percent (3.0%) of the outstanding shares on the last day of the immediately preceding fiscal year or</w:t>
      </w:r>
    </w:p>
    <w:p>
      <w:pPr>
        <w:spacing w:after="0" w:line="3" w:lineRule="exact"/>
        <w:rPr>
          <w:sz w:val="20"/>
          <w:szCs w:val="20"/>
          <w:color w:val="auto"/>
        </w:rPr>
      </w:pPr>
    </w:p>
    <w:p>
      <w:pPr>
        <w:ind w:firstLine="3"/>
        <w:spacing w:after="0" w:line="266" w:lineRule="auto"/>
        <w:tabs>
          <w:tab w:leader="none" w:pos="26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number of Shares determined by the Board of Directors. As of March 31, 2025, there were 24,459 shares remaining available for grant. Grant activity under the 2021 Plan is described below.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Employee Stock Purchase Plan</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Closing, the Company adopted the Employee Stock Purchase Plan (the “2021 ESPP Plan”), under which 2,280 shares of Class A common stock were initially reserved for issuance. The Plan provides a means by which eligible employees of the Company may be given an opportunity to purchase shares of Class A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(i) half a percent (0.5%) of the outstanding shares on the last day of the calendar month prior to the date of such automatic increase or (ii) 2,280 shares. Participation in the 2021 ESPP Plan has been suspended by the Board of Directors. The 2021 ESPP Plan became effective immediately following the Closing. The Company has an outstanding liability pertaining to the ESPP of $4 thousand as of March 31, 2025, included in accrued expenses, for employee contributions to the 2021 ESPP Plan, which will be refunded to participants due to the suspension of the plan. As of March 31, 2025, there were 5,960 shares remaining available for issuance.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Inducement Equity Plan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February 2022, the Company adopted the 2022 Inducement Equity Plan (the “2022 Plan”), under which 5,715 shares of Class A common stock were initially reserved for issuance. The 2022 Plan allows for the issuance of NSOs, RSAs, SARs, RSUs, and stock bonus awards, subject to certain eligibility requirements. The Board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9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Directors determines the period over which grants become exercisable and grants generally vest over a four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w:t>
      </w:r>
    </w:p>
    <w:p>
      <w:pPr>
        <w:spacing w:after="0" w:line="18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March 22, 2023, the Company adopted the first amendment to the 2022 Plan to increase the number of shares of Class A common stock available for issuance under the 2022 Plan from 5,715 shares of Class A common stock to 10,000 shares of Class A common stock. All other terms of the 2022 Plan remained the same.</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May 8, 2023, the Company adopted the second amendment to the 2022 Plan to increase the number of shares of Class A common stock available for issuance under the 2022 Plan from 10,000 shares of Class A common stock to 11,429 shares of Class A common stock. All other terms of the 2022 Plan remained the same.</w:t>
      </w:r>
    </w:p>
    <w:p>
      <w:pPr>
        <w:spacing w:after="0" w:line="8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of March 31, 2025, only RSU grants have been made under the 2022 Plan and there were 8,355 shares remaining available for issuance. Grant activity under the 2022 Plan is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Options Activity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summary of options activity, under the 2018 Plan and the 2021 Plans, for the three months ended March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20" w:type="dxa"/>
            <w:vAlign w:val="bottom"/>
          </w:tcPr>
          <w:p>
            <w:pPr>
              <w:spacing w:after="0"/>
              <w:rPr>
                <w:sz w:val="17"/>
                <w:szCs w:val="17"/>
                <w:color w:val="auto"/>
              </w:rPr>
            </w:pPr>
          </w:p>
        </w:tc>
        <w:tc>
          <w:tcPr>
            <w:tcW w:w="156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68"/>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share-based data)</w:t>
            </w:r>
          </w:p>
        </w:tc>
        <w:tc>
          <w:tcPr>
            <w:tcW w:w="168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20"/>
              <w:spacing w:after="0" w:line="167" w:lineRule="exact"/>
              <w:rPr>
                <w:sz w:val="20"/>
                <w:szCs w:val="20"/>
                <w:color w:val="auto"/>
              </w:rPr>
            </w:pPr>
            <w:r>
              <w:rPr>
                <w:rFonts w:ascii="Times New Roman" w:cs="Times New Roman" w:eastAsia="Times New Roman" w:hAnsi="Times New Roman"/>
                <w:sz w:val="17"/>
                <w:szCs w:val="17"/>
                <w:b w:val="1"/>
                <w:bCs w:val="1"/>
                <w:color w:val="auto"/>
              </w:rPr>
              <w:t>Exercise Price Per</w:t>
            </w:r>
          </w:p>
        </w:tc>
        <w:tc>
          <w:tcPr>
            <w:tcW w:w="194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Remaining Contractual</w:t>
            </w: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80" w:type="dxa"/>
            <w:vAlign w:val="bottom"/>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Term (In Years)</w:t>
            </w:r>
          </w:p>
        </w:tc>
        <w:tc>
          <w:tcPr>
            <w:tcW w:w="120" w:type="dxa"/>
            <w:vAlign w:val="bottom"/>
          </w:tcPr>
          <w:p>
            <w:pPr>
              <w:spacing w:after="0"/>
              <w:rPr>
                <w:sz w:val="20"/>
                <w:szCs w:val="20"/>
                <w:color w:val="auto"/>
              </w:rPr>
            </w:pPr>
          </w:p>
        </w:tc>
        <w:tc>
          <w:tcPr>
            <w:tcW w:w="156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1,139.61</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Forfeitures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1,778.00</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1,138.23</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Exercisable as of March 31, 2025</w:t>
            </w:r>
          </w:p>
        </w:tc>
        <w:tc>
          <w:tcPr>
            <w:tcW w:w="16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1,385</w:t>
            </w:r>
          </w:p>
        </w:tc>
        <w:tc>
          <w:tcPr>
            <w:tcW w:w="2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1,138.23</w:t>
            </w:r>
          </w:p>
        </w:tc>
        <w:tc>
          <w:tcPr>
            <w:tcW w:w="80" w:type="dxa"/>
            <w:vAlign w:val="bottom"/>
          </w:tcPr>
          <w:p>
            <w:pPr>
              <w:spacing w:after="0"/>
              <w:rPr>
                <w:sz w:val="16"/>
                <w:szCs w:val="16"/>
                <w:color w:val="auto"/>
              </w:rPr>
            </w:pPr>
          </w:p>
        </w:tc>
        <w:tc>
          <w:tcPr>
            <w:tcW w:w="186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ind w:left="13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as of March 31,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1,138.23</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and Restricted Stock Award Activity</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summary of RSU and RSA activity, under the Initial Plan, the 2018 Plan, the 2021 Plan, and the 2022 Plan, for the three months ended March 31, 2025. RSAs were an immaterial portion of activity for the period: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60" w:type="dxa"/>
            <w:vAlign w:val="bottom"/>
          </w:tcPr>
          <w:p>
            <w:pPr>
              <w:spacing w:after="0"/>
              <w:rPr>
                <w:sz w:val="16"/>
                <w:szCs w:val="16"/>
                <w:color w:val="auto"/>
              </w:rPr>
            </w:pP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Weighted Average Grant Date</w:t>
            </w:r>
          </w:p>
        </w:tc>
        <w:tc>
          <w:tcPr>
            <w:tcW w:w="0" w:type="dxa"/>
            <w:vAlign w:val="bottom"/>
          </w:tcPr>
          <w:p>
            <w:pPr>
              <w:spacing w:after="0"/>
              <w:rPr>
                <w:sz w:val="1"/>
                <w:szCs w:val="1"/>
                <w:color w:val="auto"/>
              </w:rPr>
            </w:pPr>
          </w:p>
        </w:tc>
      </w:tr>
      <w:tr>
        <w:trPr>
          <w:trHeight w:val="227"/>
        </w:trPr>
        <w:tc>
          <w:tcPr>
            <w:tcW w:w="69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Fair Value (i.e. Share Price)</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1,388.75</w:t>
            </w:r>
          </w:p>
        </w:tc>
        <w:tc>
          <w:tcPr>
            <w:tcW w:w="0" w:type="dxa"/>
            <w:vAlign w:val="bottom"/>
          </w:tcPr>
          <w:p>
            <w:pPr>
              <w:spacing w:after="0"/>
              <w:rPr>
                <w:sz w:val="1"/>
                <w:szCs w:val="1"/>
                <w:color w:val="auto"/>
              </w:rPr>
            </w:pPr>
          </w:p>
        </w:tc>
      </w:tr>
      <w:tr>
        <w:trPr>
          <w:trHeight w:val="219"/>
        </w:trPr>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w:t>
            </w:r>
          </w:p>
        </w:tc>
        <w:tc>
          <w:tcPr>
            <w:tcW w:w="1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1,005.80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w:t>
            </w:r>
          </w:p>
        </w:tc>
        <w:tc>
          <w:tcPr>
            <w:tcW w:w="1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1,491.70</w:t>
            </w:r>
          </w:p>
        </w:tc>
        <w:tc>
          <w:tcPr>
            <w:tcW w:w="0" w:type="dxa"/>
            <w:vAlign w:val="bottom"/>
          </w:tcPr>
          <w:p>
            <w:pPr>
              <w:spacing w:after="0"/>
              <w:rPr>
                <w:sz w:val="1"/>
                <w:szCs w:val="1"/>
                <w:color w:val="auto"/>
              </w:rPr>
            </w:pPr>
          </w:p>
        </w:tc>
      </w:tr>
      <w:tr>
        <w:trPr>
          <w:trHeight w:val="212"/>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2025</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1,620.55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of March 31, 2025, there was a total of $2.1 million in unrecognized compensation cost related to unvested RSUs, which is expected to be recognized over a weighted-average period of 0.8 years. Outstanding unvested and expected to vest RSUs had an intrinsic value of $0.01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expense type: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0" w:type="dxa"/>
            <w:vAlign w:val="bottom"/>
          </w:tcPr>
          <w:p>
            <w:pPr>
              <w:spacing w:after="0"/>
              <w:rPr>
                <w:sz w:val="17"/>
                <w:szCs w:val="17"/>
                <w:color w:val="auto"/>
              </w:rPr>
            </w:pPr>
          </w:p>
        </w:tc>
      </w:tr>
      <w:tr>
        <w:trPr>
          <w:trHeight w:val="227"/>
        </w:trPr>
        <w:tc>
          <w:tcPr>
            <w:tcW w:w="7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200" w:type="dxa"/>
            <w:vAlign w:val="bottom"/>
            <w:tcBorders>
              <w:bottom w:val="single" w:sz="8" w:color="auto"/>
            </w:tcBorders>
          </w:tcPr>
          <w:p>
            <w:pPr>
              <w:spacing w:after="0"/>
              <w:rPr>
                <w:sz w:val="19"/>
                <w:szCs w:val="19"/>
                <w:color w:val="auto"/>
              </w:rPr>
            </w:pPr>
          </w:p>
        </w:tc>
      </w:tr>
      <w:tr>
        <w:trPr>
          <w:trHeight w:val="217"/>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1,516</w:t>
            </w:r>
          </w:p>
        </w:tc>
      </w:tr>
      <w:tr>
        <w:trPr>
          <w:trHeight w:val="237"/>
        </w:trPr>
        <w:tc>
          <w:tcPr>
            <w:tcW w:w="7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award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120" w:type="dxa"/>
            <w:vAlign w:val="bottom"/>
          </w:tcPr>
          <w:p>
            <w:pPr>
              <w:spacing w:after="0"/>
              <w:rPr>
                <w:sz w:val="17"/>
                <w:szCs w:val="17"/>
                <w:color w:val="auto"/>
              </w:rPr>
            </w:pPr>
          </w:p>
        </w:tc>
      </w:tr>
      <w:tr>
        <w:trPr>
          <w:trHeight w:val="227"/>
        </w:trPr>
        <w:tc>
          <w:tcPr>
            <w:tcW w:w="7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20" w:type="dxa"/>
            <w:vAlign w:val="bottom"/>
            <w:tcBorders>
              <w:bottom w:val="single" w:sz="8" w:color="auto"/>
            </w:tcBorders>
          </w:tcPr>
          <w:p>
            <w:pPr>
              <w:spacing w:after="0"/>
              <w:rPr>
                <w:sz w:val="19"/>
                <w:szCs w:val="19"/>
                <w:color w:val="auto"/>
              </w:rPr>
            </w:pPr>
          </w:p>
        </w:tc>
      </w:tr>
      <w:tr>
        <w:trPr>
          <w:trHeight w:val="21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RSUs &amp; RSAs</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r>
      <w:tr>
        <w:trPr>
          <w:trHeight w:val="237"/>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Earnings Per Share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the Company incurred a net loss for the three months ended March 31, 2025 and 2024, the inclusion of certain options, unvested stock units, warrants, and contingent Sponsor Earnout Shares in the calculation of diluted earnings per share would be anti-dilutive and, accordingly, were excluded from the diluted loss per share calculation.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potential common shares that were excluded as their effect is anti-dilutive:</w:t>
      </w:r>
    </w:p>
    <w:p>
      <w:pPr>
        <w:spacing w:after="0" w:line="174"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7"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and unvested stock units outstanding</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4,488</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outstanding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4,076,371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1,036,983</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promissory notes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1,082,990</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Sponsor Earnout Shares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5,165,903</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1,058,790</w:t>
            </w:r>
          </w:p>
        </w:tc>
      </w:tr>
      <w:tr>
        <w:trPr>
          <w:trHeight w:val="20"/>
        </w:trPr>
        <w:tc>
          <w:tcPr>
            <w:tcW w:w="78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Commitments and Contingencies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Obligations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enters into purchase obligations in the normal course of business. These obligations include purchase orders and agreements to purchase goods or services that are enforceable, legally binding, and have significant terms and minimum purchases stipulated. As of March 31, 2025, the Company’s future unconditional purchase obligations are as follows: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Class Actions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Times New Roman" w:cs="Times New Roman" w:eastAsia="Times New Roman" w:hAnsi="Times New Roman"/>
          <w:sz w:val="17"/>
          <w:szCs w:val="17"/>
          <w:i w:val="1"/>
          <w:iCs w:val="1"/>
          <w:color w:val="auto"/>
        </w:rPr>
        <w:t>Jensen v. Stable Road Acquisition Corp., et al.</w:t>
      </w:r>
      <w:r>
        <w:rPr>
          <w:rFonts w:ascii="Times New Roman" w:cs="Times New Roman" w:eastAsia="Times New Roman" w:hAnsi="Times New Roman"/>
          <w:sz w:val="17"/>
          <w:szCs w:val="17"/>
          <w:color w:val="auto"/>
        </w:rPr>
        <w:t>, No. 2:21-cv-05744 (the “</w:t>
      </w:r>
      <w:r>
        <w:rPr>
          <w:rFonts w:ascii="Times New Roman" w:cs="Times New Roman" w:eastAsia="Times New Roman" w:hAnsi="Times New Roman"/>
          <w:sz w:val="17"/>
          <w:szCs w:val="17"/>
          <w:i w:val="1"/>
          <w:iCs w:val="1"/>
          <w:color w:val="auto"/>
        </w:rPr>
        <w:t>Jensen</w:t>
      </w:r>
      <w:r>
        <w:rPr>
          <w:rFonts w:ascii="Times New Roman" w:cs="Times New Roman" w:eastAsia="Times New Roman" w:hAnsi="Times New Roman"/>
          <w:sz w:val="17"/>
          <w:szCs w:val="17"/>
          <w:color w:val="auto"/>
        </w:rPr>
        <w:t xml:space="preserve"> 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Subsequent complaints captioned </w:t>
      </w:r>
      <w:r>
        <w:rPr>
          <w:rFonts w:ascii="Times New Roman" w:cs="Times New Roman" w:eastAsia="Times New Roman" w:hAnsi="Times New Roman"/>
          <w:sz w:val="17"/>
          <w:szCs w:val="17"/>
          <w:i w:val="1"/>
          <w:iCs w:val="1"/>
          <w:color w:val="auto"/>
        </w:rPr>
        <w:t>Hall v. Stable Road Acquisition Corp., et al.</w:t>
      </w:r>
      <w:r>
        <w:rPr>
          <w:rFonts w:ascii="Times New Roman" w:cs="Times New Roman" w:eastAsia="Times New Roman" w:hAnsi="Times New Roman"/>
          <w:sz w:val="17"/>
          <w:szCs w:val="17"/>
          <w:color w:val="auto"/>
        </w:rPr>
        <w:t xml:space="preserve">, No. 2:21-cv-05943 and </w:t>
      </w:r>
      <w:r>
        <w:rPr>
          <w:rFonts w:ascii="Times New Roman" w:cs="Times New Roman" w:eastAsia="Times New Roman" w:hAnsi="Times New Roman"/>
          <w:sz w:val="17"/>
          <w:szCs w:val="17"/>
          <w:i w:val="1"/>
          <w:iCs w:val="1"/>
          <w:color w:val="auto"/>
        </w:rPr>
        <w:t>Depoy v. Stable Road Acquisition Corp., et al.</w:t>
      </w:r>
      <w:r>
        <w:rPr>
          <w:rFonts w:ascii="Times New Roman" w:cs="Times New Roman" w:eastAsia="Times New Roman" w:hAnsi="Times New Roman"/>
          <w:sz w:val="17"/>
          <w:szCs w:val="17"/>
          <w:color w:val="auto"/>
        </w:rPr>
        <w:t>, No. 2:21-cv-06287 were consolidated in the first filed matter (collectively, referred to as the “Securities Class Actions”). An amended complaint was filed on November 12, 2021. The Company disputes the allegations in the Securities Class Actions.</w:t>
      </w:r>
    </w:p>
    <w:p>
      <w:pPr>
        <w:spacing w:after="0" w:line="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was funded by insurance proceeds).</w:t>
      </w:r>
    </w:p>
    <w:p>
      <w:pPr>
        <w:spacing w:after="0" w:line="3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10, 2023, the parties filed a Notice of Settlement with the Court, and on August 18, 2023, the parties executed a Settlement Agreement. On August 30, 2023 the lead plaintiff filed a Motion for Preliminary Approval of Class Action Settlement, and the Court entered an Order Preliminarily Approving Settlement and Providing for Notice on September 21, 2023. Pursuant to that Order, on October 5, 2023, the Company paid $1.0 million into the settlement escrow account. On November 16, 2023, following the Court’s order granting lead plaintiff’s motion to enforce the settlement agreement and despite the Company’s attempts to negotiate an extension of time to satisfy its payment obligations, the Company paid an additional $3.5 million into the settlement escrow account. Insurance carriers made additional payments totaling $4.0 million into the settlement escrow account.</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April 23, 2024, the Court entered an order and judgment finally approving the settlement of the Securities Class Actions. A group of plaintiffs asserting the Delaware Class Actions (see below) objected to the scope of the release in the settlement, and the Court overruled the objection. Those objectors may or may not appeal the Court’s decision to overrule their objections and approve the settlement. The Company does not know the timing of when such an appeal, if filed, would be heard. If the objectors do not appeal the approval of the settlement, or if their appeal is ultimately rejected by the Court of Appeal, then the 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a court, on appeal or otherwise, overturns the approval of the settlement, the Company will continue to vigorously defend against the claims asserted in the Securities Class Actions.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result of the agreement to settle the Securities Class Action, the Company recorded a litigation settlement contingency of $8.5 million. The Company additionally recorded an insurance receivable of $4.0 million for the insurance proceeds expected from its insurers related to the settlement. The net amount of $4.5 million was recognized in litigation settlement, net during the year ended December 31, 2022. As of December 31, 2024, the contingent liability in relation to Securities Class Action has been paid in full.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CFIUS Review</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February 2021, the Company and Mikhail Kokorich submitted a joint notice to the Committee on Foreign Investment in the United States (“CFIUS”) for review of the historical acquisition of interests in the Company by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Mr. Kokorich, his wife, and entities that they control in response to concerns of the DoD regarding the Company’s foreign ownership and control. On June 8, 2021, the DoD and the U.S. Department of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NSA.</w:t>
      </w:r>
    </w:p>
    <w:p>
      <w:pPr>
        <w:spacing w:after="0" w:line="94" w:lineRule="exact"/>
        <w:rPr>
          <w:sz w:val="20"/>
          <w:szCs w:val="20"/>
          <w:color w:val="auto"/>
        </w:rPr>
      </w:pPr>
    </w:p>
    <w:p>
      <w:pPr>
        <w:jc w:val="both"/>
        <w:spacing w:after="0" w:line="210" w:lineRule="exact"/>
        <w:rPr>
          <w:sz w:val="20"/>
          <w:szCs w:val="20"/>
          <w:color w:val="auto"/>
        </w:rPr>
      </w:pPr>
      <w:r>
        <w:rPr>
          <w:rFonts w:ascii="Times New Roman" w:cs="Times New Roman" w:eastAsia="Times New Roman" w:hAnsi="Times New Roman"/>
          <w:sz w:val="17"/>
          <w:szCs w:val="17"/>
          <w:color w:val="auto"/>
        </w:rPr>
        <w:t>In accordance with the NSA and pursuant to stock repurchase agreements entered into with the Company, effective as of June 8, 2021, each of Mr. Kokorich, Nortrone Finance S.A., and Brainyspace LLC (collectively “the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February 27, 2023 the Company raised aggregate gross proceeds of $10.0 million through the sale of securities (see Note 9 for additional information), which together with the Business Combination and other capital raising activities triggered the $10.0 million liability to the Co-Founders in accordance with the terms of the stock repurchase agreements. The amount had previously been recorded as an estimated liability with a corresponding offset to additional paid-in capital within the condensed consolidated statements of stockholders’ equity as of December 31, 2022. CFIUS terminated the NSA in January 2024 at the request of the Company, and the Company is no longer subject to the provisions of the NSA.</w:t>
      </w:r>
    </w:p>
    <w:p>
      <w:pPr>
        <w:spacing w:after="0" w:line="110" w:lineRule="exact"/>
        <w:rPr>
          <w:sz w:val="20"/>
          <w:szCs w:val="20"/>
          <w:color w:val="auto"/>
        </w:rPr>
      </w:pPr>
    </w:p>
    <w:p>
      <w:pPr>
        <w:ind w:right="1800"/>
        <w:spacing w:after="0" w:line="419" w:lineRule="auto"/>
        <w:rPr>
          <w:sz w:val="20"/>
          <w:szCs w:val="20"/>
          <w:color w:val="auto"/>
        </w:rPr>
      </w:pPr>
      <w:r>
        <w:rPr>
          <w:rFonts w:ascii="Times New Roman" w:cs="Times New Roman" w:eastAsia="Times New Roman" w:hAnsi="Times New Roman"/>
          <w:sz w:val="17"/>
          <w:szCs w:val="17"/>
          <w:color w:val="auto"/>
        </w:rPr>
        <w:t xml:space="preserve">The Company incurred legal expenses related to these matters of approximately $0.1 million for the three months ended March 31, 2024. </w:t>
      </w:r>
      <w:r>
        <w:rPr>
          <w:rFonts w:ascii="Times New Roman" w:cs="Times New Roman" w:eastAsia="Times New Roman" w:hAnsi="Times New Roman"/>
          <w:sz w:val="17"/>
          <w:szCs w:val="17"/>
          <w:i w:val="1"/>
          <w:iCs w:val="1"/>
          <w:color w:val="auto"/>
        </w:rPr>
        <w:t>Shareholder Section 220 Litigation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16, 2022, Plaintiff and the Company’s shareholder James Burk filed a verified complaint against the Company in the Delaware Court of Chancery, Case No. 2022-0519, to inspect the books and records of the Company pursuant to Section 220 of the Delaware General Corporation Law. Plaintiff seeks production of books and records relating to the management of the Company and its disclosures to potential investors in connection with the Business Combination. On March 14, 2023, the Court granted the parties stipulation of dismissal with prejudice, and the matter was closed. The Company from time to time responds to books and records requests properly submitted pursuant to applicable Delaware law.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Derivative Litigation</w:t>
      </w:r>
    </w:p>
    <w:p>
      <w:pPr>
        <w:spacing w:after="0" w:line="144"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On June 20, 2022, a shareholder derivative action was filed by Brian Lindsey, on behalf of the Company, in the U.S. District Court for the Central District of California, Case No. 2:22-cv-04212, against the Company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 dispute the allegations as stated in this derivative action. On September 27, 2022, Plaintiff filed his Notice of Voluntary Dismissal without Prejudice seeking to dismiss the case. Because Plaintiff’s dismissal of this derivative action was voluntary and without prejudice, this plaintiff and/or other shareholders may seek to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file the claims asserted in this matter at a later date. As noted below, Brian Lindsey re-filed a shareholder derivative action in Delaware Chancery Court on June 30, 2023.</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25, 2023, a shareholder derivative action was filed by Melissa Hanna, on behalf of the Company, in the U.S. District Court for the Northern District of California, Case No. 5:23-cv-00374, against the Company (as a nominal defendant), SRAC, Brian Kabot, Juan Manuel Quiroga, James Norris, James Hofmockel, Mikhail Kokorich, Dawn Harms, Fred Kennedy, Chris Hadfield, Mitchel B. Kugler, Victorino Mercado, Kimberly A. Reed, Linda J. Reiners, and John C. Rood (the “Derivative Action II”). The Derivative Action II alleges the same core allegations as stated in the Securities Class Actions, and also claims that the Company ignored and/or refused a prior demand made by Ms. Hanna on the Company’s Board of Directors. The Company intends to vigorously defend the litigation.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On April 25, 2023, a shareholder derivative action was filed by Justin Rivlin, purportedly on behalf of the Company, in the U.S. District Court for the District of California, Case No. 2:23-cv-03120, against the Company (as a nominal defendant), Brian Kabot, James Norris, Marc Lehmann, James Hofmockel, and Ann Kono. The </w:t>
      </w:r>
      <w:r>
        <w:rPr>
          <w:rFonts w:ascii="Times New Roman" w:cs="Times New Roman" w:eastAsia="Times New Roman" w:hAnsi="Times New Roman"/>
          <w:sz w:val="17"/>
          <w:szCs w:val="17"/>
          <w:i w:val="1"/>
          <w:iCs w:val="1"/>
          <w:color w:val="auto"/>
        </w:rPr>
        <w:t>Rivlin</w:t>
      </w:r>
      <w:r>
        <w:rPr>
          <w:rFonts w:ascii="Times New Roman" w:cs="Times New Roman" w:eastAsia="Times New Roman" w:hAnsi="Times New Roman"/>
          <w:sz w:val="17"/>
          <w:szCs w:val="17"/>
          <w:color w:val="auto"/>
        </w:rPr>
        <w:t xml:space="preserve"> derivative action alleges the same core allegations as stated in the Securities Class Actions. The Company has filed a motion to dismiss the complaint on the grounds that the claims are time-barred and that the plaintiff was not excused from making a demand on the Company before filing the lawsuit. The Company intends to vigorously defend the litigation. On August 4, 2023, the plaintiff in the </w:t>
      </w:r>
      <w:r>
        <w:rPr>
          <w:rFonts w:ascii="Times New Roman" w:cs="Times New Roman" w:eastAsia="Times New Roman" w:hAnsi="Times New Roman"/>
          <w:sz w:val="17"/>
          <w:szCs w:val="17"/>
          <w:i w:val="1"/>
          <w:iCs w:val="1"/>
          <w:color w:val="auto"/>
        </w:rPr>
        <w:t>Rivlin</w:t>
      </w:r>
      <w:r>
        <w:rPr>
          <w:rFonts w:ascii="Times New Roman" w:cs="Times New Roman" w:eastAsia="Times New Roman" w:hAnsi="Times New Roman"/>
          <w:sz w:val="17"/>
          <w:szCs w:val="17"/>
          <w:color w:val="auto"/>
        </w:rPr>
        <w:t xml:space="preserve"> action responded to the Company’s motion to dismiss by filing an amended complaint adding new claims and new defendants, including existing Board members Chris Hadfield, Mitchel B. Kugler, Kimberly A. Reed, Linda J. Reiners, and John C. Rood.</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June 30, 2023, a shareholder derivative action was filed by Brian Lindsey, purportedly on behalf of the Company in the Court of Chancery for the State of Delaware (Case No. 2023-0674), against the Company (as a nominal defendant), Juan Manuel Quiroga, James Norris, James Hofmockel, Stable Road Acquisition Corp., SRC-NI Holdings, LLC, Mikhail Kokorich, Brian Kabot, Dawn Harms, Fred Kennedy, Chris Hadfield, Mitchel B. Kugler, Victorino Mercado, Kimberly A. Reed, Linda J. Reiners, and John C. Rood. The </w:t>
      </w:r>
      <w:r>
        <w:rPr>
          <w:rFonts w:ascii="Times New Roman" w:cs="Times New Roman" w:eastAsia="Times New Roman" w:hAnsi="Times New Roman"/>
          <w:sz w:val="17"/>
          <w:szCs w:val="17"/>
          <w:i w:val="1"/>
          <w:iCs w:val="1"/>
          <w:color w:val="auto"/>
        </w:rPr>
        <w:t>Lindsey</w:t>
      </w:r>
      <w:r>
        <w:rPr>
          <w:rFonts w:ascii="Times New Roman" w:cs="Times New Roman" w:eastAsia="Times New Roman" w:hAnsi="Times New Roman"/>
          <w:sz w:val="17"/>
          <w:szCs w:val="17"/>
          <w:color w:val="auto"/>
        </w:rPr>
        <w:t xml:space="preserve"> derivative action alleges the same core allegations as stated in the Securities Class Actions. The Company intends to vigorously defend the litigation.</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26, 2024, an unopposed motion for the preliminary approval of settlement was filed after the Company reached an agreement in principle for a proposed settlement of certain shareholder derivative litigation. The proposed settlement, as set forth more fully in the Stipulation and Agreement of Settlement filed with the court, requires the Company to adopt certain corporate governance reforms. The reforms must be maintained for a minimum period of four years.</w:t>
      </w:r>
    </w:p>
    <w:p>
      <w:pPr>
        <w:spacing w:after="0" w:line="101" w:lineRule="exact"/>
        <w:rPr>
          <w:sz w:val="20"/>
          <w:szCs w:val="20"/>
          <w:color w:val="auto"/>
        </w:rPr>
      </w:pPr>
    </w:p>
    <w:p>
      <w:pPr>
        <w:jc w:val="both"/>
        <w:spacing w:after="0" w:line="210" w:lineRule="exact"/>
        <w:rPr>
          <w:sz w:val="20"/>
          <w:szCs w:val="20"/>
          <w:color w:val="auto"/>
        </w:rPr>
      </w:pPr>
      <w:r>
        <w:rPr>
          <w:rFonts w:ascii="Times New Roman" w:cs="Times New Roman" w:eastAsia="Times New Roman" w:hAnsi="Times New Roman"/>
          <w:sz w:val="17"/>
          <w:szCs w:val="17"/>
          <w:color w:val="auto"/>
        </w:rPr>
        <w:t>On September 16, 2024, the U.S. District Court for the Northern District of California issued an order primarily approving the settlement and providing for notice of the settlement to stockholders of the Company in the matters captioned </w:t>
      </w:r>
      <w:r>
        <w:rPr>
          <w:rFonts w:ascii="Times New Roman" w:cs="Times New Roman" w:eastAsia="Times New Roman" w:hAnsi="Times New Roman"/>
          <w:sz w:val="17"/>
          <w:szCs w:val="17"/>
          <w:i w:val="1"/>
          <w:iCs w:val="1"/>
          <w:color w:val="auto"/>
        </w:rPr>
        <w:t>Hanna v. Kabot, et al.</w:t>
      </w:r>
      <w:r>
        <w:rPr>
          <w:rFonts w:ascii="Times New Roman" w:cs="Times New Roman" w:eastAsia="Times New Roman" w:hAnsi="Times New Roman"/>
          <w:sz w:val="17"/>
          <w:szCs w:val="17"/>
          <w:color w:val="auto"/>
        </w:rPr>
        <w:t>, Case No. 5:23-cv-00374 (N.D. Cal.); </w:t>
      </w:r>
      <w:r>
        <w:rPr>
          <w:rFonts w:ascii="Times New Roman" w:cs="Times New Roman" w:eastAsia="Times New Roman" w:hAnsi="Times New Roman"/>
          <w:sz w:val="17"/>
          <w:szCs w:val="17"/>
          <w:i w:val="1"/>
          <w:iCs w:val="1"/>
          <w:color w:val="auto"/>
        </w:rPr>
        <w:t>Rivlen v. Kabot, et al.</w:t>
      </w:r>
      <w:r>
        <w:rPr>
          <w:rFonts w:ascii="Times New Roman" w:cs="Times New Roman" w:eastAsia="Times New Roman" w:hAnsi="Times New Roman"/>
          <w:sz w:val="17"/>
          <w:szCs w:val="17"/>
          <w:color w:val="auto"/>
        </w:rPr>
        <w:t>, Case No. 2:23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cv-03120 (C.D. Cal.); </w:t>
      </w:r>
      <w:r>
        <w:rPr>
          <w:rFonts w:ascii="Times New Roman" w:cs="Times New Roman" w:eastAsia="Times New Roman" w:hAnsi="Times New Roman"/>
          <w:sz w:val="17"/>
          <w:szCs w:val="17"/>
          <w:i w:val="1"/>
          <w:iCs w:val="1"/>
          <w:color w:val="auto"/>
        </w:rPr>
        <w:t>Lindsey v. Quiroga, et al.</w:t>
      </w:r>
      <w:r>
        <w:rPr>
          <w:rFonts w:ascii="Times New Roman" w:cs="Times New Roman" w:eastAsia="Times New Roman" w:hAnsi="Times New Roman"/>
          <w:sz w:val="17"/>
          <w:szCs w:val="17"/>
          <w:color w:val="auto"/>
        </w:rPr>
        <w:t>, Case No. 20230674 (Del. Ch.); and the litigation demand made by Momentus stockholder, Kamal Qureshi (collectively, the “Derivative Matters”). The proposed settlement calls for the Company to adopt certain corporate governance reforms and pay lead plaintiffs’ attorney’s fees, litigation expenses, and lead plaintiff service awards.</w:t>
      </w:r>
    </w:p>
    <w:p>
      <w:pPr>
        <w:spacing w:after="0" w:line="1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order set a final approval hearing for November 21, 2024 and the U.S. District Court for the North District of California approved the settlement agreement, including the dismissal with prejudice of all claims against the defendants, via Order dated January 10, 2025. The matter was fully covered under the Company’s insurance policy, and all associated legal fees and settlement costs were paid directly by the insurer. As a result, the Company did not incur any expenses related to legal fees or settlement costs in connection with this matter.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SAFE Note Litigation</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On July 20, 2022, The Larian Living Trust (“TLLT”) filed an action against the Company in New Castle County Superior Court, Delaware, in the Complex Commercial Litigation Division, Case No. N22C-07-133 EMD CCLD. TLLT pleads claims for fraudulent inducement and breach of contract arising from two investment contracts pursuant to which TLLT alleges it invested $4.0 million in the Company. TLLT alleges that a “liquidity event” occurred when the Company closed the Business Combination, such that it was entitled to the greater of its $4.0 million investment or its “Conversion Amount” of the Company’s shares, which was a total of 1,036 shares of the Company’s stock. TLLT further alleges that the Company refused to provide it the conversion amount of shares until April 2022, at which point the value of its shares had dropped significantly from their peak value in August of 2021, in excess of $7.6 million. TLLT seeks damages in excess of $7.6 million, in addition to interests and its attorney’s fees and costs. On March 16, 2023, the Company’s motion to dismiss TLLT’s claims was denied and the parties will move forward with discovery. On July 13, 2023, the Company filed a motion for partial summary judgment. The hearing on the Company’s motion for partial summary judgment was set for November 8, 2023, TLLT filed an Answering Brief on September 15, 2023, and the Company filed a Reply Brief on October 16, 2023. On January 31, 2024, the Superior Court denied the Company’s motion for partial summary judgment. The Company disputes the allegations in the complaint and intends to vigorously defend the litigation. The Company and TLLT have held settlement discussions, but an agreement in principle has not been finalized.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Founder Litigation</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June 8, 2021, former co-founders and shareholders of the Company, Mikhail Kokorich and Lev Khasis signed the NSA alongside stock repurchase agreements, whereby they agreed to divest their interests in the Company in exchange for a cash payments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the Company for his fees and costs incurred in these actions, which claims are disputed by the Company.</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the Company in the Delaware Court of Chancery (Case No. 2022-0722) seeking indemnification and advancement from the Company. Following the Company filing a motion to dismiss this action, on November 14, 2022, Mr. Kokorich filed an amended complaint. Additional motions to dismiss and replies were filed and considered at a hearing on February 2, 2023. The Delaware Court of Chancery granted the Company’s motion to dismiss the Kokorich indemnification claim action on May 15, 2023.On June 13, 2023, Mr. Kokorich filed a notice of appeal. On July 28, 2023, Mr. Kokorich filed Appellant’s Brief. The Company filed Appellee’s Answering Brief on August 28, 2023, and Mr. Kokorich filed a Reply Brief on September 15, 2023. The oral argument on Mr. Kokorich’s appeal was scheduled for November 15, 2023. On November 30, 2023, the Delaware Supreme Court affirmed the judgement of the Delaware Court of Chancery.</w:t>
      </w:r>
    </w:p>
    <w:p>
      <w:pPr>
        <w:spacing w:after="0" w:line="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March 24, 2023, Mr. Khasis filed a verified complaint against the Company in the Delaware Court of Chancery (Case No. 2023-0361) seeking indemnification and advancement of expenses from the Company. On April 17, 2023, the Company filed a motion to dismiss. On May 16, 2023. Mr. Khasis filed an amended complaint. On May 23, 2023, Momentus filed a motion to dismiss the amended complaint. Separately, Mr. Khasis has requested an expedited trial in his claim for advancement of fees. On June 23, 2023, the Court of Chancery ordered that Mr. Khasis indemnification litigation will not be stayed pending the appeal of the Kokorich claim. Moreover, the Court of Chancery further ordered the parties to prepare a scheduling order to the Court which includes all relevant deadlines to argue the Company’s motion to dismiss and Mr. Khasis’ expedited motion for advancement concurrently.</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parties have discussed potential settlement terms. While these discussions have been ongoing, Mr. Khasis has stayed discovery in his indemnification and advancement case. Mr. Khasis may decide to restart discovery and, more broadly, his indemnification and advancement litigation against Momentus. Also, other similar or related litigation may be filed against Momentus. In response to the Court’s request for a status update, the Plaintiff moved to voluntarily dismiss its complaint without prejudice, which Momentus did not oppose. On November 26, 2024, the Court granted plaintiff’s motion.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Delaware Class Actions</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w:t>
      </w:r>
      <w:r>
        <w:rPr>
          <w:rFonts w:ascii="Times New Roman" w:cs="Times New Roman" w:eastAsia="Times New Roman" w:hAnsi="Times New Roman"/>
          <w:sz w:val="17"/>
          <w:szCs w:val="17"/>
          <w:i w:val="1"/>
          <w:iCs w:val="1"/>
          <w:color w:val="auto"/>
        </w:rPr>
        <w:t>Shirley, et al. v. Kabot et al.</w:t>
      </w:r>
      <w:r>
        <w:rPr>
          <w:rFonts w:ascii="Times New Roman" w:cs="Times New Roman" w:eastAsia="Times New Roman" w:hAnsi="Times New Roman"/>
          <w:sz w:val="17"/>
          <w:szCs w:val="17"/>
          <w:color w:val="auto"/>
        </w:rPr>
        <w:t>, 2022-1023-PAF (the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Action”).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March 16, 2023, purported stockholders of the Company filed a putative class action complaint against certain current and former directors and officers of the Company in the Delaware Court of Chancery, in a case captioned </w:t>
      </w:r>
      <w:r>
        <w:rPr>
          <w:rFonts w:ascii="Times New Roman" w:cs="Times New Roman" w:eastAsia="Times New Roman" w:hAnsi="Times New Roman"/>
          <w:sz w:val="17"/>
          <w:szCs w:val="17"/>
          <w:i w:val="1"/>
          <w:iCs w:val="1"/>
          <w:color w:val="auto"/>
        </w:rPr>
        <w:t>Lora v. Kabot, et al.</w:t>
      </w:r>
      <w:r>
        <w:rPr>
          <w:rFonts w:ascii="Times New Roman" w:cs="Times New Roman" w:eastAsia="Times New Roman" w:hAnsi="Times New Roman"/>
          <w:sz w:val="17"/>
          <w:szCs w:val="17"/>
          <w:color w:val="auto"/>
        </w:rPr>
        <w:t>, Case No. 2023-0322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Like 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complaint, the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March 17, 2023, purported stockholders of the Company filed a putative class action complaint against certain current and former directors and officers of the Company in the Delaware Court of Chancery, in a case captioned </w:t>
      </w:r>
      <w:r>
        <w:rPr>
          <w:rFonts w:ascii="Times New Roman" w:cs="Times New Roman" w:eastAsia="Times New Roman" w:hAnsi="Times New Roman"/>
          <w:sz w:val="17"/>
          <w:szCs w:val="17"/>
          <w:i w:val="1"/>
          <w:iCs w:val="1"/>
          <w:color w:val="auto"/>
        </w:rPr>
        <w:t>Burk v. Kabot, et al.</w:t>
      </w:r>
      <w:r>
        <w:rPr>
          <w:rFonts w:ascii="Times New Roman" w:cs="Times New Roman" w:eastAsia="Times New Roman" w:hAnsi="Times New Roman"/>
          <w:sz w:val="17"/>
          <w:szCs w:val="17"/>
          <w:color w:val="auto"/>
        </w:rPr>
        <w:t>, Case No. 2023-0334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Action”). Like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complaints,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On May 26, 2023, plaintiffs filed a stipulation and proposed order for consolidation and appointment of co-lead plaintiffs and co-lead plaintiffs’ counsel designating the complaint filed in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as the operative complaint. On June 30, 2023, the defendants each filed a motion to dismiss the complaint. On October 26, 2023, plaintiffs filed their answering briefs in opposition to the motions to dismiss, and the defendants’ reply briefs are due to be filed on or before December 14, 2023, and a hearing on the motions to dismiss was held for February 1, 2024.</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29, 2024, the court issued its orders on the motions to dismiss: (1) granting the motions to dismiss with respect to Defendants Fred Kennedy and Dawn Harms and dismissing the claims against them with prejudice, and (2) with respect to the SRAC Defendants, granting the motion to dismiss with prejudice. However, the court noted that Defendants Brian Kabot, James Hofmockel, and James Norris did not move to dismiss the portion of Count II relating to alleged misrepresentations concerning the value of SRAC shares issued in the merger and Defendant Brian Kabot did not move to dismiss the portion of Count III relating to the same. As such, the claims as to the SRAC were dismissed with prejudice, except for these remaining claims.</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Action,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and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Action have been consolidated under the caption, In re </w:t>
      </w:r>
      <w:r>
        <w:rPr>
          <w:rFonts w:ascii="Times New Roman" w:cs="Times New Roman" w:eastAsia="Times New Roman" w:hAnsi="Times New Roman"/>
          <w:sz w:val="17"/>
          <w:szCs w:val="17"/>
          <w:i w:val="1"/>
          <w:iCs w:val="1"/>
          <w:color w:val="auto"/>
        </w:rPr>
        <w:t>Momentus, Inc. Stockholders Litigation</w:t>
      </w:r>
      <w:r>
        <w:rPr>
          <w:rFonts w:ascii="Times New Roman" w:cs="Times New Roman" w:eastAsia="Times New Roman" w:hAnsi="Times New Roman"/>
          <w:sz w:val="17"/>
          <w:szCs w:val="17"/>
          <w:color w:val="auto"/>
        </w:rPr>
        <w:t>, C.A. No. 2022-1023-PAF (Del Ch. Nov. 10, 2022). These putative class actions do not name the Company as a defendant. Regardless, the SRAC directors and officers, together with current and former directors and officers of the Company, have demanded indemnification and advancement from the Company, under the terms of the merger agreement and the exhibits thereto, the Delaware corporate code, the Company’s bylaws, and their individual indemnification agreements. The Company may be liable for the fees and costs incurred by the defendants and has an obligation to advance such fees during the pendency of the litigation. The Company understands that the defendants dispute the allegations in the complaint and intend to vigorously defend against any such litigation.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Threatened Claims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October 23, 2023, Stephen J. Purcell, on behalf of the law firm Purcell &amp; Lefkowitz LLP, threatened to file a legal proceeding to receive attorney’s fees in the amount of $80,000 related to a stockholder litigation demand letter submitted to Momentus, dated July 20, 2021 on behalf of Joel Zalvin, a purported stockholder of Momentus. The stockholder litigation demand letter asserted that the vote to increase the number of shares of Class A common stock of Momentus at the special meeting of stockholders on August 11, 2021 was conducted in violation of Delaware law. On March 14, 2023, the Delaware Court of Chancery granted the Company’s request pursuant to 8 Del. C. § 205, or Section 205 of the Delaware General Corporation Law (the “Petition”) in order to validate and declare effective the Second Amended and Restated Certificate of Incorporation of the Company and validate and declare effective the shares of the Company’s Class A common stock issued in reliance on such provisions of the Second Amended and Restated Certificate of Incorporation of the Company as of the date of the original issuance of such shares. Further on March 14, 2023, the Court of Chancery entered an order under 8 Del. C. § 205 (i) declaring the Second Amended and Restated Certificate of Incorporation of the Company, including the filing and effectiveness thereof, as validated and effective retroactive to the date of its filing with the Office of the Secretary of State of the State of Delaware on August 12, 2021, and (ii) ordering that the Company’s Class A common stock (and the issuance of the Class A common stock) described in the Petition and any other securities issued in reliance of the validity of the Second Amended and Restated Certificate of Incorporation of the Company are validated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declared effective, each as of the original issuance dates. Momentus did not take action in response to the July 20, 2021 demand letter, but rather filed the Petition over one year later, following a decision by the Delaware Chancery Court that created uncertainty as to the validity of the Company’s Second Amended and Restated Certificate of Incorporation. Accordingly, Momentus believes that the threatened claim is without merit and intends to vigorously defend any such claim if brought.</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Prior to the close of the Business Combination, Alex Ciccotelli, represented by Rigrodsky Law, sent SRAC a disclosure demand letter dated November 9, 2020, and Jeffrey Justice II, represented by Grabar Law Office, sent SRAC a disclosure demand letter dated August 3, 2021. Mr. Ciccotelli then filed a civil action against SRAC. After receiving various shareholder disclosure demands, SRAC voluntarily issued certain pre-closing supplemental disclosures, without admission, as stated in its August 5, 2021 Form 8-K filing. The Ciccotelli action was thereafter dismissed as moot. On March 20, 2023, Rigrodsky Law threatened to file a fee petition seeking an award of fees and expenses if the Company does not agree to pay a mootness fee, and more recently, in October 2023, reiterated the demand on behalf of Messrs. Ciccotelli and Justice for payment of mootness fees. The Company maintains that, while certain amendments were made by SRAC to pre-closing disclosures, none of the disclosures made was material and the Company disputes that the claims for fees have merit.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Indemnification Claims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31, 2024, certain former employees of the Company obtained a legal judgment in the amount of $0.5 million inclusive of interest and expenses related to claims for the advancement and reimbursement of certain legal expenses of the former employees. The Company paid the former employees $0.5 million in September 2024.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Vendor Dispute and Threatened Litigation</w:t>
      </w:r>
    </w:p>
    <w:p>
      <w:pPr>
        <w:spacing w:after="0" w:line="23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A vendor to the Company has demanded payment of outstanding invoices in the amount of approximately $0.4 million. In March 2025, the Company made a settlement proposal to the vendor. In April 2025, the Vendor rejected the Company’s proposed terms and threatened legal action unless the claimed amount is paid in full. The parties continue to discuss settlement options. The outstanding amount is included in the Company’s accounts payable balance as of March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Litigation and Relat</w:t>
      </w:r>
      <w:r>
        <w:rPr>
          <w:rFonts w:ascii="Times New Roman" w:cs="Times New Roman" w:eastAsia="Times New Roman" w:hAnsi="Times New Roman"/>
          <w:sz w:val="17"/>
          <w:szCs w:val="17"/>
          <w:color w:val="auto"/>
        </w:rPr>
        <w:t>ed</w:t>
      </w:r>
      <w:r>
        <w:rPr>
          <w:rFonts w:ascii="Times New Roman" w:cs="Times New Roman" w:eastAsia="Times New Roman" w:hAnsi="Times New Roman"/>
          <w:sz w:val="17"/>
          <w:szCs w:val="17"/>
          <w:i w:val="1"/>
          <w:iCs w:val="1"/>
          <w:color w:val="auto"/>
        </w:rPr>
        <w:t xml:space="preserve"> Matters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consolidated operating results and financial condition.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time to time, the Company may be a party to litigation and subject to claims incident to the ordinary course of business or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Sub-Topic 450-20. Legal fees are expensed as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effective tax rate for the three months ended March 31, 2025 and 2024, respectively,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the absence of current income tax, and a full valuation allowance for deferred tax assets.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Related Party Transactions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Promissory Notes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21, 2024, the Company issued six promissory notes for an aggregate amount of $0.5 million to participating directors and an officer of the Company. The proceeds from the notes were used to pay for employee retention payments, working capital, and general corporate expenses. Each note issued bore an annual interest rate of 5.12% equal to the minimum applicable federal rate published by the Internal Revenue Service for June 2024. Each note held a maturity date of September 30, 2024 and was secured by the Company’s assets. Principal and interest payments were due by the maturity date and the notes would have become immediately due upon the occurrence of certain customary event of default, including failure to pay amounts owing when due and/or certain events involving a discontinuation of our business or certain types of proceedings involving insolvency, bankruptcy, receivership and the like. On September 12, 2024, the six promissory notes were repaid in full to the participating directors and officer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Segment Information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operates as one operating segment. The Company’s chief operating decision maker (“CODM”) is its chief executive officer, who reviews financial information presented on a consolidated basis. The CODM uses consolidated net loss and net cash used in operations to assess financial performance and allocate resources. These financial metrics are used by the CODM to make key operating decisions, such as the allocation of budget between research and development and selling, general and administrative expenses and determination of cash from financing activities required.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selected financial information with respect to the Company’s single operating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20" w:type="dxa"/>
            <w:vAlign w:val="bottom"/>
          </w:tcPr>
          <w:p>
            <w:pPr>
              <w:spacing w:after="0"/>
              <w:rPr>
                <w:sz w:val="17"/>
                <w:szCs w:val="17"/>
                <w:color w:val="auto"/>
              </w:rPr>
            </w:pPr>
          </w:p>
        </w:tc>
      </w:tr>
      <w:tr>
        <w:trPr>
          <w:trHeight w:val="227"/>
        </w:trPr>
        <w:tc>
          <w:tcPr>
            <w:tcW w:w="7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220" w:type="dxa"/>
            <w:vAlign w:val="bottom"/>
            <w:tcBorders>
              <w:bottom w:val="single" w:sz="8" w:color="auto"/>
            </w:tcBorders>
          </w:tcPr>
          <w:p>
            <w:pPr>
              <w:spacing w:after="0"/>
              <w:rPr>
                <w:sz w:val="19"/>
                <w:szCs w:val="19"/>
                <w:color w:val="auto"/>
              </w:rPr>
            </w:pPr>
          </w:p>
        </w:tc>
      </w:tr>
      <w:tr>
        <w:trPr>
          <w:trHeight w:val="217"/>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12"/>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2,676</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4,592</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6,164</w:t>
            </w:r>
          </w:p>
        </w:tc>
      </w:tr>
      <w:tr>
        <w:trPr>
          <w:trHeight w:val="212"/>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6,507</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8,840</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(8,327)</w:t>
            </w:r>
          </w:p>
        </w:tc>
      </w:tr>
      <w:tr>
        <w:trPr>
          <w:trHeight w:val="245"/>
        </w:trPr>
        <w:tc>
          <w:tcPr>
            <w:tcW w:w="7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debt extinguishment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2"/>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income (expense)</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(8,313)</w:t>
            </w:r>
          </w:p>
        </w:tc>
      </w:tr>
    </w:tbl>
    <w:p>
      <w:pPr>
        <w:spacing w:after="0" w:line="3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See the condensed consolidated interim financial statements for other financial information regarding the Company’s operating segment. The Company’s long-lived tangible assets, as well as the Company’s operating right-of-use assets recognized on the condensed consolidated balance sheets are located in the United States.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Supplemental Disclosures for Condensed Consolidated Statements of Cash Flows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disclosures for the accompanying condensed consolidated statements of cash flows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20" w:type="dxa"/>
            <w:vAlign w:val="bottom"/>
          </w:tcPr>
          <w:p>
            <w:pPr>
              <w:spacing w:after="0"/>
              <w:rPr>
                <w:sz w:val="17"/>
                <w:szCs w:val="17"/>
                <w:color w:val="auto"/>
              </w:rPr>
            </w:pPr>
          </w:p>
        </w:tc>
      </w:tr>
      <w:tr>
        <w:trPr>
          <w:trHeight w:val="227"/>
        </w:trPr>
        <w:tc>
          <w:tcPr>
            <w:tcW w:w="714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220" w:type="dxa"/>
            <w:vAlign w:val="bottom"/>
            <w:tcBorders>
              <w:bottom w:val="single" w:sz="8" w:color="auto"/>
            </w:tcBorders>
          </w:tcPr>
          <w:p>
            <w:pPr>
              <w:spacing w:after="0"/>
              <w:rPr>
                <w:sz w:val="19"/>
                <w:szCs w:val="19"/>
                <w:color w:val="auto"/>
              </w:rPr>
            </w:pPr>
          </w:p>
        </w:tc>
      </w:tr>
      <w:tr>
        <w:trPr>
          <w:trHeight w:val="217"/>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1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9"/>
        </w:trPr>
        <w:tc>
          <w:tcPr>
            <w:tcW w:w="71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Purchases of intangible assets in accounts payable and accrued expenses at period end</w:t>
            </w:r>
          </w:p>
        </w:tc>
        <w:tc>
          <w:tcPr>
            <w:tcW w:w="1220" w:type="dxa"/>
            <w:vAlign w:val="bottom"/>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of common stock upon partial conversion of convertible note</w:t>
            </w:r>
          </w:p>
        </w:tc>
        <w:tc>
          <w:tcPr>
            <w:tcW w:w="122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7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7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paid for interest</w:t>
            </w:r>
          </w:p>
        </w:tc>
        <w:tc>
          <w:tcPr>
            <w:tcW w:w="1220" w:type="dxa"/>
            <w:vAlign w:val="bottom"/>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78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Subsequent Events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Master Services Agreement with Velo3D, Inc.</w:t>
      </w:r>
    </w:p>
    <w:p>
      <w:pPr>
        <w:spacing w:after="0" w:line="1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On April 14, 2025, the Company entered into a master services agreement (the “Master Services Agreement”) with Velo3D, Inc. (“VLD”), a provider of additive manufacturing solutions, also referred to as 3D printing, pursuant to which VLD will provide services to design and produce components and systems that will be utilized by the Company or its customers in its spacecraft, systems, and components. In exchange for the services, the Company issued an aggregate of 477,455 shares of Class A common stock and 673,408 shares of non-voting Series A Convertible Preferred Stock, par value 0.00001 per share.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Promissory Note</w:t>
      </w:r>
    </w:p>
    <w:p>
      <w:pPr>
        <w:spacing w:after="0" w:line="1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On May 13, 2025, the Company entered into an unsecured convertible promissory note (the “May 2025 Convertible Note”) with A.G.P./Alliance Global Partners (“AGP”) for a principal amount of $1.2 million. The May 2025 Convertible Note bears interest at 4.5% per annum and matures on November 13, 2026, unless earlier converted or prepaid. AGP may elect to convert all or any portion of the outstanding principal and accrued interest into shares of the Company’s Class A common stock at a conversion price of $1.67 per share, subject to adjustment for stock splits, dividends, or similar events. At maturity, all outstanding principal and accrued interest are payable in cash or, at AGP’s option, in shares of Class A common stock at the conversion price, provided such shares are covered by an effective registration statement and issued without restrictive legends. The Company may prepay the May 2025 Convertible Note in whole or in part at any time without penalty. The May 2025 Convertible Note is subject to a conversion limitation of 19.99% of the Company’s outstanding common stock as of May 13, 2025, unless stockholder approval is obtained per Nasdaq rules. The Company is obligated to file a resale registration statement by June 11, 2025, to register the shares issuable upon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and our Annual Report on Form 10-K filed with the SEC on April 1, 2025, as amended on April 9, 2025. This discussion and analysis should also be read together with our financial information for the period ended as of March 31, 2025.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April 1, 2025, as amended on April 9, 2025, and “Cautionary Statement Regarding Forward-Looking Statements” elsewhere in this Form 10-Q, our actual results may differ materially from those anticipated in these forward-looking statements.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Momentus offers or plans to offer satellites, satellite buses, satellite technologies including solar arrays, and transportation and infrastructure services to help enable the commercialization of space for commercial companies and to support the missions of U.S. and friendly governments missions. Satellite operators are our target commercial customers. Momentus is also seeking business in support of U.S. Government missions for Departments and Agencies like NASA and the Department of Defense.</w:t>
      </w:r>
    </w:p>
    <w:p>
      <w:pPr>
        <w:spacing w:after="0" w:line="202"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7"/>
          <w:szCs w:val="17"/>
          <w:color w:val="auto"/>
        </w:rPr>
        <w:t>Products and services that we plan to provide include provision of satellites, satellite buses, satellite technologies including solar arrays, integration of payload instruments, “last mile” satellite transportation, payload-hosting, 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orbit satellite refueling, on-orbit inspection, on-orbit satellite maintenance, de-orbiting, debris removal, and other satellite-to-satellite service offerings.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transportation service offering focuses on delivering our customers’ satellites to precision orbits of their choosing.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 and hosted payloads.</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Since Momentus’ founding in 2017, we have been working to develop, test and enhance our vehicles and supporting technologies, particularly our water plasma propulsion technology.</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Beyond transportation, we anticipate that growth of the satellite constellations market may drive demand for our satellites, satellites buses, and technologies like solar arrays,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has developed the M-1000 satellite bus that the Company is offering to both commercial and U.S. government customers. The market for satellite buses in this class is substantial and growing. The M-1000 satellite bus is based on the Vigoride OSV and has substantial commonality.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 The Company also enters into contracts to perform analysis and provide engineering services to U.S. Government organizations.</w:t>
      </w:r>
    </w:p>
    <w:p>
      <w:pPr>
        <w:spacing w:after="0" w:line="3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2025, the Company recognized $0.3 million of revenue, primarily from the completion of performance obligations on engineering services performed for U.S. government and engineering project services.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2025 we have signed contracts with customers and have collected approximately $3.0 million in customer deposits, $0.2 million of which are recorded as non-current contract liabilities in our condensed consolidated balance sheets.</w:t>
      </w:r>
    </w:p>
    <w:p>
      <w:pPr>
        <w:spacing w:after="0" w:line="87"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case basis as necessary to preserve and foster future business relationships and customer goodwill. Contracts to provide engineering services to U.S. Government organizations generally have milestone payments subject to the variable consideration constraint. When a milestone is achieved, the Company updates its estimate of the transaction price to include the milestone payment and records a cumulative catch-up in revenue.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third-party launch costs and direct headcount cost related to the engineering project. The costs associated with orbital service vehicles are deferred to prepaid cost of revenues and amortized to cost of revenues upon release of payload. The current design and technology allow for a single use of the orbital service vehicle.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Research and development expenditures consist primarily of the cost of the following activities for developing existing and future technologies for our satellites, satellite technologies, and our Orbital Service Vehicles. Research and development activities include basic research, applied research, design, development, and related test program activities. Costs incurred for developing our technologies primarily include equipment and labor hours (both internal and subcontractors). The Company also records launch costs related to the testing of its Vigoride vehicles as research and development costs.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ind w:right="2220"/>
        <w:spacing w:after="0" w:line="419" w:lineRule="auto"/>
        <w:rPr>
          <w:sz w:val="20"/>
          <w:szCs w:val="20"/>
          <w:color w:val="auto"/>
        </w:rPr>
      </w:pPr>
      <w:r>
        <w:rPr>
          <w:rFonts w:ascii="Times New Roman" w:cs="Times New Roman" w:eastAsia="Times New Roman" w:hAnsi="Times New Roman"/>
          <w:sz w:val="17"/>
          <w:szCs w:val="17"/>
          <w:color w:val="auto"/>
        </w:rPr>
        <w:t xml:space="preserve">As of March 31, 2025, we have expensed all research and development costs associated with developing and building our vehicles. </w:t>
      </w:r>
      <w:r>
        <w:rPr>
          <w:rFonts w:ascii="Times New Roman" w:cs="Times New Roman" w:eastAsia="Times New Roman" w:hAnsi="Times New Roman"/>
          <w:sz w:val="17"/>
          <w:szCs w:val="17"/>
          <w:b w:val="1"/>
          <w:bCs w:val="1"/>
          <w:i w:val="1"/>
          <w:iCs w:val="1"/>
          <w:color w:val="auto"/>
        </w:rPr>
        <w:t>Selling, General and Administrative</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Warrant Liability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fair value of warrants consists of changes in the estimated fair value of our warrant liability.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Realized loss on disposal of assets consists of disposals of machinery and equipment with carrying values in excess of proceeds received, if 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consists of interest earned by the Company on investment holdings in interest bearing bank accounts.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includes interest incurred by the Company related to our loan payables as well as the amortization of warrant discount and debt issuance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Debt Extinguishment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Gains or losses on extinguishment of debt are recognized for unamortized debt premiums, discounts and issuance costs as well as any fees paid to the lender relation to the extinguishment.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(expense) primarily relates to non-recurring fees incurred in conjunction with the Term Loan financing, SEC settlement cost, and other immaterial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The period-to-period comparisons of financial results are not necessarily indicative of future results.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5"/>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 of Contents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220" w:type="dxa"/>
            <w:vAlign w:val="bottom"/>
            <w:shd w:val="clear" w:color="auto" w:fill="3051F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780"/>
        </w:trPr>
        <w:tc>
          <w:tcPr>
            <w:tcW w:w="650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Comparison of Financial Results for the Three Months Ended March 31, 2025 and 2024</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27"/>
        </w:trPr>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5"/>
          </w:tcPr>
          <w:p>
            <w:pPr>
              <w:ind w:left="5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7"/>
        </w:trPr>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2"/>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Pr>
          <w:p>
            <w:pPr>
              <w:spacing w:after="0"/>
              <w:rPr>
                <w:sz w:val="18"/>
                <w:szCs w:val="18"/>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38"/>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8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32"/>
        </w:trPr>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13"/>
        </w:trPr>
        <w:tc>
          <w:tcPr>
            <w:tcW w:w="42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1"/>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239"/>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4,592</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38"/>
        </w:trPr>
        <w:tc>
          <w:tcPr>
            <w:tcW w:w="42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6,507</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8,840</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8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38"/>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12"/>
        </w:trPr>
        <w:tc>
          <w:tcPr>
            <w:tcW w:w="42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1"/>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(78 %)</w:t>
            </w:r>
          </w:p>
        </w:tc>
      </w:tr>
      <w:tr>
        <w:trPr>
          <w:trHeight w:val="23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(374 %)</w:t>
            </w:r>
          </w:p>
        </w:tc>
      </w:tr>
      <w:tr>
        <w:trPr>
          <w:trHeight w:val="251"/>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6D6D6D"/>
              </w:rPr>
              <w:t>Gain on debt extinguishment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6D6D6D"/>
              </w:rPr>
              <w:t>58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6D6D6D"/>
              </w:rPr>
              <w:t>—</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6D6D6D"/>
              </w:rPr>
              <w:t>58</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39"/>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(487 %)</w:t>
            </w:r>
          </w:p>
        </w:tc>
      </w:tr>
      <w:tr>
        <w:trPr>
          <w:trHeight w:val="238"/>
        </w:trPr>
        <w:tc>
          <w:tcPr>
            <w:tcW w:w="42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income, net</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4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(6,172)</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(8,313)</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2,141</w:t>
            </w:r>
          </w:p>
        </w:tc>
        <w:tc>
          <w:tcPr>
            <w:tcW w:w="80" w:type="dxa"/>
            <w:vAlign w:val="bottom"/>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0"/>
        </w:trPr>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Revenue recognized during the three months ended March 31, 2025, was primarily driven by engineering services performed for the Space Development Agency agreement, resulting in $0.2 million of revenue recognition. The remaining $0.1 million of revenue recognized was due to customer deposit forfeiture upon contract expiration.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Revenue recognized during the three months ended March 31, 2024, was primarily driven by engineering services performed for the Space Development Agency agreement, resulting in $0.5 million of revenue recognition. The remaining $0.04 million of revenue recognized was due to customer deposit forfeiture upon contract expiration.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decreased from $2.7 million in the three months ended March 31, 2024 to $1.9 million in the three months ended March 31, 2025. The decrease was mostly headcount driven whereas cash payroll related cost went down by a $0.8 million, partially offset by an increase of $0.3 million in non-cash stock based compensation. Subcontractor costs decreased by $0.2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decreased from $6.2 million in the three months ended March 31, 2024 to $4.6 million in the three months ended March 31, 2025. Payroll costs decreased by $1.1 million inclusive of a decrease of $0.7 million in non-cash stock based compensation. Legal services expenses decreased by $0.9 million and other miscellaneous fees, such as insurance and overhead, decreased by $0.6 million. These decreases were offset by an increase in consulting and professional services of $1.1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Interest income decreased from $0.02 million for the three months ended March 31, 2024 to $4 thousand for the three months ended March 31, 2025 as the Company invested in less money market funds given liquidity constrains.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decreased from $0.1 million of cash and debt discount amortization interest for the three months ended March 31, 2024 to $0.2 million interest reduction for the three months ended March 31, 2025 primarily due to amortization of the debt premium on the July Convertible Note and the October Convertible Note, partially offset by cash interest accrual. See Note 8 for additional information.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Debt Extinguishment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gain on extinguishment of debt recognized for the three months ended March 31, 2025, was due to the amendment of the convertible promissory notes between the Company and Space Infrastructure Ventures. See Note 8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Other income (expense) decreased from $0.1 million of other income during the three months ended March 31, 2024 to $0.2 million of other expense during the three months ended March 31, 2025, primarily due to resolution of a prior obligation of the Company during the three months ended March 31,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The Company’s ability to continue as a going concern is dependent on the Company’s ability to successfully raise capital to fund its business operations and execute on its business plan. To date, the Company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losses of $6.2 million for the three months ended March 31, 2025 and an accumulated deficit of $414.2 million as of March 31, 2025. Additionally, the Company used net cash of $4.2 million to fund its operating activities for the three months ended March 31, 2025, and had cash and cash equivalents of $3.4 million as of March 31, 2025.</w:t>
      </w:r>
    </w:p>
    <w:p>
      <w:pPr>
        <w:spacing w:after="0" w:line="19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In connection with the preparation of the condensed consolidated interim financial statements for the three months ended March 31, 2025, management conducted an evaluation and concluded that there were conditions and events, considered in the aggregate, which raised substantial doubt as to the Company’s ability to continue as a going concern within twelve months after the date of the issuance of such financial statements. The Company believes that its current level of cash and cash equivalents are not sufficient to fund commercial scale production and sale of its services and products. These conditions raise substantial doubt regarding its ability to continue as a going concern for a period of at least one year from the date of issuance of these condensed consolidated interim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opportunities to access additional capital through all available means.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3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on a going concern basis of accounting. The accompanying condensed consolidated interim financial statements do not reflect any adjustments that might result if the Company is unable to continue as a going concern.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27"/>
        </w:trPr>
        <w:tc>
          <w:tcPr>
            <w:tcW w:w="48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820" w:type="dxa"/>
            <w:vAlign w:val="bottom"/>
            <w:tcBorders>
              <w:bottom w:val="single" w:sz="8" w:color="CCEEFF"/>
            </w:tcBorders>
            <w:vMerge w:val="continue"/>
          </w:tcPr>
          <w:p>
            <w:pPr>
              <w:spacing w:after="0"/>
              <w:rPr>
                <w:sz w:val="19"/>
                <w:szCs w:val="19"/>
                <w:color w:val="auto"/>
              </w:rPr>
            </w:pPr>
          </w:p>
        </w:tc>
        <w:tc>
          <w:tcPr>
            <w:tcW w:w="29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2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activities</w:t>
            </w:r>
          </w:p>
        </w:tc>
        <w:tc>
          <w:tcPr>
            <w:tcW w:w="33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(4,175)</w:t>
            </w:r>
          </w:p>
        </w:tc>
        <w:tc>
          <w:tcPr>
            <w:tcW w:w="80" w:type="dxa"/>
            <w:vAlign w:val="bottom"/>
          </w:tcPr>
          <w:p>
            <w:pPr>
              <w:spacing w:after="0"/>
              <w:rPr>
                <w:sz w:val="20"/>
                <w:szCs w:val="20"/>
                <w:color w:val="auto"/>
              </w:rPr>
            </w:pP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(5,253)</w:t>
            </w:r>
          </w:p>
        </w:tc>
        <w:tc>
          <w:tcPr>
            <w:tcW w:w="0" w:type="dxa"/>
            <w:vAlign w:val="bottom"/>
          </w:tcPr>
          <w:p>
            <w:pPr>
              <w:spacing w:after="0"/>
              <w:rPr>
                <w:sz w:val="1"/>
                <w:szCs w:val="1"/>
                <w:color w:val="auto"/>
              </w:rPr>
            </w:pPr>
          </w:p>
        </w:tc>
      </w:tr>
      <w:tr>
        <w:trPr>
          <w:trHeight w:val="251"/>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Investing activities</w:t>
            </w:r>
          </w:p>
        </w:tc>
        <w:tc>
          <w:tcPr>
            <w:tcW w:w="2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9"/>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Financing activities</w:t>
            </w:r>
          </w:p>
        </w:tc>
        <w:tc>
          <w:tcPr>
            <w:tcW w:w="29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6,001</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4,849</w:t>
            </w:r>
          </w:p>
        </w:tc>
        <w:tc>
          <w:tcPr>
            <w:tcW w:w="0" w:type="dxa"/>
            <w:vAlign w:val="bottom"/>
          </w:tcPr>
          <w:p>
            <w:pPr>
              <w:spacing w:after="0"/>
              <w:rPr>
                <w:sz w:val="1"/>
                <w:szCs w:val="1"/>
                <w:color w:val="auto"/>
              </w:rPr>
            </w:pPr>
          </w:p>
        </w:tc>
      </w:tr>
      <w:tr>
        <w:trPr>
          <w:trHeight w:val="258"/>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change in cash, cash equivalents, and restricted cash</w:t>
            </w:r>
          </w:p>
        </w:tc>
        <w:tc>
          <w:tcPr>
            <w:tcW w:w="3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jc w:val="right"/>
              <w:ind w:right="2014"/>
              <w:spacing w:after="0"/>
              <w:rPr>
                <w:sz w:val="20"/>
                <w:szCs w:val="20"/>
                <w:color w:val="auto"/>
              </w:rPr>
            </w:pPr>
            <w:r>
              <w:rPr>
                <w:rFonts w:ascii="Times New Roman" w:cs="Times New Roman" w:eastAsia="Times New Roman" w:hAnsi="Times New Roman"/>
                <w:sz w:val="17"/>
                <w:szCs w:val="17"/>
                <w:color w:val="auto"/>
              </w:rPr>
              <w:t>45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7"/>
        </w:trPr>
        <w:tc>
          <w:tcPr>
            <w:tcW w:w="48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2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operating activities for the three months ended March 31, 2025 was $4.2 million, driven primarily by headcount costs, research and development activities, legal expenses, and professional fees, as well as net cash changes in operating assets and liabilities.</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Headcount related payroll costs, excluding stock-based compensation of $1.1 million, were $1.6 million. Professional fees of $2.1 million included $0.4 million in legal fees discussed in Note 12. Office overheads and other general corporate expenses were $1.2 million, which includes insurance costs of $0.3 million. Research and Development activity expenses, including materials, components, and subcontractor costs were $0.3 million. These cash outflows were partially offset by gross profit of $0.3 million primarily related to the fulfillment of performance obligations during the three months ended March 31, 2025. Additionally, the Company had a change in operating assets and liabilities of $0.9 million during the three months ended March 31, 2025.</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Net cash used in operating activities for the three months ended March 31, 2024 was $5.3 million, driven primarily by headcount costs, research and development activities, legal expenses, and professional fees, as well as net cash changes in operating assets and liabilities. Headcount related payroll costs, excluding stock-based compensation of $1.4 million, were $2.9 million. Professional fees of $1.9 million included $1.4 million in legal fees. Office overheads and other general corporate expenses were $1.7 million, which includes insurance costs of $0.5 million. Research and Development activity expenses, including materials, components, and subcontractor costs were $0.5 million. These cash outflows were partially offset by gross profit of $0.5 million primarily related to the fulfillment of performance obligations for Vigoride 5 and Vigoride 6 customers during the three months ended March 31, 2024. Additionally, the Company had a change in operating assets and liabilities of $1.1 million during the three months ended March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was zero and $0.04 million for the three months ended March 31, 2025 and 2024, respectively. which consisted of purchases of machinery and equipment and intangible assets and proceeds received on the sale of machinery and equipment.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provided by financing activities was $6.0 million for the three months ended March 31, 2025, primarily due to gross proceeds of approximately $5.0 million received from the February Offering, $2.1 million received from the March 2025 Warrant Inducement Agreement, partially offset by principal repayments of $0.3 million of the Convertible Notes and $0.8 million in issuance costs related to common stock, related warrants, and warrant inducement.</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provided by financing activities was $4.8 million for the three months ended March 31, 2024, primarily due to gross proceeds of approximately $8.0 million received from the January Offering and March Offering, partially offset by principal repayments of $2.3 million under the Term Loan and $0.8 million in issuance costs related to common stock and related warrants.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our cash consumption to continue in connection with our ongoing activities.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Specifically, our operating expenses will continue as we:</w:t>
      </w:r>
    </w:p>
    <w:p>
      <w:pPr>
        <w:spacing w:after="0" w:line="173" w:lineRule="exact"/>
        <w:rPr>
          <w:sz w:val="20"/>
          <w:szCs w:val="20"/>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continue to refine and operate our corporate infrastructure, people, processes and systems;</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pursue sales and marketing activities for our product and services;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pursue further research and development related to developing our satellites and satellite technology</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seek regulatory approvals for operation of our satellites and vehicles;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actively manage our workforce, including right sizing in personnel;</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comply with public company reporting requirements; and</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defend against litigation.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Some of these risks and uncertainties are described in more detail under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our December 31, 2024 Form 10-K under the heading “</w:t>
      </w:r>
      <w:r>
        <w:rPr>
          <w:rFonts w:ascii="Times New Roman" w:cs="Times New Roman" w:eastAsia="Times New Roman" w:hAnsi="Times New Roman"/>
          <w:sz w:val="17"/>
          <w:szCs w:val="17"/>
          <w:i w:val="1"/>
          <w:iCs w:val="1"/>
          <w:color w:val="auto"/>
        </w:rPr>
        <w:t>Risk Factors — We may not currently or in the future be able to continue as a going concern.</w:t>
      </w:r>
      <w:r>
        <w:rPr>
          <w:rFonts w:ascii="Times New Roman" w:cs="Times New Roman" w:eastAsia="Times New Roman" w:hAnsi="Times New Roman"/>
          <w:sz w:val="17"/>
          <w:szCs w:val="17"/>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a party to operating leases primarily for facilities (e.g., office buildings, warehouses and spaceport) under non-cancellable operating leases. We lease office space under a non-cancellable operating lease which expires March 2026. Refer to Note 6.</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addition, we enter into agreements in the normal course of business with vendors for research and development services and outsourced services, which are generally cancellable upon written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do not engage in any off-balance sheet activities or have any arrangements or relationships with unconsolidated entities, such as variable interest, special purpose, and structured finance entities.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condensed consolidated interim financial statements, which have been prepared in accordance with GAAP. The preparation of our condensed consolidated interim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condensed consolidated interim financial statements included elsewhere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services),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has services available on a ‘stand ready’ basis until the mission reaches its conclusion. The Company recognizes revenue for these in-orbit services ratably over time on a straight-line basis. The Company enters into contracts to perform services for U.S. Government customers. The Company recognizes revenue for these services in accordance with the terms of these contracts.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We account for customer contracts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which includes the following five-step model:</w:t>
      </w:r>
    </w:p>
    <w:p>
      <w:pPr>
        <w:spacing w:after="0" w:line="157"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satellite and cargo delivery services (transportation services) are considered a single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3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in-orbit services consist of a collection of interdependent and integrated services which are not considered distinct from one another and may vary depending on the specific needs of the Customer and mission. Revenue for these in-orbit services is recognized ratably over time on a straight line basis.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engineering project services to U.S. Government organizations generally have specific payment attached to each milestone. When a milestone is achieved, the Company submits services performed for approval. Once approval is received, the Company invoices and collects on the milestone completed.</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periods in which we recognize revenue, we will disclose the amounts of revenue recognized that was included as a contract liability balance at the beginning of the reporting period in accordance with ASC 606-10-50-8(b).</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prepay for certain launch costs to third-party providers that will carry the orbital service vehicle to orbit. Prepaid costs allocated to the delivery of a customer’s payload are classified as deferred fulfillment costs. Prepaid costs allocated to our payload are classified as prepaid launch costs. These costs are then recognized as cost of revenues upon release of the customer’s payload and our payload,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Some customer deposits are non-refundable. Each non-refundable deposit is determined to be a contract liability upon cash collection. Prior to making this determination, we ensure that a valid contract is in place that meets the definition of the existence of a contract in accordance with ASC 606-10-25-1 and 2.</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condensed consolidated interim financial statements based on their respective grant date fair values.</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compensation expense that is reported in our condensed consolidated interim financial statements is based on awards that are expected to vest. We account for forfeitures as they occur.</w:t>
      </w:r>
    </w:p>
    <w:p>
      <w:pPr>
        <w:spacing w:after="0" w:line="34"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Estimating the fair value of equity awards as of the grant date using valuation models, such as the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Scholes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ASC Topic 740-10 requires companies to determine whether it is “more likely than not” that a tax position will be sustained upon examination by the appropriate taxing authorities before any tax benefit can be recorded in the condensed consolidated interim financial statements. It also provides guidance on the recognition, measurement, classification and interest and penalties related to uncertain tax positions. The amount that is ultimately sustained for an individual uncertain tax position or for all uncertain tax positions in the aggregate could differ from the amount that is initially recognized.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Please refer to Note 2 in the notes to our condensed consolidated interim financial statements included elsewhere in this Form 10-Q for a description of recently adopted accounting pronouncements and recently issued accounting pronouncements not yet adopted, the timing of their adoptions and our assessment, to the extent we have made one, of their potential impact on our consolidated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exposed to a variety of market and other risks, including the effects of changes in interest rates, and inflation, as well as risks to the availability of funding sources, hazard events, and specific asset risks.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market risk inherent in our financial instruments and our financial position represents the potential loss arising from adverse changes in interest rates. As of March 31, 2025, we had cash and cash equivalents of $3.4 million, which were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value of our cash and cash equivalents.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material foreign currency transactions for the three months ended March 31, 2025 and 2024. Currently, a significant portion of our cash receipts and expenses are generated in U.S. dollars.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1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Company maintains disclosure controls and procedures (“Disclosure Controls”) as such term is defined in Rules 13a-15(e) and 15d-15(e) under the Exchange Act that are designed to provide reasonable assurance that information required to be disclosed in our Exchange Act reports is recorded, processed, summarized and reported within the time periods specified in the SEC rules and forms, and that such information is accumulated and communicated to management, including the Chief Executive Officer (“CEO”) and Chief Financial Officer (“CFO”), as appropriate to allow timely decisions regarding required disclosure.</w:t>
      </w:r>
    </w:p>
    <w:p>
      <w:pPr>
        <w:spacing w:after="0" w:line="1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In designing and evaluating the Disclosure Controls, management recognizes that any controls and procedures, no matter how well designed and operated, can provide only reasonable assurance of achieving the desired control objectives and management was required to apply judgement in evaluating its controls and procedures. All internal control systems, no matter how well designed, have inherent limitations, including the possibility of human error and the circumvention of overriding controls.</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connection with the preparation of this report, our management, under the supervision and with the participation of our CEO and CFO, conducted an evaluation of the effectiveness of the design and operation of our Disclosure Controls as of March 31, 2025. Based on this evaluation, the CEO and CFO concluded that the Company’s Disclosure Controls were not effective as of March 31, 2025, due to the material weakness in internal control over financial reporting described below.</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management, including our CEO and CFO, has concluded that, notwithstanding the identified material weakness in our internal control over financial reporting, the condensed consolidated interim financial statements included in this Quarterly Report on Form 10-Q fairly present, in all material respects, our financial condition, results of operations and cash flows for the periods presented in conformity with GAAP.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Previously Identified Material Weakness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During the preparation of the Company’s financial statements for the year ended December 31, 2024, management identified a material weakness related to misclassification errors in our accounting for certain matters including the following:</w:t>
      </w:r>
    </w:p>
    <w:p>
      <w:pPr>
        <w:spacing w:after="0" w:line="100" w:lineRule="exact"/>
        <w:rPr>
          <w:sz w:val="20"/>
          <w:szCs w:val="20"/>
          <w:color w:val="auto"/>
        </w:rPr>
      </w:pPr>
    </w:p>
    <w:p>
      <w:pPr>
        <w:ind w:left="620" w:hanging="307"/>
        <w:spacing w:after="0" w:line="27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misclassifying $0.2 million of other income activity as revenue, where a transaction outside the scope of ASC Topic 606 was incorrectly presented in revenue rather than other income;</w:t>
      </w:r>
    </w:p>
    <w:p>
      <w:pPr>
        <w:spacing w:after="0" w:line="87" w:lineRule="exact"/>
        <w:rPr>
          <w:rFonts w:ascii="Times New Roman" w:cs="Times New Roman" w:eastAsia="Times New Roman" w:hAnsi="Times New Roman"/>
          <w:sz w:val="17"/>
          <w:szCs w:val="17"/>
          <w:color w:val="auto"/>
        </w:rPr>
      </w:pPr>
    </w:p>
    <w:p>
      <w:pPr>
        <w:ind w:left="620" w:hanging="307"/>
        <w:spacing w:after="0" w:line="255"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misclassifying $0.1 million in legal expenses that were costs associated with an offering of common stock and warrants as legal costs instead of recording them as a reduction to additional paid-in capital in accordance with applicable guidance;</w:t>
      </w:r>
    </w:p>
    <w:p>
      <w:pPr>
        <w:spacing w:after="0" w:line="100" w:lineRule="exact"/>
        <w:rPr>
          <w:rFonts w:ascii="Times New Roman" w:cs="Times New Roman" w:eastAsia="Times New Roman" w:hAnsi="Times New Roman"/>
          <w:sz w:val="17"/>
          <w:szCs w:val="17"/>
          <w:color w:val="auto"/>
        </w:rPr>
      </w:pPr>
    </w:p>
    <w:p>
      <w:pPr>
        <w:jc w:val="both"/>
        <w:ind w:left="620" w:hanging="307"/>
        <w:spacing w:after="0" w:line="24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misclassifying $1.7 million related to the Company’s prepaid research and development expense balance. Based on the nature of the underlying items, which included both deposits for undelivered goods and components received intended for use in commercial launch services, the balance did not meet the criteria for prepaid research and development expense under ASC 730. The Company has subsequently recorded and reclassified the balance from current assets to other non-current assets, ensuring proper classification in accordance with U.S. GAAP; and</w:t>
      </w:r>
    </w:p>
    <w:p>
      <w:pPr>
        <w:spacing w:after="0" w:line="9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misclassifying $0.3 million of accounts payable as accrued liabilities.</w:t>
      </w:r>
    </w:p>
    <w:p>
      <w:pPr>
        <w:spacing w:after="0" w:line="1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There were no material misstatements as a result of this material weakness; however, it could have resulted in a material misstatement to the annual or interim consolidated financial statements that would not have been prevented or detected on a timely basis.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Plan to Remediate the Material Weakness</w:t>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Management will implement remediation steps to address the material weakness and to improve our internal control environment. Company Management will prepare a plan with specific steps and milestones. This plan will be briefed to the Disclosure Committee and Audit Committee, and then to the full Board of Directors. The Company will engage with outside consultants to review the revised control processes and procedures and assist with implementation as necessary. The Company’s progress in implementation will be reviewed regularly by management, and the Disclosure and Audit Committees of the Board of Directors.</w:t>
      </w:r>
    </w:p>
    <w:p>
      <w:pPr>
        <w:spacing w:after="0" w:line="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No assurance can be made that our remediation efforts will be completed in a timely manner or that the updated controls and procedures associated with such efforts will be deemed adequate after being subjected to testing. If not remediated, this material weakness could result in material misstatements to our annual or interim consolidated financial statements that may not be prevented or detected on a timely basis or result in a delayed filing of required periodic reports. If we are unable to assert that our internal control over financial reporting is effective, investors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50" w:name="page51"/>
    <w:bookmarkEnd w:id="50"/>
    <w:p>
      <w:pPr>
        <w:jc w:val="both"/>
        <w:spacing w:after="0" w:line="254" w:lineRule="auto"/>
        <w:rPr>
          <w:sz w:val="20"/>
          <w:szCs w:val="20"/>
          <w:color w:val="auto"/>
        </w:rPr>
      </w:pPr>
      <w:r>
        <w:rPr>
          <w:rFonts w:ascii="Times New Roman" w:cs="Times New Roman" w:eastAsia="Times New Roman" w:hAnsi="Times New Roman"/>
          <w:sz w:val="17"/>
          <w:szCs w:val="17"/>
          <w:color w:val="auto"/>
        </w:rPr>
        <w:t>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fiscal quarter ended March 31, 2025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5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See the disclosures under the caption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 in Note 12 in the notes to our condensed consolidated interim financial statements included elsewhere in this Form 10-Q for disclosures related to our legal proceedings, which disclosures are incorporated herein by reference.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to the other information set forth in this report, you should carefully consider the risk factors discussed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our most recent Annual Report on Form 10-K filed by the Company on April 1, 2025, as amended on April 9, 2025, which could materially affect our business, financial condition or future results. The risks described below and in our Annual Report on Form 10-K filed by the Company on April 1, 2025, as amended on April 9, 2025, are not the only risks facing our Company. Additional risks and uncertainties not currently known to us or that we currently deem immaterial also may materially adversely affect our business, financial condition, operating results and/or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Promissory Note</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May 13, 2025, the Company issued to A.G.P./Alliance Global Partners (the “Holder”) a convertible promissory note (the “Convertible Note”) in the principal amount of $1,200,000 to evidence the Holder’s currently owed deferred commission. Unless earlier converted as specified in the Convertible Note, the principal amount plus all accrued but unpaid interest is due on November 13, 2026 (the “Maturity Date”). The Convertible Note accrues interest at 4.5% per annum.</w:t>
      </w:r>
    </w:p>
    <w:p>
      <w:pPr>
        <w:spacing w:after="0" w:line="1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At any time prior to the full payment of the Convertible Note the Holder, in its sole discretion, may elect to have all or any portion of the outstanding principal amount and all interest accrued converted into shares of the Company’s common stock, par value $0.0001 per share (the “Common Stock”), at a fixed price of $1.67, subject to adjustment as provided therein and to take into account any future share splits or reverse splits. In addition, a conversion of the Convertible Note that would cause the aggregate number of shares issued under the Convertible Note to exceed the Conversion Limit (as such term is defined in the Convertible Note) may not occur prior to receipt of stockholder approval to provide for such conversion of the Convertible Note, and the subsequent issuance of Common Stock, pursuant to the stockholder approval rules and regulations of the Nasdaq Stock Market. Further, following the Holder’s ability to convert the Convertible Note, if at all, the Holder will not be entitled to receive the Company’s Common Stock upon conversion, if such conversion would result in the Holder owning greater than 9.99% of the Company’s then currently outstanding Common Stock. The Holder is also entitled to resale registration rights as identified in the Convertible Note.</w:t>
      </w:r>
    </w:p>
    <w:p>
      <w:pPr>
        <w:spacing w:after="0" w:line="200" w:lineRule="exact"/>
        <w:rPr>
          <w:sz w:val="20"/>
          <w:szCs w:val="20"/>
          <w:color w:val="auto"/>
        </w:rPr>
      </w:pP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Company may prepay the Convertible Note in whole or in part. The Convertible Note contains customary default provisions for a transaction of this nature. In the event of certain Events of Default (as defined in the Convertible Note), all outstanding principal and accrued interest under the Convertible Note will become, or may become at the Holder’s election, immediately due and payable to the Holder.</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Company issued the Convertible Note pursuant to the exemption from the registration requirements of the Securities Act of 1933, as amended (the “Securities Act”), available under Section 4(a)(2). The shares of Common Stock that may be issued upon conversion of the Convertible Note, in amount of up to 718,563 shares, if such amount is not previously paid prior to maturity and the Holder elects to convert the Convertible Note, have not been registered under the Securities Act and such securities may not be offered or sold in the United States absent registration or an exemption from registration under the Securities Act and any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i w:val="1"/>
          <w:iCs w:val="1"/>
          <w:color w:val="auto"/>
        </w:rPr>
        <w:t>Debt Settlements</w:t>
      </w:r>
    </w:p>
    <w:p>
      <w:pPr>
        <w:spacing w:after="0" w:line="2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Between April 21, 2025 and May 12, 2025, the Company issued 164,393 shares of its Class A common stock (the “Common Stock”) to four vendors to settle outstanding debts of $292,942.42.</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Shares of the Company’s Common Stock issued in the transactions described herein are exempt from registration under the Securities Act in reliance on Section 4(a)(2) of the Securities Act. Each of the vendors is an “accredited investor” as defined in Regulation D or “sophisticated investor” and was acquiring the shares for investment only and not with a view towards, or for resale in connection with, the public sale or distribution thereof. Accordingly, the shares of the Company’s Common Stock were not registered under the Securities Act and may not be offered or sold in the United States absent registration or an exemption from registration under the Securities Act and any applicable state securities laws.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5"/>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83"/>
        </w:trPr>
        <w:tc>
          <w:tcPr>
            <w:tcW w:w="1280" w:type="dxa"/>
            <w:vAlign w:val="bottom"/>
            <w:tcBorders>
              <w:top w:val="single" w:sz="8" w:color="3051F2"/>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Exhibit Number</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19"/>
          </w:tcPr>
          <w:p>
            <w:pPr>
              <w:ind w:left="1040"/>
              <w:spacing w:after="0"/>
              <w:rPr>
                <w:sz w:val="20"/>
                <w:szCs w:val="20"/>
                <w:color w:val="auto"/>
              </w:rPr>
            </w:pPr>
            <w:r>
              <w:rPr>
                <w:rFonts w:ascii="Times New Roman" w:cs="Times New Roman" w:eastAsia="Times New Roman" w:hAnsi="Times New Roman"/>
                <w:sz w:val="17"/>
                <w:szCs w:val="17"/>
                <w:b w:val="1"/>
                <w:bCs w:val="1"/>
                <w:color w:val="auto"/>
              </w:rPr>
              <w:t>Description of Exhibit</w:t>
            </w:r>
          </w:p>
        </w:tc>
      </w:tr>
      <w:tr>
        <w:trPr>
          <w:trHeight w:val="25"/>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w:t>
            </w:r>
          </w:p>
        </w:tc>
        <w:tc>
          <w:tcPr>
            <w:tcW w:w="140" w:type="dxa"/>
            <w:vAlign w:val="bottom"/>
            <w:shd w:val="clear" w:color="auto" w:fill="CCEEFF"/>
          </w:tcPr>
          <w:p>
            <w:pPr>
              <w:spacing w:after="0"/>
              <w:rPr>
                <w:sz w:val="15"/>
                <w:szCs w:val="15"/>
                <w:color w:val="auto"/>
              </w:rPr>
            </w:pPr>
          </w:p>
        </w:tc>
        <w:tc>
          <w:tcPr>
            <w:tcW w:w="9860" w:type="dxa"/>
            <w:vAlign w:val="bottom"/>
            <w:gridSpan w:val="28"/>
            <w:shd w:val="clear" w:color="auto" w:fill="CCEEFF"/>
          </w:tcPr>
          <w:p>
            <w:pPr>
              <w:spacing w:after="0" w:line="181"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Second Amended and Restated Certificate of Incorporation (incorporated by reference to Exhibit 3.1 to the Company’s Current Report on</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540" w:type="dxa"/>
            <w:vAlign w:val="bottom"/>
            <w:tcBorders>
              <w:top w:val="single" w:sz="8" w:color="0000FF"/>
              <w:bottom w:val="single" w:sz="8" w:color="0000FF"/>
            </w:tcBorders>
            <w:gridSpan w:val="8"/>
            <w:shd w:val="clear" w:color="auto" w:fill="CCEEFF"/>
          </w:tcPr>
          <w:p>
            <w:pPr>
              <w:spacing w:after="0" w:line="173"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Form 8-K filed on August 22, 2023).</w:t>
              </w:r>
            </w:hyperlink>
          </w:p>
        </w:tc>
        <w:tc>
          <w:tcPr>
            <w:tcW w:w="6920" w:type="dxa"/>
            <w:vAlign w:val="bottom"/>
            <w:tcBorders>
              <w:top w:val="single" w:sz="8" w:color="0000FF"/>
              <w:bottom w:val="single" w:sz="8" w:color="CCEEFF"/>
            </w:tcBorders>
            <w:gridSpan w:val="10"/>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15"/>
                <w:szCs w:val="15"/>
                <w:color w:val="auto"/>
              </w:rPr>
            </w:pPr>
          </w:p>
        </w:tc>
        <w:tc>
          <w:tcPr>
            <w:tcW w:w="9860" w:type="dxa"/>
            <w:vAlign w:val="bottom"/>
            <w:gridSpan w:val="28"/>
          </w:tcPr>
          <w:p>
            <w:pPr>
              <w:spacing w:after="0" w:line="181"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Certificate of Amendment to Second Amended and Restated Certificate of Incorporation (incorporated by reference to Exhibit 3.1 to the</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360" w:type="dxa"/>
            <w:vAlign w:val="bottom"/>
            <w:tcBorders>
              <w:top w:val="single" w:sz="8" w:color="0000FF"/>
            </w:tcBorders>
            <w:gridSpan w:val="16"/>
          </w:tcPr>
          <w:p>
            <w:pPr>
              <w:spacing w:after="0" w:line="173"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Company’s Current Report on Form 8-K filed on August 22, 2023).</w:t>
              </w:r>
            </w:hyperlink>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620" w:type="dxa"/>
            <w:vAlign w:val="bottom"/>
            <w:tcBorders>
              <w:top w:val="single" w:sz="8" w:color="0000FF"/>
            </w:tcBorders>
          </w:tcPr>
          <w:p>
            <w:pPr>
              <w:spacing w:after="0"/>
              <w:rPr>
                <w:sz w:val="3"/>
                <w:szCs w:val="3"/>
                <w:color w:val="auto"/>
              </w:rPr>
            </w:pPr>
          </w:p>
        </w:tc>
        <w:tc>
          <w:tcPr>
            <w:tcW w:w="2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3.3</w:t>
            </w:r>
          </w:p>
        </w:tc>
        <w:tc>
          <w:tcPr>
            <w:tcW w:w="140" w:type="dxa"/>
            <w:vAlign w:val="bottom"/>
            <w:shd w:val="clear" w:color="auto" w:fill="CCEEFF"/>
          </w:tcPr>
          <w:p>
            <w:pPr>
              <w:spacing w:after="0"/>
              <w:rPr>
                <w:sz w:val="15"/>
                <w:szCs w:val="15"/>
                <w:color w:val="auto"/>
              </w:rPr>
            </w:pPr>
          </w:p>
        </w:tc>
        <w:tc>
          <w:tcPr>
            <w:tcW w:w="9860" w:type="dxa"/>
            <w:vAlign w:val="bottom"/>
            <w:gridSpan w:val="28"/>
            <w:shd w:val="clear" w:color="auto" w:fill="CCEEFF"/>
          </w:tcPr>
          <w:p>
            <w:pPr>
              <w:spacing w:after="0" w:line="181"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Second Certificate of Amendment to the Second Amended and Restated Certificate of Incorporation of Momentus Inc. (incorporated by</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960" w:type="dxa"/>
            <w:vAlign w:val="bottom"/>
            <w:tcBorders>
              <w:top w:val="single" w:sz="8" w:color="0000FF"/>
              <w:bottom w:val="single" w:sz="8" w:color="0000FF"/>
            </w:tcBorders>
            <w:gridSpan w:val="11"/>
            <w:shd w:val="clear" w:color="auto" w:fill="CCEEFF"/>
          </w:tcPr>
          <w:p>
            <w:pPr>
              <w:spacing w:after="0" w:line="173"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reference to Exhibit 3.1 to the Company’s Current Report on Form 8-K filed on December 10, 2024).</w:t>
              </w:r>
            </w:hyperlink>
          </w:p>
        </w:tc>
        <w:tc>
          <w:tcPr>
            <w:tcW w:w="2380" w:type="dxa"/>
            <w:vAlign w:val="bottom"/>
            <w:tcBorders>
              <w:top w:val="single" w:sz="8" w:color="0000FF"/>
              <w:bottom w:val="single" w:sz="8" w:color="CCEEFF"/>
            </w:tcBorders>
            <w:gridSpan w:val="4"/>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3.4</w:t>
            </w:r>
          </w:p>
        </w:tc>
        <w:tc>
          <w:tcPr>
            <w:tcW w:w="140" w:type="dxa"/>
            <w:vAlign w:val="bottom"/>
          </w:tcPr>
          <w:p>
            <w:pPr>
              <w:spacing w:after="0"/>
              <w:rPr>
                <w:sz w:val="15"/>
                <w:szCs w:val="15"/>
                <w:color w:val="auto"/>
              </w:rPr>
            </w:pPr>
          </w:p>
        </w:tc>
        <w:tc>
          <w:tcPr>
            <w:tcW w:w="9860" w:type="dxa"/>
            <w:vAlign w:val="bottom"/>
            <w:gridSpan w:val="28"/>
          </w:tcPr>
          <w:p>
            <w:pPr>
              <w:spacing w:after="0" w:line="181"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Amended and Restated Bylaws of the Company (incorporated by reference to Exhibit 3.2 to the Company’s Current Report on Form 8-K filed</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780" w:type="dxa"/>
            <w:vAlign w:val="bottom"/>
            <w:tcBorders>
              <w:top w:val="single" w:sz="8" w:color="0000FF"/>
            </w:tcBorders>
            <w:gridSpan w:val="24"/>
          </w:tcPr>
          <w:p>
            <w:pPr>
              <w:spacing w:after="0" w:line="173"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on August 18,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spacing w:after="0"/>
              <w:rPr>
                <w:sz w:val="15"/>
                <w:szCs w:val="15"/>
                <w:color w:val="auto"/>
              </w:rPr>
            </w:pPr>
          </w:p>
        </w:tc>
        <w:tc>
          <w:tcPr>
            <w:tcW w:w="9860" w:type="dxa"/>
            <w:vAlign w:val="bottom"/>
            <w:gridSpan w:val="28"/>
            <w:shd w:val="clear" w:color="auto" w:fill="CCEEFF"/>
          </w:tcPr>
          <w:p>
            <w:pPr>
              <w:spacing w:after="0" w:line="181"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First Amendment to the Amended and Restated Bylaws of the Company (incorporated by reference to Exhibit 3.1 to the Company’s Current</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0000FF"/>
            </w:tcBorders>
            <w:gridSpan w:val="22"/>
            <w:shd w:val="clear" w:color="auto" w:fill="CCEEFF"/>
          </w:tcPr>
          <w:p>
            <w:pPr>
              <w:spacing w:after="0" w:line="173"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Report on Form 8-K filed on July 25, 2023).</w:t>
              </w:r>
            </w:hyperlink>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230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3.6</w:t>
            </w:r>
          </w:p>
        </w:tc>
        <w:tc>
          <w:tcPr>
            <w:tcW w:w="140" w:type="dxa"/>
            <w:vAlign w:val="bottom"/>
          </w:tcPr>
          <w:p>
            <w:pPr>
              <w:spacing w:after="0"/>
              <w:rPr>
                <w:sz w:val="15"/>
                <w:szCs w:val="15"/>
                <w:color w:val="auto"/>
              </w:rPr>
            </w:pPr>
          </w:p>
        </w:tc>
        <w:tc>
          <w:tcPr>
            <w:tcW w:w="9860" w:type="dxa"/>
            <w:vAlign w:val="bottom"/>
            <w:gridSpan w:val="28"/>
          </w:tcPr>
          <w:p>
            <w:pPr>
              <w:spacing w:after="0" w:line="181"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Certificate of Designations, dated April 14, 2025 (incorporated by reference to Exhibit 3.1 to the Company’s Current Report on Form 8-K</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tcBorders>
              <w:top w:val="single" w:sz="8" w:color="0000FF"/>
            </w:tcBorders>
            <w:gridSpan w:val="11"/>
          </w:tcPr>
          <w:p>
            <w:pPr>
              <w:spacing w:after="0" w:line="173"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filed on April 14, 2025).</w:t>
              </w:r>
            </w:hyperlink>
          </w:p>
        </w:tc>
        <w:tc>
          <w:tcPr>
            <w:tcW w:w="10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gridSpan w:val="3"/>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w:t>
            </w:r>
          </w:p>
        </w:tc>
        <w:tc>
          <w:tcPr>
            <w:tcW w:w="140" w:type="dxa"/>
            <w:vAlign w:val="bottom"/>
            <w:shd w:val="clear" w:color="auto" w:fill="CCEEFF"/>
          </w:tcPr>
          <w:p>
            <w:pPr>
              <w:spacing w:after="0"/>
              <w:rPr>
                <w:sz w:val="15"/>
                <w:szCs w:val="15"/>
                <w:color w:val="auto"/>
              </w:rPr>
            </w:pPr>
          </w:p>
        </w:tc>
        <w:tc>
          <w:tcPr>
            <w:tcW w:w="9860" w:type="dxa"/>
            <w:vAlign w:val="bottom"/>
            <w:gridSpan w:val="28"/>
            <w:shd w:val="clear" w:color="auto" w:fill="CCEEFF"/>
          </w:tcPr>
          <w:p>
            <w:pPr>
              <w:spacing w:after="0" w:line="181"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Form of Common Warrant (incorporated by reference to Exhibit 4.1 to the Company’s Current Report on Form 8-K filed on February 13,</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0000FF"/>
              <w:bottom w:val="single" w:sz="8" w:color="0000FF"/>
            </w:tcBorders>
            <w:shd w:val="clear" w:color="auto" w:fill="CCEEFF"/>
          </w:tcPr>
          <w:p>
            <w:pPr>
              <w:spacing w:after="0" w:line="173" w:lineRule="exact"/>
              <w:rPr>
                <w:rFonts w:ascii="Times New Roman" w:cs="Times New Roman" w:eastAsia="Times New Roman" w:hAnsi="Times New Roman"/>
                <w:sz w:val="17"/>
                <w:szCs w:val="17"/>
                <w:color w:val="0000FF"/>
                <w:w w:val="95"/>
              </w:rPr>
            </w:pPr>
            <w:hyperlink r:id="rId81">
              <w:r>
                <w:rPr>
                  <w:rFonts w:ascii="Times New Roman" w:cs="Times New Roman" w:eastAsia="Times New Roman" w:hAnsi="Times New Roman"/>
                  <w:sz w:val="17"/>
                  <w:szCs w:val="17"/>
                  <w:color w:val="0000FF"/>
                  <w:w w:val="95"/>
                </w:rPr>
                <w:t>2025).</w:t>
              </w:r>
            </w:hyperlink>
          </w:p>
        </w:tc>
        <w:tc>
          <w:tcPr>
            <w:tcW w:w="260" w:type="dxa"/>
            <w:vAlign w:val="bottom"/>
            <w:tcBorders>
              <w:top w:val="single" w:sz="8" w:color="0000FF"/>
              <w:bottom w:val="single" w:sz="8" w:color="CCEEFF"/>
            </w:tcBorders>
            <w:shd w:val="clear" w:color="auto" w:fill="CCEEFF"/>
          </w:tcPr>
          <w:p>
            <w:pPr>
              <w:spacing w:after="0"/>
              <w:rPr>
                <w:sz w:val="18"/>
                <w:szCs w:val="18"/>
                <w:color w:val="auto"/>
              </w:rPr>
            </w:pPr>
          </w:p>
        </w:tc>
        <w:tc>
          <w:tcPr>
            <w:tcW w:w="66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580" w:type="dxa"/>
            <w:vAlign w:val="bottom"/>
            <w:tcBorders>
              <w:top w:val="single" w:sz="8" w:color="0000FF"/>
              <w:bottom w:val="single" w:sz="8" w:color="CCEEFF"/>
            </w:tcBorders>
            <w:shd w:val="clear" w:color="auto" w:fill="CCEEFF"/>
          </w:tcPr>
          <w:p>
            <w:pPr>
              <w:spacing w:after="0"/>
              <w:rPr>
                <w:sz w:val="18"/>
                <w:szCs w:val="18"/>
                <w:color w:val="auto"/>
              </w:rPr>
            </w:pPr>
          </w:p>
        </w:tc>
        <w:tc>
          <w:tcPr>
            <w:tcW w:w="500" w:type="dxa"/>
            <w:vAlign w:val="bottom"/>
            <w:tcBorders>
              <w:top w:val="single" w:sz="8" w:color="0000FF"/>
              <w:bottom w:val="single" w:sz="8" w:color="CCEEFF"/>
            </w:tcBorders>
            <w:shd w:val="clear" w:color="auto" w:fill="CCEEFF"/>
          </w:tcPr>
          <w:p>
            <w:pPr>
              <w:spacing w:after="0"/>
              <w:rPr>
                <w:sz w:val="18"/>
                <w:szCs w:val="18"/>
                <w:color w:val="auto"/>
              </w:rPr>
            </w:pPr>
          </w:p>
        </w:tc>
        <w:tc>
          <w:tcPr>
            <w:tcW w:w="1620" w:type="dxa"/>
            <w:vAlign w:val="bottom"/>
            <w:tcBorders>
              <w:top w:val="single" w:sz="8" w:color="0000FF"/>
              <w:bottom w:val="single" w:sz="8" w:color="CCEEFF"/>
            </w:tcBorders>
            <w:shd w:val="clear" w:color="auto" w:fill="CCEEFF"/>
          </w:tcPr>
          <w:p>
            <w:pPr>
              <w:spacing w:after="0"/>
              <w:rPr>
                <w:sz w:val="18"/>
                <w:szCs w:val="18"/>
                <w:color w:val="auto"/>
              </w:rPr>
            </w:pPr>
          </w:p>
        </w:tc>
        <w:tc>
          <w:tcPr>
            <w:tcW w:w="2300" w:type="dxa"/>
            <w:vAlign w:val="bottom"/>
            <w:tcBorders>
              <w:top w:val="single" w:sz="8" w:color="0000FF"/>
              <w:bottom w:val="single" w:sz="8" w:color="CCEEFF"/>
            </w:tcBorders>
            <w:shd w:val="clear" w:color="auto" w:fill="CCEEFF"/>
          </w:tcPr>
          <w:p>
            <w:pPr>
              <w:spacing w:after="0"/>
              <w:rPr>
                <w:sz w:val="18"/>
                <w:szCs w:val="18"/>
                <w:color w:val="auto"/>
              </w:rPr>
            </w:pPr>
          </w:p>
        </w:tc>
        <w:tc>
          <w:tcPr>
            <w:tcW w:w="1000" w:type="dxa"/>
            <w:vAlign w:val="bottom"/>
            <w:tcBorders>
              <w:top w:val="single" w:sz="8" w:color="0000FF"/>
              <w:bottom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CCEEFF"/>
            </w:tcBorders>
            <w:shd w:val="clear" w:color="auto" w:fill="CCEEFF"/>
          </w:tcPr>
          <w:p>
            <w:pPr>
              <w:spacing w:after="0"/>
              <w:rPr>
                <w:sz w:val="18"/>
                <w:szCs w:val="18"/>
                <w:color w:val="auto"/>
              </w:rPr>
            </w:pPr>
          </w:p>
        </w:tc>
        <w:tc>
          <w:tcPr>
            <w:tcW w:w="9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15"/>
                <w:szCs w:val="15"/>
                <w:color w:val="auto"/>
              </w:rPr>
            </w:pPr>
          </w:p>
        </w:tc>
        <w:tc>
          <w:tcPr>
            <w:tcW w:w="9860" w:type="dxa"/>
            <w:vAlign w:val="bottom"/>
            <w:gridSpan w:val="28"/>
          </w:tcPr>
          <w:p>
            <w:pPr>
              <w:spacing w:after="0" w:line="181"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Form of Pre-Funded Warrant (incorporated by reference to Exhibit 4.2 to the Company’s Current Report on Form 8-K filed on February 13,</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top w:val="single" w:sz="8" w:color="0000FF"/>
            </w:tcBorders>
            <w:gridSpan w:val="2"/>
          </w:tcPr>
          <w:p>
            <w:pPr>
              <w:spacing w:after="0" w:line="173"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2025).</w:t>
              </w:r>
            </w:hyperlink>
          </w:p>
        </w:tc>
        <w:tc>
          <w:tcPr>
            <w:tcW w:w="6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620" w:type="dxa"/>
            <w:vAlign w:val="bottom"/>
            <w:tcBorders>
              <w:top w:val="single" w:sz="8" w:color="0000FF"/>
            </w:tcBorders>
          </w:tcPr>
          <w:p>
            <w:pPr>
              <w:spacing w:after="0"/>
              <w:rPr>
                <w:sz w:val="15"/>
                <w:szCs w:val="15"/>
                <w:color w:val="auto"/>
              </w:rPr>
            </w:pPr>
          </w:p>
        </w:tc>
        <w:tc>
          <w:tcPr>
            <w:tcW w:w="230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4.3</w:t>
            </w:r>
          </w:p>
        </w:tc>
        <w:tc>
          <w:tcPr>
            <w:tcW w:w="140" w:type="dxa"/>
            <w:vAlign w:val="bottom"/>
            <w:shd w:val="clear" w:color="auto" w:fill="CCEEFF"/>
          </w:tcPr>
          <w:p>
            <w:pPr>
              <w:spacing w:after="0"/>
              <w:rPr>
                <w:sz w:val="15"/>
                <w:szCs w:val="15"/>
                <w:color w:val="auto"/>
              </w:rPr>
            </w:pPr>
          </w:p>
        </w:tc>
        <w:tc>
          <w:tcPr>
            <w:tcW w:w="9860" w:type="dxa"/>
            <w:vAlign w:val="bottom"/>
            <w:gridSpan w:val="28"/>
            <w:shd w:val="clear" w:color="auto" w:fill="CCEEFF"/>
          </w:tcPr>
          <w:p>
            <w:pPr>
              <w:spacing w:after="0" w:line="181"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Amendment to Common Stock Purchase Warrants (incorporated by reference to Exhibit 4.3 to the Company’s Current Report on Form 8-K</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580" w:type="dxa"/>
            <w:vAlign w:val="bottom"/>
            <w:tcBorders>
              <w:top w:val="single" w:sz="8" w:color="0000FF"/>
            </w:tcBorders>
            <w:gridSpan w:val="20"/>
            <w:shd w:val="clear" w:color="auto" w:fill="CCEEFF"/>
          </w:tcPr>
          <w:p>
            <w:pPr>
              <w:spacing w:after="0" w:line="173"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filed on February 13, 2025).</w:t>
              </w:r>
            </w:hyperlink>
          </w:p>
        </w:tc>
        <w:tc>
          <w:tcPr>
            <w:tcW w:w="140" w:type="dxa"/>
            <w:vAlign w:val="bottom"/>
            <w:tcBorders>
              <w:top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230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4.4</w:t>
            </w:r>
          </w:p>
        </w:tc>
        <w:tc>
          <w:tcPr>
            <w:tcW w:w="140" w:type="dxa"/>
            <w:vAlign w:val="bottom"/>
          </w:tcPr>
          <w:p>
            <w:pPr>
              <w:spacing w:after="0"/>
              <w:rPr>
                <w:sz w:val="15"/>
                <w:szCs w:val="15"/>
                <w:color w:val="auto"/>
              </w:rPr>
            </w:pPr>
          </w:p>
        </w:tc>
        <w:tc>
          <w:tcPr>
            <w:tcW w:w="9860" w:type="dxa"/>
            <w:vAlign w:val="bottom"/>
            <w:gridSpan w:val="28"/>
          </w:tcPr>
          <w:p>
            <w:pPr>
              <w:spacing w:after="0" w:line="181"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Form of Placement Agent Warrant (incorporated by reference to Exhibit 4.4 to the Company’s Current Report on Form 8-K filed on February</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top w:val="single" w:sz="8" w:color="0000FF"/>
            </w:tcBorders>
            <w:gridSpan w:val="3"/>
          </w:tcPr>
          <w:p>
            <w:pPr>
              <w:spacing w:after="0" w:line="173"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13, 2025).</w:t>
              </w:r>
            </w:hyperlink>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620" w:type="dxa"/>
            <w:vAlign w:val="bottom"/>
            <w:tcBorders>
              <w:top w:val="single" w:sz="8" w:color="0000FF"/>
            </w:tcBorders>
          </w:tcPr>
          <w:p>
            <w:pPr>
              <w:spacing w:after="0"/>
              <w:rPr>
                <w:sz w:val="15"/>
                <w:szCs w:val="15"/>
                <w:color w:val="auto"/>
              </w:rPr>
            </w:pPr>
          </w:p>
        </w:tc>
        <w:tc>
          <w:tcPr>
            <w:tcW w:w="230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4.5</w:t>
            </w:r>
          </w:p>
        </w:tc>
        <w:tc>
          <w:tcPr>
            <w:tcW w:w="140" w:type="dxa"/>
            <w:vAlign w:val="bottom"/>
            <w:shd w:val="clear" w:color="auto" w:fill="CCEEFF"/>
          </w:tcPr>
          <w:p>
            <w:pPr>
              <w:spacing w:after="0"/>
              <w:rPr>
                <w:sz w:val="15"/>
                <w:szCs w:val="15"/>
                <w:color w:val="auto"/>
              </w:rPr>
            </w:pPr>
          </w:p>
        </w:tc>
        <w:tc>
          <w:tcPr>
            <w:tcW w:w="9860" w:type="dxa"/>
            <w:vAlign w:val="bottom"/>
            <w:gridSpan w:val="28"/>
            <w:shd w:val="clear" w:color="auto" w:fill="CCEEFF"/>
          </w:tcPr>
          <w:p>
            <w:pPr>
              <w:spacing w:after="0" w:line="181"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Form of Inducement Warrant (incorporated by reference to Exhibit 4.1 to the Company’s Current Report on Form 8-K filed on March 21,</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0000FF"/>
              <w:bottom w:val="single" w:sz="8" w:color="0000FF"/>
            </w:tcBorders>
            <w:shd w:val="clear" w:color="auto" w:fill="CCEEFF"/>
          </w:tcPr>
          <w:p>
            <w:pPr>
              <w:spacing w:after="0" w:line="173" w:lineRule="exact"/>
              <w:rPr>
                <w:rFonts w:ascii="Times New Roman" w:cs="Times New Roman" w:eastAsia="Times New Roman" w:hAnsi="Times New Roman"/>
                <w:sz w:val="17"/>
                <w:szCs w:val="17"/>
                <w:color w:val="0000FF"/>
                <w:w w:val="95"/>
              </w:rPr>
            </w:pPr>
            <w:hyperlink r:id="rId85">
              <w:r>
                <w:rPr>
                  <w:rFonts w:ascii="Times New Roman" w:cs="Times New Roman" w:eastAsia="Times New Roman" w:hAnsi="Times New Roman"/>
                  <w:sz w:val="17"/>
                  <w:szCs w:val="17"/>
                  <w:color w:val="0000FF"/>
                  <w:w w:val="95"/>
                </w:rPr>
                <w:t>2025).</w:t>
              </w:r>
            </w:hyperlink>
          </w:p>
        </w:tc>
        <w:tc>
          <w:tcPr>
            <w:tcW w:w="260" w:type="dxa"/>
            <w:vAlign w:val="bottom"/>
            <w:tcBorders>
              <w:top w:val="single" w:sz="8" w:color="0000FF"/>
              <w:bottom w:val="single" w:sz="8" w:color="CCEEFF"/>
            </w:tcBorders>
            <w:shd w:val="clear" w:color="auto" w:fill="CCEEFF"/>
          </w:tcPr>
          <w:p>
            <w:pPr>
              <w:spacing w:after="0"/>
              <w:rPr>
                <w:sz w:val="18"/>
                <w:szCs w:val="18"/>
                <w:color w:val="auto"/>
              </w:rPr>
            </w:pPr>
          </w:p>
        </w:tc>
        <w:tc>
          <w:tcPr>
            <w:tcW w:w="66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580" w:type="dxa"/>
            <w:vAlign w:val="bottom"/>
            <w:tcBorders>
              <w:top w:val="single" w:sz="8" w:color="0000FF"/>
              <w:bottom w:val="single" w:sz="8" w:color="CCEEFF"/>
            </w:tcBorders>
            <w:shd w:val="clear" w:color="auto" w:fill="CCEEFF"/>
          </w:tcPr>
          <w:p>
            <w:pPr>
              <w:spacing w:after="0"/>
              <w:rPr>
                <w:sz w:val="18"/>
                <w:szCs w:val="18"/>
                <w:color w:val="auto"/>
              </w:rPr>
            </w:pPr>
          </w:p>
        </w:tc>
        <w:tc>
          <w:tcPr>
            <w:tcW w:w="500" w:type="dxa"/>
            <w:vAlign w:val="bottom"/>
            <w:tcBorders>
              <w:top w:val="single" w:sz="8" w:color="0000FF"/>
              <w:bottom w:val="single" w:sz="8" w:color="CCEEFF"/>
            </w:tcBorders>
            <w:shd w:val="clear" w:color="auto" w:fill="CCEEFF"/>
          </w:tcPr>
          <w:p>
            <w:pPr>
              <w:spacing w:after="0"/>
              <w:rPr>
                <w:sz w:val="18"/>
                <w:szCs w:val="18"/>
                <w:color w:val="auto"/>
              </w:rPr>
            </w:pPr>
          </w:p>
        </w:tc>
        <w:tc>
          <w:tcPr>
            <w:tcW w:w="1620" w:type="dxa"/>
            <w:vAlign w:val="bottom"/>
            <w:tcBorders>
              <w:top w:val="single" w:sz="8" w:color="0000FF"/>
              <w:bottom w:val="single" w:sz="8" w:color="CCEEFF"/>
            </w:tcBorders>
            <w:shd w:val="clear" w:color="auto" w:fill="CCEEFF"/>
          </w:tcPr>
          <w:p>
            <w:pPr>
              <w:spacing w:after="0"/>
              <w:rPr>
                <w:sz w:val="18"/>
                <w:szCs w:val="18"/>
                <w:color w:val="auto"/>
              </w:rPr>
            </w:pPr>
          </w:p>
        </w:tc>
        <w:tc>
          <w:tcPr>
            <w:tcW w:w="2300" w:type="dxa"/>
            <w:vAlign w:val="bottom"/>
            <w:tcBorders>
              <w:top w:val="single" w:sz="8" w:color="0000FF"/>
              <w:bottom w:val="single" w:sz="8" w:color="CCEEFF"/>
            </w:tcBorders>
            <w:shd w:val="clear" w:color="auto" w:fill="CCEEFF"/>
          </w:tcPr>
          <w:p>
            <w:pPr>
              <w:spacing w:after="0"/>
              <w:rPr>
                <w:sz w:val="18"/>
                <w:szCs w:val="18"/>
                <w:color w:val="auto"/>
              </w:rPr>
            </w:pPr>
          </w:p>
        </w:tc>
        <w:tc>
          <w:tcPr>
            <w:tcW w:w="1000" w:type="dxa"/>
            <w:vAlign w:val="bottom"/>
            <w:tcBorders>
              <w:top w:val="single" w:sz="8" w:color="0000FF"/>
              <w:bottom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CCEEFF"/>
            </w:tcBorders>
            <w:shd w:val="clear" w:color="auto" w:fill="CCEEFF"/>
          </w:tcPr>
          <w:p>
            <w:pPr>
              <w:spacing w:after="0"/>
              <w:rPr>
                <w:sz w:val="18"/>
                <w:szCs w:val="18"/>
                <w:color w:val="auto"/>
              </w:rPr>
            </w:pPr>
          </w:p>
        </w:tc>
        <w:tc>
          <w:tcPr>
            <w:tcW w:w="9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15"/>
                <w:szCs w:val="15"/>
                <w:color w:val="auto"/>
              </w:rPr>
            </w:pPr>
          </w:p>
        </w:tc>
        <w:tc>
          <w:tcPr>
            <w:tcW w:w="9860" w:type="dxa"/>
            <w:vAlign w:val="bottom"/>
            <w:gridSpan w:val="28"/>
          </w:tcPr>
          <w:p>
            <w:pPr>
              <w:spacing w:after="0" w:line="181"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Form of Securities Purchase Agreement (incorporated by reference to Exhibit 10.1 to the Company’s Current Report on Form 8-K filed on</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40" w:type="dxa"/>
            <w:vAlign w:val="bottom"/>
            <w:tcBorders>
              <w:top w:val="single" w:sz="8" w:color="0000FF"/>
            </w:tcBorders>
            <w:gridSpan w:val="27"/>
          </w:tcPr>
          <w:p>
            <w:pPr>
              <w:spacing w:after="0" w:line="173"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February 13, 2025).</w:t>
              </w:r>
            </w:hyperlink>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140" w:type="dxa"/>
            <w:vAlign w:val="bottom"/>
            <w:shd w:val="clear" w:color="auto" w:fill="CCEEFF"/>
          </w:tcPr>
          <w:p>
            <w:pPr>
              <w:spacing w:after="0"/>
              <w:rPr>
                <w:sz w:val="15"/>
                <w:szCs w:val="15"/>
                <w:color w:val="auto"/>
              </w:rPr>
            </w:pPr>
          </w:p>
        </w:tc>
        <w:tc>
          <w:tcPr>
            <w:tcW w:w="9860" w:type="dxa"/>
            <w:vAlign w:val="bottom"/>
            <w:gridSpan w:val="28"/>
            <w:shd w:val="clear" w:color="auto" w:fill="CCEEFF"/>
          </w:tcPr>
          <w:p>
            <w:pPr>
              <w:spacing w:after="0" w:line="181"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Form of Warrant Inducement Agreement, by and between Momentus Inc. and the Holder identified on the signature page thereto</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800" w:type="dxa"/>
            <w:vAlign w:val="bottom"/>
            <w:tcBorders>
              <w:top w:val="single" w:sz="8" w:color="0000FF"/>
            </w:tcBorders>
            <w:gridSpan w:val="25"/>
            <w:shd w:val="clear" w:color="auto" w:fill="CCEEFF"/>
          </w:tcPr>
          <w:p>
            <w:pPr>
              <w:spacing w:after="0" w:line="173"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(incorporated by reference to Exhibit 10.1 to the Company’s Current Report on Form 8-K filed on March 21, 2025).</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1620" w:type="dxa"/>
            <w:vAlign w:val="bottom"/>
            <w:tcBorders>
              <w:top w:val="single" w:sz="8" w:color="0000FF"/>
            </w:tcBorders>
            <w:shd w:val="clear" w:color="auto" w:fill="CCEEFF"/>
          </w:tcPr>
          <w:p>
            <w:pPr>
              <w:spacing w:after="0"/>
              <w:rPr>
                <w:sz w:val="3"/>
                <w:szCs w:val="3"/>
                <w:color w:val="auto"/>
              </w:rPr>
            </w:pPr>
          </w:p>
        </w:tc>
        <w:tc>
          <w:tcPr>
            <w:tcW w:w="230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10.3*</w:t>
            </w:r>
          </w:p>
        </w:tc>
        <w:tc>
          <w:tcPr>
            <w:tcW w:w="140" w:type="dxa"/>
            <w:vAlign w:val="bottom"/>
          </w:tcPr>
          <w:p>
            <w:pPr>
              <w:spacing w:after="0"/>
              <w:rPr>
                <w:sz w:val="15"/>
                <w:szCs w:val="15"/>
                <w:color w:val="auto"/>
              </w:rPr>
            </w:pPr>
          </w:p>
        </w:tc>
        <w:tc>
          <w:tcPr>
            <w:tcW w:w="9860" w:type="dxa"/>
            <w:vAlign w:val="bottom"/>
            <w:gridSpan w:val="28"/>
          </w:tcPr>
          <w:p>
            <w:pPr>
              <w:spacing w:after="0" w:line="181" w:lineRule="exact"/>
              <w:rPr>
                <w:sz w:val="20"/>
                <w:szCs w:val="20"/>
                <w:color w:val="auto"/>
              </w:rPr>
            </w:pPr>
            <w:r>
              <w:rPr>
                <w:rFonts w:ascii="Times New Roman" w:cs="Times New Roman" w:eastAsia="Times New Roman" w:hAnsi="Times New Roman"/>
                <w:sz w:val="17"/>
                <w:szCs w:val="17"/>
                <w:color w:val="0000FF"/>
              </w:rPr>
              <w:t>Convertible Promissory Note dated May 13, 2025 by and between Momentus Inc. and A.G.P./Alliance Global Partners.</w:t>
            </w: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620" w:type="dxa"/>
            <w:vAlign w:val="bottom"/>
            <w:tcBorders>
              <w:top w:val="single" w:sz="8" w:color="0000FF"/>
            </w:tcBorders>
          </w:tcPr>
          <w:p>
            <w:pPr>
              <w:spacing w:after="0"/>
              <w:rPr>
                <w:sz w:val="3"/>
                <w:szCs w:val="3"/>
                <w:color w:val="auto"/>
              </w:rPr>
            </w:pPr>
          </w:p>
        </w:tc>
        <w:tc>
          <w:tcPr>
            <w:tcW w:w="230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31.1*</w:t>
            </w:r>
          </w:p>
        </w:tc>
        <w:tc>
          <w:tcPr>
            <w:tcW w:w="140" w:type="dxa"/>
            <w:vAlign w:val="bottom"/>
            <w:shd w:val="clear" w:color="auto" w:fill="CCEEFF"/>
          </w:tcPr>
          <w:p>
            <w:pPr>
              <w:spacing w:after="0"/>
              <w:rPr>
                <w:sz w:val="15"/>
                <w:szCs w:val="15"/>
                <w:color w:val="auto"/>
              </w:rPr>
            </w:pPr>
          </w:p>
        </w:tc>
        <w:tc>
          <w:tcPr>
            <w:tcW w:w="9860" w:type="dxa"/>
            <w:vAlign w:val="bottom"/>
            <w:gridSpan w:val="28"/>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79"/>
        </w:trPr>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960" w:type="dxa"/>
            <w:vAlign w:val="bottom"/>
            <w:tcBorders>
              <w:top w:val="single" w:sz="8" w:color="0000FF"/>
              <w:bottom w:val="single" w:sz="8" w:color="0000FF"/>
            </w:tcBorders>
            <w:gridSpan w:val="7"/>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w w:val="99"/>
              </w:rPr>
              <w:t>Sarbanes-Oxley Act of 2002</w:t>
            </w:r>
          </w:p>
        </w:tc>
        <w:tc>
          <w:tcPr>
            <w:tcW w:w="7860" w:type="dxa"/>
            <w:vAlign w:val="bottom"/>
            <w:tcBorders>
              <w:top w:val="single" w:sz="8" w:color="0000FF"/>
              <w:bottom w:val="single" w:sz="8" w:color="CCEEFF"/>
            </w:tcBorders>
            <w:gridSpan w:val="19"/>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31.2*</w:t>
            </w:r>
          </w:p>
        </w:tc>
        <w:tc>
          <w:tcPr>
            <w:tcW w:w="140" w:type="dxa"/>
            <w:vAlign w:val="bottom"/>
          </w:tcPr>
          <w:p>
            <w:pPr>
              <w:spacing w:after="0"/>
              <w:rPr>
                <w:sz w:val="15"/>
                <w:szCs w:val="15"/>
                <w:color w:val="auto"/>
              </w:rPr>
            </w:pPr>
          </w:p>
        </w:tc>
        <w:tc>
          <w:tcPr>
            <w:tcW w:w="9860" w:type="dxa"/>
            <w:vAlign w:val="bottom"/>
            <w:gridSpan w:val="28"/>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48"/>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20" w:type="dxa"/>
            <w:vAlign w:val="bottom"/>
            <w:tcBorders>
              <w:top w:val="single" w:sz="8" w:color="0000FF"/>
            </w:tcBorders>
            <w:gridSpan w:val="26"/>
          </w:tcPr>
          <w:p>
            <w:pPr>
              <w:spacing w:after="0" w:line="148" w:lineRule="exact"/>
              <w:rPr>
                <w:sz w:val="20"/>
                <w:szCs w:val="20"/>
                <w:color w:val="auto"/>
              </w:rPr>
            </w:pPr>
            <w:r>
              <w:rPr>
                <w:rFonts w:ascii="Times New Roman" w:cs="Times New Roman" w:eastAsia="Times New Roman" w:hAnsi="Times New Roman"/>
                <w:sz w:val="17"/>
                <w:szCs w:val="17"/>
                <w:color w:val="0000FF"/>
              </w:rPr>
              <w:t>Sarbanes-Oxley Act of 2002</w:t>
            </w:r>
          </w:p>
        </w:tc>
        <w:tc>
          <w:tcPr>
            <w:tcW w:w="40" w:type="dxa"/>
            <w:vAlign w:val="bottom"/>
            <w:gridSpan w:val="2"/>
          </w:tcPr>
          <w:p>
            <w:pPr>
              <w:spacing w:after="0"/>
              <w:rPr>
                <w:sz w:val="12"/>
                <w:szCs w:val="12"/>
                <w:color w:val="auto"/>
              </w:rPr>
            </w:pPr>
          </w:p>
        </w:tc>
      </w:tr>
      <w:tr>
        <w:trPr>
          <w:trHeight w:val="32"/>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140" w:type="dxa"/>
            <w:vAlign w:val="bottom"/>
            <w:shd w:val="clear" w:color="auto" w:fill="CCEEFF"/>
          </w:tcPr>
          <w:p>
            <w:pPr>
              <w:spacing w:after="0"/>
              <w:rPr>
                <w:sz w:val="15"/>
                <w:szCs w:val="15"/>
                <w:color w:val="auto"/>
              </w:rPr>
            </w:pPr>
          </w:p>
        </w:tc>
        <w:tc>
          <w:tcPr>
            <w:tcW w:w="9860" w:type="dxa"/>
            <w:vAlign w:val="bottom"/>
            <w:gridSpan w:val="28"/>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1620" w:type="dxa"/>
            <w:vAlign w:val="bottom"/>
            <w:tcBorders>
              <w:top w:val="single" w:sz="8" w:color="0000FF"/>
            </w:tcBorders>
            <w:shd w:val="clear" w:color="auto" w:fill="CCEEFF"/>
          </w:tcPr>
          <w:p>
            <w:pPr>
              <w:spacing w:after="0"/>
              <w:rPr>
                <w:sz w:val="3"/>
                <w:szCs w:val="3"/>
                <w:color w:val="auto"/>
              </w:rPr>
            </w:pPr>
          </w:p>
        </w:tc>
        <w:tc>
          <w:tcPr>
            <w:tcW w:w="230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140" w:type="dxa"/>
            <w:vAlign w:val="bottom"/>
          </w:tcPr>
          <w:p>
            <w:pPr>
              <w:spacing w:after="0"/>
              <w:rPr>
                <w:sz w:val="15"/>
                <w:szCs w:val="15"/>
                <w:color w:val="auto"/>
              </w:rPr>
            </w:pPr>
          </w:p>
        </w:tc>
        <w:tc>
          <w:tcPr>
            <w:tcW w:w="9860" w:type="dxa"/>
            <w:vAlign w:val="bottom"/>
            <w:gridSpan w:val="28"/>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620" w:type="dxa"/>
            <w:vAlign w:val="bottom"/>
            <w:tcBorders>
              <w:top w:val="single" w:sz="8" w:color="0000FF"/>
            </w:tcBorders>
          </w:tcPr>
          <w:p>
            <w:pPr>
              <w:spacing w:after="0"/>
              <w:rPr>
                <w:sz w:val="3"/>
                <w:szCs w:val="3"/>
                <w:color w:val="auto"/>
              </w:rPr>
            </w:pPr>
          </w:p>
        </w:tc>
        <w:tc>
          <w:tcPr>
            <w:tcW w:w="230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0"/>
        </w:trPr>
        <w:tc>
          <w:tcPr>
            <w:tcW w:w="1420" w:type="dxa"/>
            <w:vAlign w:val="bottom"/>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101.INS*</w:t>
            </w:r>
          </w:p>
        </w:tc>
        <w:tc>
          <w:tcPr>
            <w:tcW w:w="9860" w:type="dxa"/>
            <w:vAlign w:val="bottom"/>
            <w:gridSpan w:val="28"/>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r>
      <w:tr>
        <w:trPr>
          <w:trHeight w:val="228"/>
        </w:trPr>
        <w:tc>
          <w:tcPr>
            <w:tcW w:w="1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60" w:type="dxa"/>
            <w:vAlign w:val="bottom"/>
            <w:tcBorders>
              <w:bottom w:val="single" w:sz="8" w:color="CCEEFF"/>
            </w:tcBorders>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2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986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2"/>
        </w:trPr>
        <w:tc>
          <w:tcPr>
            <w:tcW w:w="1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9860" w:type="dxa"/>
            <w:vAlign w:val="bottom"/>
            <w:tcBorders>
              <w:bottom w:val="single" w:sz="8" w:color="CCEEFF"/>
            </w:tcBorders>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2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986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2"/>
        </w:trPr>
        <w:tc>
          <w:tcPr>
            <w:tcW w:w="1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9860" w:type="dxa"/>
            <w:vAlign w:val="bottom"/>
            <w:tcBorders>
              <w:bottom w:val="single" w:sz="8" w:color="CCEEFF"/>
            </w:tcBorders>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22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986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2"/>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shd w:val="clear" w:color="auto" w:fill="CCEEFF"/>
          </w:tcPr>
          <w:p>
            <w:pPr>
              <w:spacing w:after="0"/>
              <w:rPr>
                <w:sz w:val="19"/>
                <w:szCs w:val="19"/>
                <w:color w:val="auto"/>
              </w:rPr>
            </w:pPr>
          </w:p>
        </w:tc>
        <w:tc>
          <w:tcPr>
            <w:tcW w:w="98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tc>
      </w:tr>
      <w:tr>
        <w:trPr>
          <w:trHeight w:val="22"/>
        </w:trPr>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8" w:lineRule="exact"/>
        <w:rPr>
          <w:sz w:val="20"/>
          <w:szCs w:val="20"/>
          <w:color w:val="auto"/>
        </w:rPr>
      </w:pPr>
    </w:p>
    <w:p>
      <w:pPr>
        <w:ind w:right="6860" w:firstLine="3"/>
        <w:spacing w:after="0" w:line="256" w:lineRule="auto"/>
        <w:tabs>
          <w:tab w:leader="none" w:pos="25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Management contract or compensatory plan or arrangement </w:t>
      </w: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Filed herewith</w:t>
      </w:r>
    </w:p>
    <w:p>
      <w:pPr>
        <w:ind w:left="460" w:hanging="457"/>
        <w:spacing w:after="0" w:line="238" w:lineRule="auto"/>
        <w:tabs>
          <w:tab w:leader="none" w:pos="46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Furnished herewith</w:t>
      </w:r>
    </w:p>
    <w:p>
      <w:pPr>
        <w:spacing w:after="0" w:line="2" w:lineRule="exact"/>
        <w:rPr>
          <w:sz w:val="20"/>
          <w:szCs w:val="20"/>
          <w:color w:val="auto"/>
        </w:rPr>
      </w:pPr>
    </w:p>
    <w:p>
      <w:pPr>
        <w:ind w:left="320" w:hanging="317"/>
        <w:spacing w:after="0" w:line="265" w:lineRule="auto"/>
        <w:tabs>
          <w:tab w:leader="none" w:pos="32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5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3560" w:type="dxa"/>
            <w:vAlign w:val="bottom"/>
          </w:tcPr>
          <w:p>
            <w:pPr>
              <w:ind w:left="1740"/>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4520" w:type="dxa"/>
            <w:vAlign w:val="bottom"/>
          </w:tcPr>
          <w:p>
            <w:pPr>
              <w:spacing w:after="0"/>
              <w:rPr>
                <w:sz w:val="19"/>
                <w:szCs w:val="19"/>
                <w:color w:val="auto"/>
              </w:rPr>
            </w:pPr>
          </w:p>
        </w:tc>
      </w:tr>
      <w:tr>
        <w:trPr>
          <w:trHeight w:val="464"/>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Date: May 15, 2025</w:t>
            </w:r>
          </w:p>
        </w:tc>
        <w:tc>
          <w:tcPr>
            <w:tcW w:w="356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John Rood</w:t>
            </w:r>
          </w:p>
        </w:tc>
      </w:tr>
      <w:tr>
        <w:trPr>
          <w:trHeight w:val="209"/>
        </w:trPr>
        <w:tc>
          <w:tcPr>
            <w:tcW w:w="3140" w:type="dxa"/>
            <w:vAlign w:val="bottom"/>
          </w:tcPr>
          <w:p>
            <w:pPr>
              <w:spacing w:after="0"/>
              <w:rPr>
                <w:sz w:val="18"/>
                <w:szCs w:val="18"/>
                <w:color w:val="auto"/>
              </w:rPr>
            </w:pPr>
          </w:p>
        </w:tc>
        <w:tc>
          <w:tcPr>
            <w:tcW w:w="356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Rood</w:t>
            </w:r>
          </w:p>
        </w:tc>
      </w:tr>
      <w:tr>
        <w:trPr>
          <w:trHeight w:val="171"/>
        </w:trPr>
        <w:tc>
          <w:tcPr>
            <w:tcW w:w="3140" w:type="dxa"/>
            <w:vAlign w:val="bottom"/>
          </w:tcPr>
          <w:p>
            <w:pPr>
              <w:spacing w:after="0"/>
              <w:rPr>
                <w:sz w:val="14"/>
                <w:szCs w:val="14"/>
                <w:color w:val="auto"/>
              </w:rPr>
            </w:pPr>
          </w:p>
        </w:tc>
        <w:tc>
          <w:tcPr>
            <w:tcW w:w="3560" w:type="dxa"/>
            <w:vAlign w:val="bottom"/>
          </w:tcPr>
          <w:p>
            <w:pPr>
              <w:ind w:left="2720"/>
              <w:spacing w:after="0" w:line="172" w:lineRule="exact"/>
              <w:rPr>
                <w:sz w:val="20"/>
                <w:szCs w:val="20"/>
                <w:color w:val="auto"/>
              </w:rPr>
            </w:pPr>
            <w:r>
              <w:rPr>
                <w:rFonts w:ascii="Times New Roman" w:cs="Times New Roman" w:eastAsia="Times New Roman" w:hAnsi="Times New Roman"/>
                <w:sz w:val="17"/>
                <w:szCs w:val="17"/>
                <w:color w:val="auto"/>
              </w:rPr>
              <w:t>Title:</w:t>
            </w:r>
          </w:p>
        </w:tc>
        <w:tc>
          <w:tcPr>
            <w:tcW w:w="45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Chief Executive Officer</w:t>
            </w:r>
          </w:p>
        </w:tc>
      </w:tr>
      <w:tr>
        <w:trPr>
          <w:trHeight w:val="223"/>
        </w:trPr>
        <w:tc>
          <w:tcPr>
            <w:tcW w:w="3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73"/>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Date: May 15, 2025</w:t>
            </w:r>
          </w:p>
        </w:tc>
        <w:tc>
          <w:tcPr>
            <w:tcW w:w="356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Lon Ensler</w:t>
            </w:r>
          </w:p>
        </w:tc>
      </w:tr>
      <w:tr>
        <w:trPr>
          <w:trHeight w:val="209"/>
        </w:trPr>
        <w:tc>
          <w:tcPr>
            <w:tcW w:w="3140" w:type="dxa"/>
            <w:vAlign w:val="bottom"/>
          </w:tcPr>
          <w:p>
            <w:pPr>
              <w:spacing w:after="0"/>
              <w:rPr>
                <w:sz w:val="18"/>
                <w:szCs w:val="18"/>
                <w:color w:val="auto"/>
              </w:rPr>
            </w:pPr>
          </w:p>
        </w:tc>
        <w:tc>
          <w:tcPr>
            <w:tcW w:w="356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 Ensler</w:t>
            </w:r>
          </w:p>
        </w:tc>
      </w:tr>
      <w:tr>
        <w:trPr>
          <w:trHeight w:val="171"/>
        </w:trPr>
        <w:tc>
          <w:tcPr>
            <w:tcW w:w="3140" w:type="dxa"/>
            <w:vAlign w:val="bottom"/>
          </w:tcPr>
          <w:p>
            <w:pPr>
              <w:spacing w:after="0"/>
              <w:rPr>
                <w:sz w:val="14"/>
                <w:szCs w:val="14"/>
                <w:color w:val="auto"/>
              </w:rPr>
            </w:pPr>
          </w:p>
        </w:tc>
        <w:tc>
          <w:tcPr>
            <w:tcW w:w="3560" w:type="dxa"/>
            <w:vAlign w:val="bottom"/>
          </w:tcPr>
          <w:p>
            <w:pPr>
              <w:ind w:left="2720"/>
              <w:spacing w:after="0" w:line="172" w:lineRule="exact"/>
              <w:rPr>
                <w:sz w:val="20"/>
                <w:szCs w:val="20"/>
                <w:color w:val="auto"/>
              </w:rPr>
            </w:pPr>
            <w:r>
              <w:rPr>
                <w:rFonts w:ascii="Times New Roman" w:cs="Times New Roman" w:eastAsia="Times New Roman" w:hAnsi="Times New Roman"/>
                <w:sz w:val="17"/>
                <w:szCs w:val="17"/>
                <w:color w:val="auto"/>
              </w:rPr>
              <w:t>Title:</w:t>
            </w:r>
          </w:p>
        </w:tc>
        <w:tc>
          <w:tcPr>
            <w:tcW w:w="45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Interim Chief Financial Officer</w:t>
            </w:r>
          </w:p>
        </w:tc>
      </w:tr>
      <w:tr>
        <w:trPr>
          <w:trHeight w:val="223"/>
        </w:trPr>
        <w:tc>
          <w:tcPr>
            <w:tcW w:w="3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1240"/>
          </w:cols>
          <w:pgMar w:left="320" w:top="123" w:right="339" w:bottom="1440" w:gutter="0" w:footer="0" w:header="0"/>
        </w:sectPr>
      </w:pPr>
    </w:p>
    <w:bookmarkStart w:id="55" w:name="page56"/>
    <w:bookmarkEnd w:id="55"/>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NOTE AND THE SECURITIES ISSUABLE UPON THE CONVERSION HEREOF HAVE NOT BEEN REGISTERED UNDER THE UNITED STATES SECURITIES ACT OF 1933, AS AMENDED, OR UNDER THE SECURITIES LAWS OF ANY STATE. THESE SECURITIES MAY NOT BE OFFERED, SOLD OR OTHERWISE TRANSFERRED, PLEDGED OR HYPOTHECATED EXCEPT AS PERMITTED UNDER THE SECURITIES ACT AND APPLICABLE STATE LAWS PURSUANT TO AN EFFECTIVE REGISTRATION STATEMENT OR AN EXEMPTION THEREFROM.</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CONVERTIBLE PROMISSORY NOTE</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Dated: May 13, 2025 (the “</w:t>
      </w:r>
      <w:r>
        <w:rPr>
          <w:rFonts w:ascii="Times New Roman" w:cs="Times New Roman" w:eastAsia="Times New Roman" w:hAnsi="Times New Roman"/>
          <w:sz w:val="17"/>
          <w:szCs w:val="17"/>
          <w:b w:val="1"/>
          <w:bCs w:val="1"/>
          <w:i w:val="1"/>
          <w:iCs w:val="1"/>
          <w:color w:val="auto"/>
        </w:rPr>
        <w:t>Issuance Date</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left="100" w:right="100" w:firstLine="619"/>
        <w:spacing w:after="0" w:line="261" w:lineRule="auto"/>
        <w:rPr>
          <w:sz w:val="20"/>
          <w:szCs w:val="20"/>
          <w:color w:val="auto"/>
        </w:rPr>
      </w:pPr>
      <w:r>
        <w:rPr>
          <w:rFonts w:ascii="Times New Roman" w:cs="Times New Roman" w:eastAsia="Times New Roman" w:hAnsi="Times New Roman"/>
          <w:sz w:val="17"/>
          <w:szCs w:val="17"/>
          <w:b w:val="1"/>
          <w:bCs w:val="1"/>
          <w:color w:val="auto"/>
        </w:rPr>
        <w:t>FOR VALUE RECEIVED</w:t>
      </w:r>
      <w:r>
        <w:rPr>
          <w:rFonts w:ascii="Times New Roman" w:cs="Times New Roman" w:eastAsia="Times New Roman" w:hAnsi="Times New Roman"/>
          <w:sz w:val="17"/>
          <w:szCs w:val="17"/>
          <w:color w:val="auto"/>
        </w:rPr>
        <w:t>, Momentus Inc., a Delaware company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promises to pay to A.G.P./Alliance Global Partners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its registered assigns, in lawful money of the United States of America (i) the sum of $1,200,000 (the “</w:t>
      </w:r>
      <w:r>
        <w:rPr>
          <w:rFonts w:ascii="Times New Roman" w:cs="Times New Roman" w:eastAsia="Times New Roman" w:hAnsi="Times New Roman"/>
          <w:sz w:val="17"/>
          <w:szCs w:val="17"/>
          <w:b w:val="1"/>
          <w:bCs w:val="1"/>
          <w:i w:val="1"/>
          <w:iCs w:val="1"/>
          <w:color w:val="auto"/>
        </w:rPr>
        <w:t>Principal Amount</w:t>
      </w:r>
      <w:r>
        <w:rPr>
          <w:rFonts w:ascii="Times New Roman" w:cs="Times New Roman" w:eastAsia="Times New Roman" w:hAnsi="Times New Roman"/>
          <w:sz w:val="17"/>
          <w:szCs w:val="17"/>
          <w:color w:val="auto"/>
        </w:rPr>
        <w:t xml:space="preserve">”); and (ii) interest accrued on the unpaid Principal Amount in accordance with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All Note Obligations (as defined below) under this convertible promissory note (the “</w:t>
      </w:r>
      <w:r>
        <w:rPr>
          <w:rFonts w:ascii="Times New Roman" w:cs="Times New Roman" w:eastAsia="Times New Roman" w:hAnsi="Times New Roman"/>
          <w:sz w:val="17"/>
          <w:szCs w:val="17"/>
          <w:b w:val="1"/>
          <w:bCs w:val="1"/>
          <w:i w:val="1"/>
          <w:iCs w:val="1"/>
          <w:color w:val="auto"/>
        </w:rPr>
        <w:t>Note</w:t>
      </w:r>
      <w:r>
        <w:rPr>
          <w:rFonts w:ascii="Times New Roman" w:cs="Times New Roman" w:eastAsia="Times New Roman" w:hAnsi="Times New Roman"/>
          <w:sz w:val="17"/>
          <w:szCs w:val="17"/>
          <w:color w:val="auto"/>
        </w:rPr>
        <w:t>”) shall be due and payable (a) on the Maturity Date (as defined below) of this Note; or (b) when, upon or after the occurrence and during the continuance of an Event of Default (as defined below), such amounts are declared due and payable by Holder or made automatically due and payable in accordance with the terms hereof. The Company and Holder may be individually referred to herein as a “</w:t>
      </w:r>
      <w:r>
        <w:rPr>
          <w:rFonts w:ascii="Times New Roman" w:cs="Times New Roman" w:eastAsia="Times New Roman" w:hAnsi="Times New Roman"/>
          <w:sz w:val="17"/>
          <w:szCs w:val="17"/>
          <w:b w:val="1"/>
          <w:bCs w:val="1"/>
          <w:i w:val="1"/>
          <w:iCs w:val="1"/>
          <w:color w:val="auto"/>
        </w:rPr>
        <w:t>Party</w:t>
      </w:r>
      <w:r>
        <w:rPr>
          <w:rFonts w:ascii="Times New Roman" w:cs="Times New Roman" w:eastAsia="Times New Roman" w:hAnsi="Times New Roman"/>
          <w:sz w:val="17"/>
          <w:szCs w:val="17"/>
          <w:color w:val="auto"/>
        </w:rPr>
        <w:t>” or collectively as the “</w:t>
      </w:r>
      <w:r>
        <w:rPr>
          <w:rFonts w:ascii="Times New Roman" w:cs="Times New Roman" w:eastAsia="Times New Roman" w:hAnsi="Times New Roman"/>
          <w:sz w:val="17"/>
          <w:szCs w:val="17"/>
          <w:b w:val="1"/>
          <w:bCs w:val="1"/>
          <w:i w:val="1"/>
          <w:iCs w:val="1"/>
          <w:color w:val="auto"/>
        </w:rPr>
        <w:t>Parties</w:t>
      </w:r>
      <w:r>
        <w:rPr>
          <w:rFonts w:ascii="Times New Roman" w:cs="Times New Roman" w:eastAsia="Times New Roman" w:hAnsi="Times New Roman"/>
          <w:sz w:val="17"/>
          <w:szCs w:val="17"/>
          <w:color w:val="auto"/>
        </w:rPr>
        <w:t>”.</w:t>
      </w:r>
    </w:p>
    <w:p>
      <w:pPr>
        <w:spacing w:after="0" w:line="278" w:lineRule="exact"/>
        <w:rPr>
          <w:sz w:val="20"/>
          <w:szCs w:val="20"/>
          <w:color w:val="auto"/>
        </w:rPr>
      </w:pPr>
    </w:p>
    <w:p>
      <w:pPr>
        <w:ind w:left="1240" w:hanging="618"/>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251" w:lineRule="exact"/>
        <w:rPr>
          <w:rFonts w:ascii="Times New Roman" w:cs="Times New Roman" w:eastAsia="Times New Roman" w:hAnsi="Times New Roman"/>
          <w:sz w:val="17"/>
          <w:szCs w:val="17"/>
          <w:color w:val="auto"/>
        </w:rPr>
      </w:pPr>
    </w:p>
    <w:p>
      <w:pPr>
        <w:ind w:left="1320" w:hanging="604"/>
        <w:spacing w:after="0"/>
        <w:tabs>
          <w:tab w:leader="none" w:pos="1320" w:val="left"/>
        </w:tabs>
        <w:numPr>
          <w:ilvl w:val="1"/>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Preamble and Recitals</w:t>
      </w:r>
      <w:r>
        <w:rPr>
          <w:rFonts w:ascii="Times New Roman" w:cs="Times New Roman" w:eastAsia="Times New Roman" w:hAnsi="Times New Roman"/>
          <w:sz w:val="17"/>
          <w:szCs w:val="17"/>
          <w:color w:val="auto"/>
        </w:rPr>
        <w:t>: The terms defined above are incorporated herein.</w:t>
      </w:r>
    </w:p>
    <w:p>
      <w:pPr>
        <w:spacing w:after="0" w:line="259" w:lineRule="exact"/>
        <w:rPr>
          <w:rFonts w:ascii="Times New Roman" w:cs="Times New Roman" w:eastAsia="Times New Roman" w:hAnsi="Times New Roman"/>
          <w:sz w:val="17"/>
          <w:szCs w:val="17"/>
          <w:b w:val="1"/>
          <w:bCs w:val="1"/>
          <w:color w:val="auto"/>
        </w:rPr>
      </w:pPr>
    </w:p>
    <w:p>
      <w:pPr>
        <w:ind w:left="1340" w:right="100" w:hanging="624"/>
        <w:spacing w:after="0" w:line="287" w:lineRule="auto"/>
        <w:tabs>
          <w:tab w:leader="none" w:pos="1331" w:val="left"/>
        </w:tabs>
        <w:numPr>
          <w:ilvl w:val="1"/>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purposes of this Note, the following terms shall have the following meanings (with terms defined in the singular having comparable meanings when used in the plural and vice versa).</w:t>
      </w:r>
    </w:p>
    <w:p>
      <w:pPr>
        <w:spacing w:after="0" w:line="183" w:lineRule="exact"/>
        <w:rPr>
          <w:rFonts w:ascii="Times New Roman" w:cs="Times New Roman" w:eastAsia="Times New Roman" w:hAnsi="Times New Roman"/>
          <w:sz w:val="17"/>
          <w:szCs w:val="17"/>
          <w:b w:val="1"/>
          <w:bCs w:val="1"/>
          <w:color w:val="auto"/>
        </w:rPr>
      </w:pPr>
    </w:p>
    <w:p>
      <w:pPr>
        <w:ind w:left="2020" w:right="100" w:hanging="470"/>
        <w:spacing w:after="0" w:line="294" w:lineRule="auto"/>
        <w:tabs>
          <w:tab w:leader="none" w:pos="2008"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5" w:lineRule="exact"/>
        <w:rPr>
          <w:rFonts w:ascii="Times New Roman" w:cs="Times New Roman" w:eastAsia="Times New Roman" w:hAnsi="Times New Roman"/>
          <w:sz w:val="17"/>
          <w:szCs w:val="17"/>
          <w:color w:val="auto"/>
        </w:rPr>
      </w:pPr>
    </w:p>
    <w:p>
      <w:pPr>
        <w:ind w:left="2020" w:hanging="470"/>
        <w:spacing w:after="0"/>
        <w:tabs>
          <w:tab w:leader="none" w:pos="202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Approval</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8(i)</w:t>
      </w:r>
      <w:r>
        <w:rPr>
          <w:rFonts w:ascii="Times New Roman" w:cs="Times New Roman" w:eastAsia="Times New Roman" w:hAnsi="Times New Roman"/>
          <w:sz w:val="17"/>
          <w:szCs w:val="17"/>
          <w:color w:val="auto"/>
        </w:rPr>
        <w:t>.</w:t>
      </w:r>
    </w:p>
    <w:p>
      <w:pPr>
        <w:spacing w:after="0" w:line="255" w:lineRule="exact"/>
        <w:rPr>
          <w:rFonts w:ascii="Times New Roman" w:cs="Times New Roman" w:eastAsia="Times New Roman" w:hAnsi="Times New Roman"/>
          <w:sz w:val="17"/>
          <w:szCs w:val="17"/>
          <w:color w:val="auto"/>
        </w:rPr>
      </w:pPr>
    </w:p>
    <w:p>
      <w:pPr>
        <w:ind w:left="2020" w:right="100" w:hanging="470"/>
        <w:spacing w:after="0" w:line="294" w:lineRule="auto"/>
        <w:tabs>
          <w:tab w:leader="none" w:pos="2013"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means any day other than Saturday, Sunday or a day on which banking institutions in the State of New York are permitted or obligated by applicable law to remain closed.</w:t>
      </w:r>
    </w:p>
    <w:p>
      <w:pPr>
        <w:spacing w:after="0" w:line="165" w:lineRule="exact"/>
        <w:rPr>
          <w:rFonts w:ascii="Times New Roman" w:cs="Times New Roman" w:eastAsia="Times New Roman" w:hAnsi="Times New Roman"/>
          <w:sz w:val="17"/>
          <w:szCs w:val="17"/>
          <w:color w:val="auto"/>
        </w:rPr>
      </w:pPr>
    </w:p>
    <w:p>
      <w:pPr>
        <w:ind w:left="2000" w:hanging="450"/>
        <w:spacing w:after="0"/>
        <w:tabs>
          <w:tab w:leader="none" w:pos="200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means the shares of the Company’s common stock, par value $0.0001 per share.</w:t>
      </w:r>
    </w:p>
    <w:p>
      <w:pPr>
        <w:spacing w:after="0" w:line="242" w:lineRule="exact"/>
        <w:rPr>
          <w:rFonts w:ascii="Times New Roman" w:cs="Times New Roman" w:eastAsia="Times New Roman" w:hAnsi="Times New Roman"/>
          <w:sz w:val="17"/>
          <w:szCs w:val="17"/>
          <w:color w:val="auto"/>
        </w:rPr>
      </w:pPr>
    </w:p>
    <w:p>
      <w:pPr>
        <w:ind w:left="2000" w:hanging="450"/>
        <w:spacing w:after="0"/>
        <w:tabs>
          <w:tab w:leader="none" w:pos="200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Conversion Amount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8(b</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left="2020" w:hanging="470"/>
        <w:spacing w:after="0"/>
        <w:tabs>
          <w:tab w:leader="none" w:pos="202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“Conversion Date</w:t>
      </w:r>
      <w:r>
        <w:rPr>
          <w:rFonts w:ascii="Times New Roman" w:cs="Times New Roman" w:eastAsia="Times New Roman" w:hAnsi="Times New Roman"/>
          <w:sz w:val="17"/>
          <w:szCs w:val="17"/>
          <w:color w:val="auto"/>
        </w:rPr>
        <w:t>” shall have the meaning set forth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Section 8(c</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left="2000" w:hanging="450"/>
        <w:spacing w:after="0"/>
        <w:tabs>
          <w:tab w:leader="none" w:pos="200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“Conversion Notice</w:t>
      </w:r>
      <w:r>
        <w:rPr>
          <w:rFonts w:ascii="Times New Roman" w:cs="Times New Roman" w:eastAsia="Times New Roman" w:hAnsi="Times New Roman"/>
          <w:sz w:val="17"/>
          <w:szCs w:val="17"/>
          <w:color w:val="auto"/>
        </w:rPr>
        <w:t>” shall have the meaning set forth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Section 8(c</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left="2020" w:hanging="470"/>
        <w:spacing w:after="0" w:line="294" w:lineRule="auto"/>
        <w:tabs>
          <w:tab w:leader="none" w:pos="2008"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Conversion Price</w:t>
      </w:r>
      <w:r>
        <w:rPr>
          <w:rFonts w:ascii="Times New Roman" w:cs="Times New Roman" w:eastAsia="Times New Roman" w:hAnsi="Times New Roman"/>
          <w:sz w:val="17"/>
          <w:szCs w:val="17"/>
          <w:color w:val="auto"/>
        </w:rPr>
        <w:t>” means, as of any Conversion Date (as defined herein) or other date of determination, $1.67 per share, which shall be equal to the closing price of the</w:t>
      </w:r>
    </w:p>
    <w:p>
      <w:pPr>
        <w:sectPr>
          <w:pgSz w:w="11900" w:h="16838" w:orient="portrait"/>
          <w:cols w:equalWidth="0" w:num="1">
            <w:col w:w="11240"/>
          </w:cols>
          <w:pgMar w:left="320" w:top="1440" w:right="339" w:bottom="1440" w:gutter="0" w:footer="0" w:header="0"/>
        </w:sectPr>
      </w:pPr>
    </w:p>
    <w:bookmarkStart w:id="56" w:name="page57"/>
    <w:bookmarkEnd w:id="56"/>
    <w:p>
      <w:pPr>
        <w:ind w:left="900"/>
        <w:spacing w:after="0" w:line="287" w:lineRule="auto"/>
        <w:rPr>
          <w:sz w:val="20"/>
          <w:szCs w:val="20"/>
          <w:color w:val="auto"/>
        </w:rPr>
      </w:pPr>
      <w:r>
        <w:rPr>
          <w:rFonts w:ascii="Times New Roman" w:cs="Times New Roman" w:eastAsia="Times New Roman" w:hAnsi="Times New Roman"/>
          <w:sz w:val="17"/>
          <w:szCs w:val="17"/>
          <w:color w:val="auto"/>
        </w:rPr>
        <w:t>Common Stock on May 9, 2025. The Conversion Price shall be adjusted for stock dividends, stock splits, stock combinations and other similar transactions.</w:t>
      </w:r>
    </w:p>
    <w:p>
      <w:pPr>
        <w:spacing w:after="0" w:line="171" w:lineRule="exact"/>
        <w:rPr>
          <w:sz w:val="20"/>
          <w:szCs w:val="20"/>
          <w:color w:val="auto"/>
        </w:rPr>
      </w:pPr>
    </w:p>
    <w:p>
      <w:pPr>
        <w:ind w:left="900" w:hanging="470"/>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Conversion Shares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color w:val="auto"/>
        </w:rPr>
        <w:t>.</w:t>
      </w:r>
    </w:p>
    <w:p>
      <w:pPr>
        <w:spacing w:after="0" w:line="248" w:lineRule="exact"/>
        <w:rPr>
          <w:rFonts w:ascii="Times New Roman" w:cs="Times New Roman" w:eastAsia="Times New Roman" w:hAnsi="Times New Roman"/>
          <w:sz w:val="17"/>
          <w:szCs w:val="17"/>
          <w:color w:val="auto"/>
        </w:rPr>
      </w:pPr>
    </w:p>
    <w:p>
      <w:pPr>
        <w:ind w:left="900" w:hanging="470"/>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49" w:lineRule="exact"/>
        <w:rPr>
          <w:rFonts w:ascii="Times New Roman" w:cs="Times New Roman" w:eastAsia="Times New Roman" w:hAnsi="Times New Roman"/>
          <w:sz w:val="17"/>
          <w:szCs w:val="17"/>
          <w:color w:val="auto"/>
        </w:rPr>
      </w:pPr>
    </w:p>
    <w:p>
      <w:pPr>
        <w:ind w:left="900" w:hanging="470"/>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Event of Default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w:t>
      </w:r>
    </w:p>
    <w:p>
      <w:pPr>
        <w:spacing w:after="0" w:line="255" w:lineRule="exact"/>
        <w:rPr>
          <w:rFonts w:ascii="Times New Roman" w:cs="Times New Roman" w:eastAsia="Times New Roman" w:hAnsi="Times New Roman"/>
          <w:sz w:val="17"/>
          <w:szCs w:val="17"/>
          <w:color w:val="auto"/>
        </w:rPr>
      </w:pPr>
    </w:p>
    <w:p>
      <w:pPr>
        <w:ind w:left="880" w:hanging="450"/>
        <w:spacing w:after="0"/>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shall mean the Securities Exchange Act of 1934, as amended.</w:t>
      </w:r>
    </w:p>
    <w:p>
      <w:pPr>
        <w:spacing w:after="0" w:line="242" w:lineRule="exact"/>
        <w:rPr>
          <w:rFonts w:ascii="Times New Roman" w:cs="Times New Roman" w:eastAsia="Times New Roman" w:hAnsi="Times New Roman"/>
          <w:sz w:val="17"/>
          <w:szCs w:val="17"/>
          <w:color w:val="auto"/>
        </w:rPr>
      </w:pPr>
    </w:p>
    <w:p>
      <w:pPr>
        <w:ind w:left="880" w:hanging="450"/>
        <w:spacing w:after="0"/>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Holder Group</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jc w:val="both"/>
        <w:ind w:left="900" w:hanging="470"/>
        <w:spacing w:after="0" w:line="256" w:lineRule="auto"/>
        <w:tabs>
          <w:tab w:leader="none" w:pos="88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Indebtedness</w:t>
      </w:r>
      <w:r>
        <w:rPr>
          <w:rFonts w:ascii="Times New Roman" w:cs="Times New Roman" w:eastAsia="Times New Roman" w:hAnsi="Times New Roman"/>
          <w:sz w:val="17"/>
          <w:szCs w:val="17"/>
          <w:color w:val="auto"/>
        </w:rPr>
        <w:t>” of any Person means, without duplication (i) all indebtedness for borrowed money, (ii) all obligations issued, undertaken or assumed as the deferred purchase price of property or services, including (without limitation) “finance leases” in accordance with GAAP (other than trade payables entered into in the ordinary course of business consistent with past practice),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is classified as a finance lease, (vii) all indebtedness referred to in clauses (i) through (vi)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(vii) all Note Obligations in respect of indebtedness or obligations of others of the kinds referred to in clauses (i) through (vii) above.</w:t>
      </w:r>
    </w:p>
    <w:p>
      <w:pPr>
        <w:spacing w:after="0" w:line="198" w:lineRule="exact"/>
        <w:rPr>
          <w:rFonts w:ascii="Times New Roman" w:cs="Times New Roman" w:eastAsia="Times New Roman" w:hAnsi="Times New Roman"/>
          <w:sz w:val="17"/>
          <w:szCs w:val="17"/>
          <w:color w:val="auto"/>
        </w:rPr>
      </w:pPr>
    </w:p>
    <w:p>
      <w:pPr>
        <w:jc w:val="both"/>
        <w:ind w:left="900" w:hanging="470"/>
        <w:spacing w:after="0" w:line="262" w:lineRule="auto"/>
        <w:tabs>
          <w:tab w:leader="none" w:pos="88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Lien</w:t>
      </w:r>
      <w:r>
        <w:rPr>
          <w:rFonts w:ascii="Times New Roman" w:cs="Times New Roman" w:eastAsia="Times New Roman" w:hAnsi="Times New Roman"/>
          <w:sz w:val="17"/>
          <w:szCs w:val="17"/>
          <w:color w:val="auto"/>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provided, that for the avoidance of doubt, licenses, strain escrows and similar provisions in collaboration agreements or research and development agreements that do not create or purport to create a security interest, encumbrance, levy, lien or charge of any kind shall not be deemed to be Liens for purposes of this Note.</w:t>
      </w:r>
    </w:p>
    <w:p>
      <w:pPr>
        <w:spacing w:after="0" w:line="200" w:lineRule="exact"/>
        <w:rPr>
          <w:rFonts w:ascii="Times New Roman" w:cs="Times New Roman" w:eastAsia="Times New Roman" w:hAnsi="Times New Roman"/>
          <w:sz w:val="17"/>
          <w:szCs w:val="17"/>
          <w:color w:val="auto"/>
        </w:rPr>
      </w:pPr>
    </w:p>
    <w:p>
      <w:pPr>
        <w:spacing w:after="0" w:line="228" w:lineRule="exact"/>
        <w:rPr>
          <w:rFonts w:ascii="Times New Roman" w:cs="Times New Roman" w:eastAsia="Times New Roman" w:hAnsi="Times New Roman"/>
          <w:sz w:val="17"/>
          <w:szCs w:val="17"/>
          <w:color w:val="auto"/>
        </w:rPr>
      </w:pPr>
    </w:p>
    <w:p>
      <w:pPr>
        <w:ind w:left="880" w:hanging="450"/>
        <w:spacing w:after="0"/>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Maturity Date</w:t>
      </w:r>
      <w:r>
        <w:rPr>
          <w:rFonts w:ascii="Times New Roman" w:cs="Times New Roman" w:eastAsia="Times New Roman" w:hAnsi="Times New Roman"/>
          <w:sz w:val="17"/>
          <w:szCs w:val="17"/>
          <w:color w:val="auto"/>
        </w:rPr>
        <w:t>” means 18 months from the Issuance Date.</w:t>
      </w:r>
    </w:p>
    <w:p>
      <w:pPr>
        <w:spacing w:after="0" w:line="242" w:lineRule="exact"/>
        <w:rPr>
          <w:rFonts w:ascii="Times New Roman" w:cs="Times New Roman" w:eastAsia="Times New Roman" w:hAnsi="Times New Roman"/>
          <w:sz w:val="17"/>
          <w:szCs w:val="17"/>
          <w:color w:val="auto"/>
        </w:rPr>
      </w:pPr>
    </w:p>
    <w:p>
      <w:pPr>
        <w:ind w:left="880" w:hanging="450"/>
        <w:spacing w:after="0"/>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Maximum Percentage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w:t>
      </w:r>
    </w:p>
    <w:p>
      <w:pPr>
        <w:spacing w:after="0" w:line="255" w:lineRule="exact"/>
        <w:rPr>
          <w:rFonts w:ascii="Times New Roman" w:cs="Times New Roman" w:eastAsia="Times New Roman" w:hAnsi="Times New Roman"/>
          <w:sz w:val="17"/>
          <w:szCs w:val="17"/>
          <w:color w:val="auto"/>
        </w:rPr>
      </w:pPr>
    </w:p>
    <w:p>
      <w:pPr>
        <w:ind w:left="900" w:right="100" w:hanging="470"/>
        <w:spacing w:after="0" w:line="294" w:lineRule="auto"/>
        <w:tabs>
          <w:tab w:leader="none" w:pos="89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Note Obligations</w:t>
      </w:r>
      <w:r>
        <w:rPr>
          <w:rFonts w:ascii="Times New Roman" w:cs="Times New Roman" w:eastAsia="Times New Roman" w:hAnsi="Times New Roman"/>
          <w:sz w:val="17"/>
          <w:szCs w:val="17"/>
          <w:color w:val="auto"/>
        </w:rPr>
        <w:t>” means, as of the date of measurement, the Company’s obligation to pay the aggregate sum of (i) the outstanding unpaid Principal Amount of this Note;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120"/>
          </w:cols>
          <w:pgMar w:left="1440" w:top="1361" w:right="339" w:bottom="1440" w:gutter="0" w:footer="0" w:header="0"/>
        </w:sectPr>
      </w:pPr>
    </w:p>
    <w:bookmarkStart w:id="57" w:name="page58"/>
    <w:bookmarkEnd w:id="57"/>
    <w:p>
      <w:pPr>
        <w:ind w:left="900" w:hanging="6"/>
        <w:spacing w:after="0" w:line="287" w:lineRule="auto"/>
        <w:tabs>
          <w:tab w:leader="none" w:pos="1162"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accrued and unpaid interest thereon calculated in accordance with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and (iii) any other amounts payable hereunder with respect to this Note.</w:t>
      </w:r>
    </w:p>
    <w:p>
      <w:pPr>
        <w:spacing w:after="0" w:line="171" w:lineRule="exact"/>
        <w:rPr>
          <w:rFonts w:ascii="Times New Roman" w:cs="Times New Roman" w:eastAsia="Times New Roman" w:hAnsi="Times New Roman"/>
          <w:sz w:val="17"/>
          <w:szCs w:val="17"/>
          <w:color w:val="auto"/>
        </w:rPr>
      </w:pPr>
    </w:p>
    <w:p>
      <w:pPr>
        <w:jc w:val="both"/>
        <w:ind w:left="900" w:hanging="470"/>
        <w:spacing w:after="0" w:line="267" w:lineRule="auto"/>
        <w:tabs>
          <w:tab w:leader="none" w:pos="89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Indebtedness</w:t>
      </w:r>
      <w:r>
        <w:rPr>
          <w:rFonts w:ascii="Times New Roman" w:cs="Times New Roman" w:eastAsia="Times New Roman" w:hAnsi="Times New Roman"/>
          <w:sz w:val="17"/>
          <w:szCs w:val="17"/>
          <w:color w:val="auto"/>
        </w:rPr>
        <w:t>” means (i) Indebtedness evidenced by this Note, (ii) trade payables incurred in the ordinary course of business and consistent with past practice, and (iii) unsecured Indebtedness incurred by the Company that is made expressly subordinate in right of payment to the Indebtedness evidenced by this Note, as reflected in a written agreement acceptable to the Holder and approved by the Holder in writing.</w:t>
      </w:r>
    </w:p>
    <w:p>
      <w:pPr>
        <w:spacing w:after="0" w:line="187" w:lineRule="exact"/>
        <w:rPr>
          <w:rFonts w:ascii="Times New Roman" w:cs="Times New Roman" w:eastAsia="Times New Roman" w:hAnsi="Times New Roman"/>
          <w:sz w:val="17"/>
          <w:szCs w:val="17"/>
          <w:color w:val="auto"/>
        </w:rPr>
      </w:pPr>
    </w:p>
    <w:p>
      <w:pPr>
        <w:jc w:val="both"/>
        <w:ind w:left="900" w:hanging="470"/>
        <w:spacing w:after="0" w:line="256" w:lineRule="auto"/>
        <w:tabs>
          <w:tab w:leader="none" w:pos="8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Liens</w:t>
      </w:r>
      <w:r>
        <w:rPr>
          <w:rFonts w:ascii="Times New Roman" w:cs="Times New Roman" w:eastAsia="Times New Roman" w:hAnsi="Times New Roman"/>
          <w:sz w:val="17"/>
          <w:szCs w:val="17"/>
          <w:color w:val="auto"/>
        </w:rPr>
        <w:t xml:space="preserve">”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arising in the ordinary course of business with respect to a liability that is not yet due or delinquent or that are being contested in good faith by appropriate proceedings, (iv) Liens (A) upon or in any equipment acquired or held by the Company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and licenses and sublicenses granted to others in the ordinary course of the Company’s business, not interfering in any material respect with the business of the Company taken as a whole, (vii) Liens in favor of customs and revenue authorities arising as a matter of law to secure payments of custom duties in connection with the importation of goods, and (viii) Liens arising from judgments, decrees or attachments in circumstances not constituting an Event of Default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w:t>
      </w:r>
    </w:p>
    <w:p>
      <w:pPr>
        <w:spacing w:after="0" w:line="211" w:lineRule="exact"/>
        <w:rPr>
          <w:rFonts w:ascii="Times New Roman" w:cs="Times New Roman" w:eastAsia="Times New Roman" w:hAnsi="Times New Roman"/>
          <w:sz w:val="17"/>
          <w:szCs w:val="17"/>
          <w:color w:val="auto"/>
        </w:rPr>
      </w:pPr>
    </w:p>
    <w:p>
      <w:pPr>
        <w:ind w:left="900" w:hanging="470"/>
        <w:spacing w:after="0" w:line="294" w:lineRule="auto"/>
        <w:tabs>
          <w:tab w:leader="none" w:pos="89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8" w:lineRule="exact"/>
        <w:rPr>
          <w:rFonts w:ascii="Times New Roman" w:cs="Times New Roman" w:eastAsia="Times New Roman" w:hAnsi="Times New Roman"/>
          <w:sz w:val="17"/>
          <w:szCs w:val="17"/>
          <w:color w:val="auto"/>
        </w:rPr>
      </w:pPr>
    </w:p>
    <w:p>
      <w:pPr>
        <w:ind w:left="900" w:hanging="470"/>
        <w:spacing w:after="0" w:line="294" w:lineRule="auto"/>
        <w:tabs>
          <w:tab w:leader="none" w:pos="88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Principal Market</w:t>
      </w:r>
      <w:r>
        <w:rPr>
          <w:rFonts w:ascii="Times New Roman" w:cs="Times New Roman" w:eastAsia="Times New Roman" w:hAnsi="Times New Roman"/>
          <w:sz w:val="17"/>
          <w:szCs w:val="17"/>
          <w:color w:val="auto"/>
        </w:rPr>
        <w:t>” means the Nasdaq Capital Market, or such other principal exchange as the Company’s shares of Common Stock may trade.</w:t>
      </w:r>
    </w:p>
    <w:p>
      <w:pPr>
        <w:spacing w:after="0" w:line="165" w:lineRule="exact"/>
        <w:rPr>
          <w:rFonts w:ascii="Times New Roman" w:cs="Times New Roman" w:eastAsia="Times New Roman" w:hAnsi="Times New Roman"/>
          <w:sz w:val="17"/>
          <w:szCs w:val="17"/>
          <w:color w:val="auto"/>
        </w:rPr>
      </w:pPr>
    </w:p>
    <w:p>
      <w:pPr>
        <w:ind w:left="900" w:hanging="470"/>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means the Resale Registration Statement.</w:t>
      </w:r>
    </w:p>
    <w:p>
      <w:pPr>
        <w:spacing w:after="0" w:line="242" w:lineRule="exact"/>
        <w:rPr>
          <w:rFonts w:ascii="Times New Roman" w:cs="Times New Roman" w:eastAsia="Times New Roman" w:hAnsi="Times New Roman"/>
          <w:sz w:val="17"/>
          <w:szCs w:val="17"/>
          <w:color w:val="auto"/>
        </w:rPr>
      </w:pPr>
    </w:p>
    <w:p>
      <w:pPr>
        <w:ind w:left="880" w:hanging="450"/>
        <w:spacing w:after="0"/>
        <w:tabs>
          <w:tab w:leader="none" w:pos="8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Reserved Shares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8(f)</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left="880" w:hanging="450"/>
        <w:spacing w:after="0"/>
        <w:tabs>
          <w:tab w:leader="none" w:pos="8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Rule 144</w:t>
      </w:r>
      <w:r>
        <w:rPr>
          <w:rFonts w:ascii="Times New Roman" w:cs="Times New Roman" w:eastAsia="Times New Roman" w:hAnsi="Times New Roman"/>
          <w:sz w:val="17"/>
          <w:szCs w:val="17"/>
          <w:color w:val="auto"/>
        </w:rPr>
        <w:t>” means Rule 144 under the Securities Act.</w:t>
      </w:r>
    </w:p>
    <w:p>
      <w:pPr>
        <w:spacing w:after="0" w:line="242" w:lineRule="exact"/>
        <w:rPr>
          <w:rFonts w:ascii="Times New Roman" w:cs="Times New Roman" w:eastAsia="Times New Roman" w:hAnsi="Times New Roman"/>
          <w:sz w:val="17"/>
          <w:szCs w:val="17"/>
          <w:color w:val="auto"/>
        </w:rPr>
      </w:pPr>
    </w:p>
    <w:p>
      <w:pPr>
        <w:ind w:left="880" w:hanging="450"/>
        <w:spacing w:after="0"/>
        <w:tabs>
          <w:tab w:leader="none" w:pos="8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Rule 424</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10.7</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left="900" w:hanging="470"/>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means the U.S. Securities and Exchange Commission.</w:t>
      </w:r>
    </w:p>
    <w:p>
      <w:pPr>
        <w:spacing w:after="0" w:line="255" w:lineRule="exact"/>
        <w:rPr>
          <w:rFonts w:ascii="Times New Roman" w:cs="Times New Roman" w:eastAsia="Times New Roman" w:hAnsi="Times New Roman"/>
          <w:sz w:val="17"/>
          <w:szCs w:val="17"/>
          <w:color w:val="auto"/>
        </w:rPr>
      </w:pPr>
    </w:p>
    <w:p>
      <w:pPr>
        <w:ind w:left="960" w:hanging="530"/>
        <w:spacing w:after="0"/>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 means this Note and, as applicable, the shares of Common Stock issuable upon conversion of the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020"/>
          </w:cols>
          <w:pgMar w:left="1440" w:top="1361" w:right="439" w:bottom="1440" w:gutter="0" w:footer="0" w:header="0"/>
        </w:sectPr>
      </w:pPr>
    </w:p>
    <w:bookmarkStart w:id="58" w:name="page59"/>
    <w:bookmarkEnd w:id="58"/>
    <w:p>
      <w:pPr>
        <w:spacing w:after="0" w:line="160" w:lineRule="exact"/>
        <w:rPr>
          <w:sz w:val="20"/>
          <w:szCs w:val="20"/>
          <w:color w:val="auto"/>
        </w:rPr>
      </w:pPr>
    </w:p>
    <w:p>
      <w:pPr>
        <w:ind w:left="1460" w:hanging="530"/>
        <w:spacing w:after="0"/>
        <w:tabs>
          <w:tab w:leader="none" w:pos="1460"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U.S. Securities Act of 1933, as amended.</w:t>
      </w:r>
    </w:p>
    <w:p>
      <w:pPr>
        <w:spacing w:after="0" w:line="255" w:lineRule="exact"/>
        <w:rPr>
          <w:rFonts w:ascii="Times New Roman" w:cs="Times New Roman" w:eastAsia="Times New Roman" w:hAnsi="Times New Roman"/>
          <w:sz w:val="17"/>
          <w:szCs w:val="17"/>
          <w:color w:val="auto"/>
        </w:rPr>
      </w:pPr>
    </w:p>
    <w:p>
      <w:pPr>
        <w:ind w:left="1380" w:hanging="450"/>
        <w:spacing w:after="0"/>
        <w:tabs>
          <w:tab w:leader="none" w:pos="1380"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means a day on which the Principal Market is open for trading.</w:t>
      </w:r>
    </w:p>
    <w:p>
      <w:pPr>
        <w:spacing w:after="0" w:line="326" w:lineRule="exact"/>
        <w:rPr>
          <w:rFonts w:ascii="Times New Roman" w:cs="Times New Roman" w:eastAsia="Times New Roman" w:hAnsi="Times New Roman"/>
          <w:sz w:val="17"/>
          <w:szCs w:val="17"/>
          <w:color w:val="auto"/>
        </w:rPr>
      </w:pPr>
    </w:p>
    <w:p>
      <w:pPr>
        <w:ind w:left="620" w:hanging="618"/>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Interest on the outstanding portion of the Principal Amount shall accrue at a rate equal to 4.5% per annum.</w:t>
      </w:r>
    </w:p>
    <w:p>
      <w:pPr>
        <w:spacing w:after="0" w:line="294" w:lineRule="exact"/>
        <w:rPr>
          <w:rFonts w:ascii="Times New Roman" w:cs="Times New Roman" w:eastAsia="Times New Roman" w:hAnsi="Times New Roman"/>
          <w:sz w:val="17"/>
          <w:szCs w:val="17"/>
          <w:color w:val="auto"/>
        </w:rPr>
      </w:pPr>
    </w:p>
    <w:p>
      <w:pPr>
        <w:jc w:val="both"/>
        <w:ind w:firstLine="2"/>
        <w:spacing w:after="0" w:line="270" w:lineRule="auto"/>
        <w:tabs>
          <w:tab w:leader="none" w:pos="61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Unless otherwise earlier converted pursuant to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the Principal Amount plus all accrued but unpaid interest shall be due and payable to Holder on the Maturity Date in cash or, at the option of the Holder in shares of Common Stock (issued at the Conversion Price) that are covered by an effective Registration Statement and have been issued to the Holder with no restrictive legend.</w:t>
      </w:r>
    </w:p>
    <w:p>
      <w:pPr>
        <w:spacing w:after="0" w:line="251" w:lineRule="exact"/>
        <w:rPr>
          <w:rFonts w:ascii="Times New Roman" w:cs="Times New Roman" w:eastAsia="Times New Roman" w:hAnsi="Times New Roman"/>
          <w:sz w:val="17"/>
          <w:szCs w:val="17"/>
          <w:color w:val="auto"/>
        </w:rPr>
      </w:pPr>
    </w:p>
    <w:p>
      <w:pPr>
        <w:jc w:val="both"/>
        <w:ind w:firstLine="2"/>
        <w:spacing w:after="0" w:line="272" w:lineRule="auto"/>
        <w:tabs>
          <w:tab w:leader="none" w:pos="61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Prepayment</w:t>
      </w:r>
      <w:r>
        <w:rPr>
          <w:rFonts w:ascii="Times New Roman" w:cs="Times New Roman" w:eastAsia="Times New Roman" w:hAnsi="Times New Roman"/>
          <w:sz w:val="17"/>
          <w:szCs w:val="17"/>
          <w:color w:val="auto"/>
        </w:rPr>
        <w:t xml:space="preserve">. Upon notice to Holder, the Company may prepay this Note in whole or in part,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any such prepayment will be applied first to the payment of costs and expenses due under this Note, second to interest accrued on this Note and third, if the amount of prepayment exceeds the amount of all such costs, expenses and accrued interest, to the payment of the Principal Amount of this Note.</w:t>
      </w:r>
    </w:p>
    <w:p>
      <w:pPr>
        <w:spacing w:after="0" w:line="254" w:lineRule="exact"/>
        <w:rPr>
          <w:rFonts w:ascii="Times New Roman" w:cs="Times New Roman" w:eastAsia="Times New Roman" w:hAnsi="Times New Roman"/>
          <w:sz w:val="17"/>
          <w:szCs w:val="17"/>
          <w:color w:val="auto"/>
        </w:rPr>
      </w:pPr>
    </w:p>
    <w:p>
      <w:pPr>
        <w:jc w:val="both"/>
        <w:ind w:firstLine="2"/>
        <w:spacing w:after="0" w:line="270" w:lineRule="auto"/>
        <w:tabs>
          <w:tab w:leader="none" w:pos="61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Upon written notice of such event from the Holder to the Company and a five (5) Business Day opportunity to cure, except with respect to clause 5(e) below which shall require no notice by the Holder or opportunity to cure, the occurrence of any of the following shall constitute an “</w:t>
      </w:r>
      <w:r>
        <w:rPr>
          <w:rFonts w:ascii="Times New Roman" w:cs="Times New Roman" w:eastAsia="Times New Roman" w:hAnsi="Times New Roman"/>
          <w:sz w:val="17"/>
          <w:szCs w:val="17"/>
          <w:b w:val="1"/>
          <w:bCs w:val="1"/>
          <w:i w:val="1"/>
          <w:iCs w:val="1"/>
          <w:color w:val="auto"/>
        </w:rPr>
        <w:t>Event of Default</w:t>
      </w:r>
      <w:r>
        <w:rPr>
          <w:rFonts w:ascii="Times New Roman" w:cs="Times New Roman" w:eastAsia="Times New Roman" w:hAnsi="Times New Roman"/>
          <w:sz w:val="17"/>
          <w:szCs w:val="17"/>
          <w:color w:val="auto"/>
        </w:rPr>
        <w:t>” under this Note:</w:t>
      </w:r>
    </w:p>
    <w:p>
      <w:pPr>
        <w:spacing w:after="0" w:line="200" w:lineRule="exact"/>
        <w:rPr>
          <w:rFonts w:ascii="Times New Roman" w:cs="Times New Roman" w:eastAsia="Times New Roman" w:hAnsi="Times New Roman"/>
          <w:sz w:val="17"/>
          <w:szCs w:val="17"/>
          <w:color w:val="auto"/>
        </w:rPr>
      </w:pPr>
    </w:p>
    <w:p>
      <w:pPr>
        <w:ind w:left="1340" w:right="60" w:hanging="626"/>
        <w:spacing w:after="0" w:line="292" w:lineRule="auto"/>
        <w:tabs>
          <w:tab w:leader="none" w:pos="1334" w:val="left"/>
        </w:tabs>
        <w:numPr>
          <w:ilvl w:val="1"/>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Failure to Pay</w:t>
      </w:r>
      <w:r>
        <w:rPr>
          <w:rFonts w:ascii="Times New Roman" w:cs="Times New Roman" w:eastAsia="Times New Roman" w:hAnsi="Times New Roman"/>
          <w:sz w:val="17"/>
          <w:szCs w:val="17"/>
          <w:color w:val="auto"/>
        </w:rPr>
        <w:t>. the Company failing to pay when due any principal or interest payment on the due date hereunder or any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 payable hereunder when due, whether at maturity or otherwise;</w:t>
      </w:r>
    </w:p>
    <w:p>
      <w:pPr>
        <w:spacing w:after="0" w:line="168" w:lineRule="exact"/>
        <w:rPr>
          <w:rFonts w:ascii="Times New Roman" w:cs="Times New Roman" w:eastAsia="Times New Roman" w:hAnsi="Times New Roman"/>
          <w:sz w:val="17"/>
          <w:szCs w:val="17"/>
          <w:i w:val="1"/>
          <w:iCs w:val="1"/>
          <w:color w:val="auto"/>
        </w:rPr>
      </w:pPr>
    </w:p>
    <w:p>
      <w:pPr>
        <w:jc w:val="both"/>
        <w:ind w:left="1340" w:right="60" w:hanging="626"/>
        <w:spacing w:after="0" w:line="272" w:lineRule="auto"/>
        <w:tabs>
          <w:tab w:leader="none" w:pos="1334" w:val="left"/>
        </w:tabs>
        <w:numPr>
          <w:ilvl w:val="1"/>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Resale Registration Statement. </w:t>
      </w:r>
      <w:r>
        <w:rPr>
          <w:rFonts w:ascii="Times New Roman" w:cs="Times New Roman" w:eastAsia="Times New Roman" w:hAnsi="Times New Roman"/>
          <w:sz w:val="17"/>
          <w:szCs w:val="17"/>
          <w:color w:val="auto"/>
        </w:rPr>
        <w:t>except as otherwise permitted in this Note, the Company failing to timely file, obtain and maintain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continuous effectiveness of the Resale Registration Statement(s) upon the terms prescribed pursuant to the registration rights described below;</w:t>
      </w:r>
    </w:p>
    <w:p>
      <w:pPr>
        <w:spacing w:after="0" w:line="190" w:lineRule="exact"/>
        <w:rPr>
          <w:rFonts w:ascii="Times New Roman" w:cs="Times New Roman" w:eastAsia="Times New Roman" w:hAnsi="Times New Roman"/>
          <w:sz w:val="17"/>
          <w:szCs w:val="17"/>
          <w:i w:val="1"/>
          <w:iCs w:val="1"/>
          <w:color w:val="auto"/>
        </w:rPr>
      </w:pPr>
    </w:p>
    <w:p>
      <w:pPr>
        <w:ind w:left="1340" w:hanging="626"/>
        <w:spacing w:after="0"/>
        <w:tabs>
          <w:tab w:leader="none" w:pos="1340" w:val="left"/>
        </w:tabs>
        <w:numPr>
          <w:ilvl w:val="1"/>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[RESERVED];</w:t>
      </w:r>
    </w:p>
    <w:p>
      <w:pPr>
        <w:spacing w:after="0" w:line="242" w:lineRule="exact"/>
        <w:rPr>
          <w:rFonts w:ascii="Times New Roman" w:cs="Times New Roman" w:eastAsia="Times New Roman" w:hAnsi="Times New Roman"/>
          <w:sz w:val="17"/>
          <w:szCs w:val="17"/>
          <w:i w:val="1"/>
          <w:iCs w:val="1"/>
          <w:color w:val="auto"/>
        </w:rPr>
      </w:pPr>
    </w:p>
    <w:p>
      <w:pPr>
        <w:ind w:left="1320" w:hanging="606"/>
        <w:spacing w:after="0"/>
        <w:tabs>
          <w:tab w:leader="none" w:pos="1320" w:val="left"/>
        </w:tabs>
        <w:numPr>
          <w:ilvl w:val="1"/>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[RESERVED];</w:t>
      </w:r>
    </w:p>
    <w:p>
      <w:pPr>
        <w:spacing w:after="0" w:line="251" w:lineRule="exact"/>
        <w:rPr>
          <w:rFonts w:ascii="Times New Roman" w:cs="Times New Roman" w:eastAsia="Times New Roman" w:hAnsi="Times New Roman"/>
          <w:sz w:val="17"/>
          <w:szCs w:val="17"/>
          <w:i w:val="1"/>
          <w:iCs w:val="1"/>
          <w:color w:val="auto"/>
        </w:rPr>
      </w:pPr>
    </w:p>
    <w:p>
      <w:pPr>
        <w:jc w:val="both"/>
        <w:ind w:left="1340" w:right="60" w:hanging="626"/>
        <w:spacing w:after="0" w:line="259" w:lineRule="auto"/>
        <w:tabs>
          <w:tab w:leader="none" w:pos="1337" w:val="left"/>
        </w:tabs>
        <w:numPr>
          <w:ilvl w:val="1"/>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Voluntary Bankruptcy or Insolvency Proceedings</w:t>
      </w:r>
      <w:r>
        <w:rPr>
          <w:rFonts w:ascii="Times New Roman" w:cs="Times New Roman" w:eastAsia="Times New Roman" w:hAnsi="Times New Roman"/>
          <w:sz w:val="17"/>
          <w:szCs w:val="17"/>
          <w:color w:val="auto"/>
        </w:rPr>
        <w:t>. the Company (i) applying for or consenting to the appointment of a receiver,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trustee, liquidator or custodian of itself or of all or a substantial part of its property; (ii) admitting in writing its inability, to pay its debts generally as they mature; (iii) making a general assignment for the benefit of its or any of its creditors; (iv) being dissolved or liquidated; or (v) commencing a voluntary case or other proceeding seeking liquidation, reorganization or other relief with respect to itself or its debts under any bankruptcy, insolvency or other similar law now or hereafter in effect or consenting to any such relief or to the appointment of or taking possession of its property by any official in an involuntary case or other proceeding commenced against it;</w:t>
      </w:r>
    </w:p>
    <w:p>
      <w:pPr>
        <w:spacing w:after="0" w:line="212" w:lineRule="exact"/>
        <w:rPr>
          <w:rFonts w:ascii="Times New Roman" w:cs="Times New Roman" w:eastAsia="Times New Roman" w:hAnsi="Times New Roman"/>
          <w:sz w:val="17"/>
          <w:szCs w:val="17"/>
          <w:i w:val="1"/>
          <w:iCs w:val="1"/>
          <w:color w:val="auto"/>
        </w:rPr>
      </w:pPr>
    </w:p>
    <w:p>
      <w:pPr>
        <w:jc w:val="both"/>
        <w:ind w:left="1340" w:right="60" w:hanging="626"/>
        <w:spacing w:after="0" w:line="272" w:lineRule="auto"/>
        <w:tabs>
          <w:tab w:leader="none" w:pos="1335" w:val="left"/>
        </w:tabs>
        <w:numPr>
          <w:ilvl w:val="1"/>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Involuntary Bankruptcy or Insolvency Proceedings</w:t>
      </w:r>
      <w:r>
        <w:rPr>
          <w:rFonts w:ascii="Times New Roman" w:cs="Times New Roman" w:eastAsia="Times New Roman" w:hAnsi="Times New Roman"/>
          <w:sz w:val="17"/>
          <w:szCs w:val="17"/>
          <w:color w:val="auto"/>
        </w:rPr>
        <w:t>. proceedings for the appointment of a receiver, trustee, liquidator or custodian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or of all or a substantial part of the property thereof, or an involuntary case or other proceedings seeking liquidation, reorganization or other relief with respect to the Company or the debts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520"/>
          </w:cols>
          <w:pgMar w:left="940" w:top="1440" w:right="439" w:bottom="1440" w:gutter="0" w:footer="0" w:header="0"/>
        </w:sectPr>
      </w:pPr>
    </w:p>
    <w:bookmarkStart w:id="59" w:name="page60"/>
    <w:bookmarkEnd w:id="59"/>
    <w:p>
      <w:pPr>
        <w:ind w:left="1340" w:right="60"/>
        <w:spacing w:after="0" w:line="287" w:lineRule="auto"/>
        <w:rPr>
          <w:sz w:val="20"/>
          <w:szCs w:val="20"/>
          <w:color w:val="auto"/>
        </w:rPr>
      </w:pPr>
      <w:r>
        <w:rPr>
          <w:rFonts w:ascii="Times New Roman" w:cs="Times New Roman" w:eastAsia="Times New Roman" w:hAnsi="Times New Roman"/>
          <w:sz w:val="17"/>
          <w:szCs w:val="17"/>
          <w:color w:val="auto"/>
        </w:rPr>
        <w:t>thereof under any bankruptcy, insolvency or other similar law now or hereafter in effect being commenced and an order for relief being entered or such proceeding not being dismissed or discharged within 60 days of commencement;</w:t>
      </w:r>
    </w:p>
    <w:p>
      <w:pPr>
        <w:spacing w:after="0" w:line="190" w:lineRule="exact"/>
        <w:rPr>
          <w:sz w:val="20"/>
          <w:szCs w:val="20"/>
          <w:color w:val="auto"/>
        </w:rPr>
      </w:pPr>
    </w:p>
    <w:p>
      <w:pPr>
        <w:ind w:left="1380" w:hanging="666"/>
        <w:spacing w:after="0"/>
        <w:tabs>
          <w:tab w:leader="none" w:pos="1380" w:val="left"/>
        </w:tabs>
        <w:numPr>
          <w:ilvl w:val="1"/>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[RESERVED];</w:t>
      </w:r>
    </w:p>
    <w:p>
      <w:pPr>
        <w:spacing w:after="0" w:line="303" w:lineRule="exact"/>
        <w:rPr>
          <w:rFonts w:ascii="Times New Roman" w:cs="Times New Roman" w:eastAsia="Times New Roman" w:hAnsi="Times New Roman"/>
          <w:sz w:val="17"/>
          <w:szCs w:val="17"/>
          <w:i w:val="1"/>
          <w:iCs w:val="1"/>
          <w:color w:val="auto"/>
        </w:rPr>
      </w:pPr>
    </w:p>
    <w:p>
      <w:pPr>
        <w:jc w:val="both"/>
        <w:ind w:left="1340" w:hanging="626"/>
        <w:spacing w:after="0" w:line="272" w:lineRule="auto"/>
        <w:tabs>
          <w:tab w:leader="none" w:pos="1334" w:val="left"/>
        </w:tabs>
        <w:numPr>
          <w:ilvl w:val="1"/>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Repudiation of Note</w:t>
      </w:r>
      <w:r>
        <w:rPr>
          <w:rFonts w:ascii="Times New Roman" w:cs="Times New Roman" w:eastAsia="Times New Roman" w:hAnsi="Times New Roman"/>
          <w:sz w:val="17"/>
          <w:szCs w:val="17"/>
          <w:color w:val="auto"/>
        </w:rPr>
        <w:t>. the Company providing at any time notice to the Holder, including by way of public announcement,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intention to not honor any provision of this Note (including requests for conversions of this Note in accordance with the terms hereof);</w:t>
      </w:r>
    </w:p>
    <w:p>
      <w:pPr>
        <w:spacing w:after="0" w:line="199" w:lineRule="exact"/>
        <w:rPr>
          <w:rFonts w:ascii="Times New Roman" w:cs="Times New Roman" w:eastAsia="Times New Roman" w:hAnsi="Times New Roman"/>
          <w:sz w:val="17"/>
          <w:szCs w:val="17"/>
          <w:i w:val="1"/>
          <w:iCs w:val="1"/>
          <w:color w:val="auto"/>
        </w:rPr>
      </w:pPr>
    </w:p>
    <w:p>
      <w:pPr>
        <w:jc w:val="both"/>
        <w:ind w:left="1340" w:hanging="626"/>
        <w:spacing w:after="0" w:line="272" w:lineRule="auto"/>
        <w:tabs>
          <w:tab w:leader="none" w:pos="1335" w:val="left"/>
        </w:tabs>
        <w:numPr>
          <w:ilvl w:val="1"/>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Corporate Authorization</w:t>
      </w:r>
      <w:r>
        <w:rPr>
          <w:rFonts w:ascii="Times New Roman" w:cs="Times New Roman" w:eastAsia="Times New Roman" w:hAnsi="Times New Roman"/>
          <w:sz w:val="17"/>
          <w:szCs w:val="17"/>
          <w:color w:val="auto"/>
        </w:rPr>
        <w:t>. the Company or any subsidiary thereof, by any act or failure to act, expressly indicating its consent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approval of or acquiescence in any of the actions described in any of the clauses above or taking any corporate or other action to authorize or otherwise for the purpose of effecting any such action;</w:t>
      </w:r>
    </w:p>
    <w:p>
      <w:pPr>
        <w:spacing w:after="0" w:line="203" w:lineRule="exact"/>
        <w:rPr>
          <w:rFonts w:ascii="Times New Roman" w:cs="Times New Roman" w:eastAsia="Times New Roman" w:hAnsi="Times New Roman"/>
          <w:sz w:val="17"/>
          <w:szCs w:val="17"/>
          <w:i w:val="1"/>
          <w:iCs w:val="1"/>
          <w:color w:val="auto"/>
        </w:rPr>
      </w:pPr>
    </w:p>
    <w:p>
      <w:pPr>
        <w:ind w:left="1320" w:hanging="606"/>
        <w:spacing w:after="0"/>
        <w:tabs>
          <w:tab w:leader="none" w:pos="1320" w:val="left"/>
        </w:tabs>
        <w:numPr>
          <w:ilvl w:val="1"/>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[RESERVED];</w:t>
      </w:r>
    </w:p>
    <w:p>
      <w:pPr>
        <w:spacing w:after="0" w:line="242" w:lineRule="exact"/>
        <w:rPr>
          <w:rFonts w:ascii="Times New Roman" w:cs="Times New Roman" w:eastAsia="Times New Roman" w:hAnsi="Times New Roman"/>
          <w:sz w:val="17"/>
          <w:szCs w:val="17"/>
          <w:i w:val="1"/>
          <w:iCs w:val="1"/>
          <w:color w:val="auto"/>
        </w:rPr>
      </w:pPr>
    </w:p>
    <w:p>
      <w:pPr>
        <w:ind w:left="1340" w:hanging="626"/>
        <w:spacing w:after="0"/>
        <w:tabs>
          <w:tab w:leader="none" w:pos="1340" w:val="left"/>
        </w:tabs>
        <w:numPr>
          <w:ilvl w:val="1"/>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[RESERVED]; or</w:t>
      </w:r>
    </w:p>
    <w:p>
      <w:pPr>
        <w:spacing w:after="0" w:line="251" w:lineRule="exact"/>
        <w:rPr>
          <w:rFonts w:ascii="Times New Roman" w:cs="Times New Roman" w:eastAsia="Times New Roman" w:hAnsi="Times New Roman"/>
          <w:sz w:val="17"/>
          <w:szCs w:val="17"/>
          <w:i w:val="1"/>
          <w:iCs w:val="1"/>
          <w:color w:val="auto"/>
        </w:rPr>
      </w:pPr>
    </w:p>
    <w:p>
      <w:pPr>
        <w:jc w:val="both"/>
        <w:ind w:left="1340" w:hanging="626"/>
        <w:spacing w:after="0" w:line="272" w:lineRule="auto"/>
        <w:tabs>
          <w:tab w:leader="none" w:pos="1335" w:val="left"/>
        </w:tabs>
        <w:numPr>
          <w:ilvl w:val="1"/>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Breach of Representations or Covenants or Agreements</w:t>
      </w:r>
      <w:r>
        <w:rPr>
          <w:rFonts w:ascii="Times New Roman" w:cs="Times New Roman" w:eastAsia="Times New Roman" w:hAnsi="Times New Roman"/>
          <w:sz w:val="17"/>
          <w:szCs w:val="17"/>
          <w:color w:val="auto"/>
        </w:rPr>
        <w:t>. the Company having breached any representation or warranty contained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Note or failing to perform or observe any other material term, covenant or agreement contained herein or in any other document or agreement entered into between the Company and the Holder.</w:t>
      </w:r>
    </w:p>
    <w:p>
      <w:pPr>
        <w:spacing w:after="0" w:line="254" w:lineRule="exact"/>
        <w:rPr>
          <w:rFonts w:ascii="Times New Roman" w:cs="Times New Roman" w:eastAsia="Times New Roman" w:hAnsi="Times New Roman"/>
          <w:sz w:val="17"/>
          <w:szCs w:val="17"/>
          <w:i w:val="1"/>
          <w:iCs w:val="1"/>
          <w:color w:val="auto"/>
        </w:rPr>
      </w:pPr>
    </w:p>
    <w:p>
      <w:pPr>
        <w:jc w:val="both"/>
        <w:ind w:firstLine="2"/>
        <w:spacing w:after="0" w:line="258" w:lineRule="auto"/>
        <w:tabs>
          <w:tab w:leader="none" w:pos="61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of Holder upon Default</w:t>
      </w:r>
      <w:r>
        <w:rPr>
          <w:rFonts w:ascii="Times New Roman" w:cs="Times New Roman" w:eastAsia="Times New Roman" w:hAnsi="Times New Roman"/>
          <w:sz w:val="17"/>
          <w:szCs w:val="17"/>
          <w:color w:val="auto"/>
        </w:rPr>
        <w:t xml:space="preserve">. Upon the occurrence or existence of any Event of Default (other than an Event of Default described in </w:t>
      </w:r>
      <w:r>
        <w:rPr>
          <w:rFonts w:ascii="Times New Roman" w:cs="Times New Roman" w:eastAsia="Times New Roman" w:hAnsi="Times New Roman"/>
          <w:sz w:val="17"/>
          <w:szCs w:val="17"/>
          <w:u w:val="single" w:color="auto"/>
          <w:color w:val="auto"/>
        </w:rPr>
        <w:t>Sections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5(e)</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5(f</w:t>
      </w:r>
      <w:r>
        <w:rPr>
          <w:rFonts w:ascii="Times New Roman" w:cs="Times New Roman" w:eastAsia="Times New Roman" w:hAnsi="Times New Roman"/>
          <w:sz w:val="17"/>
          <w:szCs w:val="17"/>
          <w:color w:val="auto"/>
        </w:rPr>
        <w:t xml:space="preserve">)) and at any time thereafter during the continuance of such Event of Default, all outstanding Note Obligations payable by the Company hereunder shall become immediately due and payable upon election of the Holder without presentment, demand, protest or any other notice of any kind, all of which are hereby expressly waived. Upon the occurrence or existence of any Event of Default described in </w:t>
      </w:r>
      <w:r>
        <w:rPr>
          <w:rFonts w:ascii="Times New Roman" w:cs="Times New Roman" w:eastAsia="Times New Roman" w:hAnsi="Times New Roman"/>
          <w:sz w:val="17"/>
          <w:szCs w:val="17"/>
          <w:u w:val="single" w:color="auto"/>
          <w:color w:val="auto"/>
        </w:rPr>
        <w:t>Sections 5(e)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5(f)</w:t>
      </w:r>
      <w:r>
        <w:rPr>
          <w:rFonts w:ascii="Times New Roman" w:cs="Times New Roman" w:eastAsia="Times New Roman" w:hAnsi="Times New Roman"/>
          <w:sz w:val="17"/>
          <w:szCs w:val="17"/>
          <w:color w:val="auto"/>
        </w:rPr>
        <w:t>, immediately and without notice, all outstanding Note Obligations payable by the Company hereunder shall automatically become immediately due and payable, without presentment, demand, protest or any other notice of any kind, all of which are hereby expressly waived. In addition to the foregoing remedies, upon the occurrence or existence of any Event of Default, Holder may exercise any other right power or remedy granted to it by this Note or otherwise permitted to it by applicable law, either by suit in equity or by action at law, or both.</w:t>
      </w:r>
    </w:p>
    <w:p>
      <w:pPr>
        <w:spacing w:after="0" w:line="278" w:lineRule="exact"/>
        <w:rPr>
          <w:rFonts w:ascii="Times New Roman" w:cs="Times New Roman" w:eastAsia="Times New Roman" w:hAnsi="Times New Roman"/>
          <w:sz w:val="17"/>
          <w:szCs w:val="17"/>
          <w:color w:val="auto"/>
        </w:rPr>
      </w:pPr>
    </w:p>
    <w:p>
      <w:pPr>
        <w:ind w:left="620" w:hanging="618"/>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Ownership Cap</w:t>
      </w:r>
      <w:r>
        <w:rPr>
          <w:rFonts w:ascii="Times New Roman" w:cs="Times New Roman" w:eastAsia="Times New Roman" w:hAnsi="Times New Roman"/>
          <w:sz w:val="17"/>
          <w:szCs w:val="17"/>
          <w:color w:val="auto"/>
        </w:rPr>
        <w:t>.</w:t>
      </w:r>
    </w:p>
    <w:p>
      <w:pPr>
        <w:spacing w:after="0" w:line="290" w:lineRule="exact"/>
        <w:rPr>
          <w:rFonts w:ascii="Times New Roman" w:cs="Times New Roman" w:eastAsia="Times New Roman" w:hAnsi="Times New Roman"/>
          <w:sz w:val="17"/>
          <w:szCs w:val="17"/>
          <w:color w:val="auto"/>
        </w:rPr>
      </w:pPr>
    </w:p>
    <w:p>
      <w:pPr>
        <w:jc w:val="both"/>
        <w:ind w:left="1340" w:hanging="626"/>
        <w:spacing w:after="0" w:line="258" w:lineRule="auto"/>
        <w:tabs>
          <w:tab w:leader="none" w:pos="133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Ownership Cap</w:t>
      </w:r>
      <w:r>
        <w:rPr>
          <w:rFonts w:ascii="Times New Roman" w:cs="Times New Roman" w:eastAsia="Times New Roman" w:hAnsi="Times New Roman"/>
          <w:sz w:val="17"/>
          <w:szCs w:val="17"/>
          <w:color w:val="auto"/>
        </w:rPr>
        <w:t>. Notwithstanding anything to the contrary contained herein, the Holder shall not be entitled to receive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upon conversion of this Note to the extent (but only to the extent) that such exercise or receipt would cause the Holder Group (as defined below) to become, directly or indirectly, a “beneficial owner” (within the meaning of Section 13(d) of the Exchange Act and the rules and regulations promulgated thereunder) of a number of a number of shares of Common Stock which exceeds the Maximum Percentage (as defined below) of the shares of Common Stock that are outstanding at such time. Any purported delivery of shares of Common Stock in connection with the conversion of this Note prior to the termination of this restriction in accordance herewith shall be void and have no effect to the extent (but only to the extent) that such delivery would result in the Holder Group becoming the beneficial owner of more than the Maximum Percentage of shares of Common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520"/>
          </w:cols>
          <w:pgMar w:left="940" w:top="1361" w:right="439" w:bottom="1440" w:gutter="0" w:footer="0" w:header="0"/>
        </w:sectPr>
      </w:pPr>
    </w:p>
    <w:bookmarkStart w:id="60" w:name="page61"/>
    <w:bookmarkEnd w:id="60"/>
    <w:p>
      <w:pPr>
        <w:jc w:val="both"/>
        <w:ind w:left="1340"/>
        <w:spacing w:after="0" w:line="255" w:lineRule="auto"/>
        <w:rPr>
          <w:sz w:val="20"/>
          <w:szCs w:val="20"/>
          <w:color w:val="auto"/>
        </w:rPr>
      </w:pPr>
      <w:r>
        <w:rPr>
          <w:rFonts w:ascii="Times New Roman" w:cs="Times New Roman" w:eastAsia="Times New Roman" w:hAnsi="Times New Roman"/>
          <w:sz w:val="17"/>
          <w:szCs w:val="17"/>
          <w:color w:val="auto"/>
        </w:rPr>
        <w:t xml:space="preserve">Stock that are outstanding at such time. If any delivery of Common Stock owed to the Holder following conversion of this Note is not made, in whole or in part, as a result of this limitation, the Company’s obligation to make such delivery shall not be extinguished and the Company shall deliver shares of Common Stock as promptly as practicable after the Holder gives notice to the Company that such delivery would not result in such limitation being triggered or upon termination of the restriction in accordance with the terms hereof. To the extent limitations contained in this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 xml:space="preserve"> apply, the determination of whether the principal amount of this Note is convertible and of which portion of the principal amount of this Note is convertible shall be the sole responsibility and in the sole determination of the Holder, and the submission of a notice of conversion shall be deemed to constitute the Holder’s determination that the issuance of the full number of Conversion Shares requested in the notice of conversion is permitted hereunder, and the Company shall be entitled to rely on the representations and other information set forth in any Conversion Notice and shall not have any obligation to verify or confirm the accuracy of such determination. For purposes of this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 (i) the term “</w:t>
      </w:r>
      <w:r>
        <w:rPr>
          <w:rFonts w:ascii="Times New Roman" w:cs="Times New Roman" w:eastAsia="Times New Roman" w:hAnsi="Times New Roman"/>
          <w:sz w:val="17"/>
          <w:szCs w:val="17"/>
          <w:b w:val="1"/>
          <w:bCs w:val="1"/>
          <w:i w:val="1"/>
          <w:iCs w:val="1"/>
          <w:color w:val="auto"/>
        </w:rPr>
        <w:t>Maximum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Percentage</w:t>
      </w:r>
      <w:r>
        <w:rPr>
          <w:rFonts w:ascii="Times New Roman" w:cs="Times New Roman" w:eastAsia="Times New Roman" w:hAnsi="Times New Roman"/>
          <w:sz w:val="17"/>
          <w:szCs w:val="17"/>
          <w:color w:val="auto"/>
        </w:rPr>
        <w:t>” shall mean 4.99%;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at any time after the date hereof the Holder Group beneficially owns in excess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4.99% of the outstanding shares of Common Stock, then the Maximum Percentage shall automatically increase to 9.99% for so long as the Holder Group owns in excess of 4.99% of the outstanding shares of Common Stock (and shall, for the avoidance of doubt, automatically decrease to 4.99% upon the Holder Group ceasing to own in excess of 4.99% of the outstanding shares of Common Stock); and (ii) the term “</w:t>
      </w:r>
      <w:r>
        <w:rPr>
          <w:rFonts w:ascii="Times New Roman" w:cs="Times New Roman" w:eastAsia="Times New Roman" w:hAnsi="Times New Roman"/>
          <w:sz w:val="17"/>
          <w:szCs w:val="17"/>
          <w:b w:val="1"/>
          <w:bCs w:val="1"/>
          <w:i w:val="1"/>
          <w:iCs w:val="1"/>
          <w:color w:val="auto"/>
        </w:rPr>
        <w:t>Holder Group</w:t>
      </w:r>
      <w:r>
        <w:rPr>
          <w:rFonts w:ascii="Times New Roman" w:cs="Times New Roman" w:eastAsia="Times New Roman" w:hAnsi="Times New Roman"/>
          <w:sz w:val="17"/>
          <w:szCs w:val="17"/>
          <w:color w:val="auto"/>
        </w:rPr>
        <w:t xml:space="preserve">” shall mean the Holder plus any other Person with which the Holder is considered to be part of a group under Section 13 of the Exchange Act or with which the Holder otherwise files reports under Section 13 and/or Section 16 of the Exchange Act. In determining the number of shares of Common Stock outstanding at any point in time, the Holder may rely on the number of outstanding shares of Common Stock as reflected in (x) the Company’s most recent annual or quarterly reports filed with the SEC, as the case may be, (y) a more recent public announcement by the Company or (z) a more recent notice by the Company or its transfer agent to the Holder setting forth the number of shares of Common Stock then outstanding. For any reason at any time, upon written or oral request of the Holder, the Company shall, within one (1) Business Day of such request, confirm orally and in writing to the Holder the number of shares of Common Stock then outstanding.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61st day after such notice is delivered to the Company and (ii) any such increase or decrease will apply only to the Holder. For purposes of clarity, the shares of Common Stock issuable pursuant to the terms of this Note in excess of the Maximum Percentage shall not be deemed to be beneficially owned by the Holder for any purpose including for purposes of Section 13(d) or Rule 16a-1(a)(1) of the Exchange Act. No prior inability to convert this Note or receive shares pursuant to this Note pursuant to this paragraph shall have any effect on the applicability of the provisions of this paragraph with respect to any subsequent determination of convertibility. The provisions of this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 xml:space="preserve"> shall be construed, corrected and implemented in a manner so as to effectuate the intended beneficial ownership limitation herein contained.</w:t>
      </w:r>
    </w:p>
    <w:p>
      <w:pPr>
        <w:spacing w:after="0" w:line="33" w:lineRule="exact"/>
        <w:rPr>
          <w:sz w:val="20"/>
          <w:szCs w:val="20"/>
          <w:color w:val="auto"/>
        </w:rPr>
      </w:pPr>
    </w:p>
    <w:p>
      <w:pPr>
        <w:ind w:left="620" w:hanging="618"/>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w:t>
      </w:r>
    </w:p>
    <w:p>
      <w:pPr>
        <w:spacing w:after="0" w:line="249" w:lineRule="exact"/>
        <w:rPr>
          <w:rFonts w:ascii="Times New Roman" w:cs="Times New Roman" w:eastAsia="Times New Roman" w:hAnsi="Times New Roman"/>
          <w:sz w:val="17"/>
          <w:szCs w:val="17"/>
          <w:color w:val="auto"/>
        </w:rPr>
      </w:pPr>
    </w:p>
    <w:p>
      <w:pPr>
        <w:ind w:left="1340" w:hanging="626"/>
        <w:spacing w:after="0" w:line="294" w:lineRule="auto"/>
        <w:tabs>
          <w:tab w:leader="none" w:pos="1334" w:val="left"/>
        </w:tabs>
        <w:numPr>
          <w:ilvl w:val="1"/>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Conversion Shares. </w:t>
      </w:r>
      <w:r>
        <w:rPr>
          <w:rFonts w:ascii="Times New Roman" w:cs="Times New Roman" w:eastAsia="Times New Roman" w:hAnsi="Times New Roman"/>
          <w:sz w:val="17"/>
          <w:szCs w:val="17"/>
          <w:color w:val="auto"/>
        </w:rPr>
        <w:t>This Note shall be convertible into validly issued, fully paid and non-assessable shares (the “</w:t>
      </w:r>
      <w:r>
        <w:rPr>
          <w:rFonts w:ascii="Times New Roman" w:cs="Times New Roman" w:eastAsia="Times New Roman" w:hAnsi="Times New Roman"/>
          <w:sz w:val="17"/>
          <w:szCs w:val="17"/>
          <w:b w:val="1"/>
          <w:bCs w:val="1"/>
          <w:i w:val="1"/>
          <w:iCs w:val="1"/>
          <w:color w:val="auto"/>
        </w:rPr>
        <w:t>Conversion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Common Stock on the terms and conditions set forth in this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520"/>
          </w:cols>
          <w:pgMar w:left="940" w:top="1412" w:right="439" w:bottom="1440" w:gutter="0" w:footer="0" w:header="0"/>
        </w:sectPr>
      </w:pPr>
    </w:p>
    <w:bookmarkStart w:id="61" w:name="page62"/>
    <w:bookmarkEnd w:id="61"/>
    <w:p>
      <w:pPr>
        <w:spacing w:after="0" w:line="149" w:lineRule="exact"/>
        <w:rPr>
          <w:sz w:val="20"/>
          <w:szCs w:val="20"/>
          <w:color w:val="auto"/>
        </w:rPr>
      </w:pPr>
    </w:p>
    <w:p>
      <w:pPr>
        <w:jc w:val="both"/>
        <w:ind w:left="840" w:hanging="626"/>
        <w:spacing w:after="0" w:line="258" w:lineRule="auto"/>
        <w:tabs>
          <w:tab w:leader="none" w:pos="834"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Conversion Right</w:t>
      </w:r>
      <w:r>
        <w:rPr>
          <w:rFonts w:ascii="Times New Roman" w:cs="Times New Roman" w:eastAsia="Times New Roman" w:hAnsi="Times New Roman"/>
          <w:sz w:val="17"/>
          <w:szCs w:val="17"/>
          <w:color w:val="auto"/>
        </w:rPr>
        <w:t>. Prior to the payment of the Note Obligations in full, Holder, in its sole discretion and upon written notice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Company, may elect to have all or any portion of the outstanding Principal Amount and all interest accrued with respect to such outstanding portion of the Principal Amount through the date that the Holder notifies in writing the Company of its intent to convert pursuant to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(such Principal Amount and accrued interest, the “</w:t>
      </w:r>
      <w:r>
        <w:rPr>
          <w:rFonts w:ascii="Times New Roman" w:cs="Times New Roman" w:eastAsia="Times New Roman" w:hAnsi="Times New Roman"/>
          <w:sz w:val="17"/>
          <w:szCs w:val="17"/>
          <w:b w:val="1"/>
          <w:bCs w:val="1"/>
          <w:i w:val="1"/>
          <w:iCs w:val="1"/>
          <w:color w:val="auto"/>
        </w:rPr>
        <w:t>Conversion Amount</w:t>
      </w:r>
      <w:r>
        <w:rPr>
          <w:rFonts w:ascii="Times New Roman" w:cs="Times New Roman" w:eastAsia="Times New Roman" w:hAnsi="Times New Roman"/>
          <w:sz w:val="17"/>
          <w:szCs w:val="17"/>
          <w:color w:val="auto"/>
        </w:rPr>
        <w:t>”) converted into that number of shares of Common Stock equal to the quotient of (a) the Conversion Amount divided by (b) the Conversion Price. Notwithstanding the foregoing, upon written notice by Holder of the intent to convert, the Company may instead elect to pay all of the Conversion Amount in cash. The Company shall pay any and all transfer, stamp, issuance and similar taxes, costs and expenses (including, without limitation, fees and expenses of the transfer agent) that may be payable with respect to the issuance and delivery of Common Stock upon conversion of any Conversion Amount.</w:t>
      </w:r>
    </w:p>
    <w:p>
      <w:pPr>
        <w:spacing w:after="0" w:line="195" w:lineRule="exact"/>
        <w:rPr>
          <w:rFonts w:ascii="Times New Roman" w:cs="Times New Roman" w:eastAsia="Times New Roman" w:hAnsi="Times New Roman"/>
          <w:sz w:val="17"/>
          <w:szCs w:val="17"/>
          <w:i w:val="1"/>
          <w:iCs w:val="1"/>
          <w:color w:val="auto"/>
        </w:rPr>
      </w:pPr>
    </w:p>
    <w:p>
      <w:pPr>
        <w:jc w:val="both"/>
        <w:ind w:left="840" w:hanging="626"/>
        <w:spacing w:after="0" w:line="267" w:lineRule="auto"/>
        <w:tabs>
          <w:tab w:leader="none" w:pos="837"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Notice of Conversion</w:t>
      </w:r>
      <w:r>
        <w:rPr>
          <w:rFonts w:ascii="Times New Roman" w:cs="Times New Roman" w:eastAsia="Times New Roman" w:hAnsi="Times New Roman"/>
          <w:sz w:val="17"/>
          <w:szCs w:val="17"/>
          <w:color w:val="auto"/>
        </w:rPr>
        <w:t>. To convert any Conversion Amount into Conversion Shares on any date (a “</w:t>
      </w:r>
      <w:r>
        <w:rPr>
          <w:rFonts w:ascii="Times New Roman" w:cs="Times New Roman" w:eastAsia="Times New Roman" w:hAnsi="Times New Roman"/>
          <w:sz w:val="17"/>
          <w:szCs w:val="17"/>
          <w:b w:val="1"/>
          <w:bCs w:val="1"/>
          <w:i w:val="1"/>
          <w:iCs w:val="1"/>
          <w:color w:val="auto"/>
        </w:rPr>
        <w:t>Conversion Date</w:t>
      </w:r>
      <w:r>
        <w:rPr>
          <w:rFonts w:ascii="Times New Roman" w:cs="Times New Roman" w:eastAsia="Times New Roman" w:hAnsi="Times New Roman"/>
          <w:sz w:val="17"/>
          <w:szCs w:val="17"/>
          <w:color w:val="auto"/>
        </w:rPr>
        <w:t>”), the 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deliver to the Company (whether via facsimile, electronic mail or otherwise), for receipt on or prior to 11:59 p.m., New York time, on such date, a copy of an executed notice of conversion (the “</w:t>
      </w:r>
      <w:r>
        <w:rPr>
          <w:rFonts w:ascii="Times New Roman" w:cs="Times New Roman" w:eastAsia="Times New Roman" w:hAnsi="Times New Roman"/>
          <w:sz w:val="17"/>
          <w:szCs w:val="17"/>
          <w:b w:val="1"/>
          <w:bCs w:val="1"/>
          <w:i w:val="1"/>
          <w:iCs w:val="1"/>
          <w:color w:val="auto"/>
        </w:rPr>
        <w:t>Conversion Notice</w:t>
      </w:r>
      <w:r>
        <w:rPr>
          <w:rFonts w:ascii="Times New Roman" w:cs="Times New Roman" w:eastAsia="Times New Roman" w:hAnsi="Times New Roman"/>
          <w:sz w:val="17"/>
          <w:szCs w:val="17"/>
          <w:color w:val="auto"/>
        </w:rPr>
        <w:t>”) specifying the Conversion Amount, the Conversion Price, and the number of Conversion Shares.</w:t>
      </w:r>
    </w:p>
    <w:p>
      <w:pPr>
        <w:spacing w:after="0" w:line="189" w:lineRule="exact"/>
        <w:rPr>
          <w:rFonts w:ascii="Times New Roman" w:cs="Times New Roman" w:eastAsia="Times New Roman" w:hAnsi="Times New Roman"/>
          <w:sz w:val="17"/>
          <w:szCs w:val="17"/>
          <w:i w:val="1"/>
          <w:iCs w:val="1"/>
          <w:color w:val="auto"/>
        </w:rPr>
      </w:pPr>
    </w:p>
    <w:p>
      <w:pPr>
        <w:jc w:val="both"/>
        <w:ind w:left="840" w:hanging="626"/>
        <w:spacing w:after="0" w:line="272" w:lineRule="auto"/>
        <w:tabs>
          <w:tab w:leader="none" w:pos="834"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Voluntary Adjustment of Conversion Price. </w:t>
      </w:r>
      <w:r>
        <w:rPr>
          <w:rFonts w:ascii="Times New Roman" w:cs="Times New Roman" w:eastAsia="Times New Roman" w:hAnsi="Times New Roman"/>
          <w:sz w:val="17"/>
          <w:szCs w:val="17"/>
          <w:color w:val="auto"/>
        </w:rPr>
        <w:t>Subject to the rules and regulations of the Principal Market, the Company may at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during the term of this Note, with the prior written consent of the Holder, reduce the then current Conversion Price of the Note to any amount and for any period of time deemed appropriate by the board of directors of the Company.</w:t>
      </w:r>
    </w:p>
    <w:p>
      <w:pPr>
        <w:spacing w:after="0" w:line="199" w:lineRule="exact"/>
        <w:rPr>
          <w:rFonts w:ascii="Times New Roman" w:cs="Times New Roman" w:eastAsia="Times New Roman" w:hAnsi="Times New Roman"/>
          <w:sz w:val="17"/>
          <w:szCs w:val="17"/>
          <w:i w:val="1"/>
          <w:iCs w:val="1"/>
          <w:color w:val="auto"/>
        </w:rPr>
      </w:pPr>
    </w:p>
    <w:p>
      <w:pPr>
        <w:jc w:val="both"/>
        <w:ind w:left="840" w:hanging="626"/>
        <w:spacing w:after="0" w:line="262" w:lineRule="auto"/>
        <w:tabs>
          <w:tab w:leader="none" w:pos="837"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Surrender of Note</w:t>
      </w:r>
      <w:r>
        <w:rPr>
          <w:rFonts w:ascii="Times New Roman" w:cs="Times New Roman" w:eastAsia="Times New Roman" w:hAnsi="Times New Roman"/>
          <w:sz w:val="17"/>
          <w:szCs w:val="17"/>
          <w:color w:val="auto"/>
        </w:rPr>
        <w:t>. Promptly after a conversion of all amounts due under this Note pursuant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but in no event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than five (5) Business Days thereafter, Holder shall deliver the original of this Note (or a notice to the effect that the original Note has been lost, stolen or destroyed and an agreement acceptable to the Company whereby the Holder agrees to indemnify the Company from any loss incurred by it in connection with this Note arising out of any claims that the Original Note was not lost, stolen or destroyed).</w:t>
      </w:r>
    </w:p>
    <w:p>
      <w:pPr>
        <w:spacing w:after="0" w:line="209" w:lineRule="exact"/>
        <w:rPr>
          <w:rFonts w:ascii="Times New Roman" w:cs="Times New Roman" w:eastAsia="Times New Roman" w:hAnsi="Times New Roman"/>
          <w:sz w:val="17"/>
          <w:szCs w:val="17"/>
          <w:i w:val="1"/>
          <w:iCs w:val="1"/>
          <w:color w:val="auto"/>
        </w:rPr>
      </w:pPr>
    </w:p>
    <w:p>
      <w:pPr>
        <w:jc w:val="both"/>
        <w:ind w:left="840" w:hanging="626"/>
        <w:spacing w:after="0" w:line="256" w:lineRule="auto"/>
        <w:tabs>
          <w:tab w:leader="none" w:pos="835"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Reservation of Common Stock</w:t>
      </w:r>
      <w:r>
        <w:rPr>
          <w:rFonts w:ascii="Times New Roman" w:cs="Times New Roman" w:eastAsia="Times New Roman" w:hAnsi="Times New Roman"/>
          <w:sz w:val="17"/>
          <w:szCs w:val="17"/>
          <w:color w:val="auto"/>
        </w:rPr>
        <w:t>. The Company has not reserved for issuance from its duly authorized capital stock the maximum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of shares of Common Stock issuable upon conversion of this Note, and such shares have been approved by Nasdaq for listing, subject only to notice of issuance. The Company covenants that all of the shares of Common Stock that shall be so issued shall be at the time of such conversion and issuance, duly authorized, validly issued, fully paid, and non-assessable by the Company, not subject to any preemptive rights, and free from any taxes, liens, and charges with respect to the issue thereof. The Company shall take all such action as may be necessary to ensure that all such shares of Common Stock may be so issued without violation of any applicable law or regulation. To the extent the shares of Common Stock issuable upon conversion of this Note are either (i) transferable without limitation under Rule 144 or (ii) there is a then-effective registration statement with respect to the resale of such shares, the shares of Common Stock issuable upon conversion of this Note shall not bear any restrictive legends. On and after the date of this Note, the Company shall timely report all necessary public information required by Rule 144(c)(2) for Holder to resell the shares of Common Stock issued to Holder under this Note in reliance upon the public information requirements set forth in Rule 144(c)(2). The Company shall instruct the transfer agent to place the Conversion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020"/>
          </w:cols>
          <w:pgMar w:left="1440" w:top="1440" w:right="439" w:bottom="1440" w:gutter="0" w:footer="0" w:header="0"/>
        </w:sectPr>
      </w:pPr>
    </w:p>
    <w:bookmarkStart w:id="62" w:name="page63"/>
    <w:bookmarkEnd w:id="62"/>
    <w:p>
      <w:pPr>
        <w:jc w:val="both"/>
        <w:ind w:left="1340"/>
        <w:spacing w:after="0" w:line="267" w:lineRule="auto"/>
        <w:rPr>
          <w:sz w:val="20"/>
          <w:szCs w:val="20"/>
          <w:color w:val="auto"/>
        </w:rPr>
      </w:pPr>
      <w:r>
        <w:rPr>
          <w:rFonts w:ascii="Times New Roman" w:cs="Times New Roman" w:eastAsia="Times New Roman" w:hAnsi="Times New Roman"/>
          <w:sz w:val="17"/>
          <w:szCs w:val="17"/>
          <w:color w:val="auto"/>
        </w:rPr>
        <w:t>Shares on reserve for eventual conversion of this Note (the “</w:t>
      </w:r>
      <w:r>
        <w:rPr>
          <w:rFonts w:ascii="Times New Roman" w:cs="Times New Roman" w:eastAsia="Times New Roman" w:hAnsi="Times New Roman"/>
          <w:sz w:val="17"/>
          <w:szCs w:val="17"/>
          <w:b w:val="1"/>
          <w:bCs w:val="1"/>
          <w:i w:val="1"/>
          <w:iCs w:val="1"/>
          <w:color w:val="auto"/>
        </w:rPr>
        <w:t>Reserved Shares</w:t>
      </w:r>
      <w:r>
        <w:rPr>
          <w:rFonts w:ascii="Times New Roman" w:cs="Times New Roman" w:eastAsia="Times New Roman" w:hAnsi="Times New Roman"/>
          <w:sz w:val="17"/>
          <w:szCs w:val="17"/>
          <w:color w:val="auto"/>
        </w:rPr>
        <w:t>”). The Reserved Shares shall remain in the created reserve with the transfer agent until Holder provides written instructions to the transfer agent that the Reserved Shares, or any part of the Reserved Shares, shall be taken out of the reserve or until the transfer agent receives an opinion from the Company’s counsel or from acceptable counsel to the transfer agent.</w:t>
      </w:r>
    </w:p>
    <w:p>
      <w:pPr>
        <w:spacing w:after="0" w:line="254" w:lineRule="exact"/>
        <w:rPr>
          <w:sz w:val="20"/>
          <w:szCs w:val="20"/>
          <w:color w:val="auto"/>
        </w:rPr>
      </w:pPr>
    </w:p>
    <w:p>
      <w:pPr>
        <w:jc w:val="both"/>
        <w:ind w:left="1340" w:hanging="626"/>
        <w:spacing w:after="0" w:line="272" w:lineRule="auto"/>
        <w:tabs>
          <w:tab w:leader="none" w:pos="1334"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Fractional Securities</w:t>
      </w:r>
      <w:r>
        <w:rPr>
          <w:rFonts w:ascii="Times New Roman" w:cs="Times New Roman" w:eastAsia="Times New Roman" w:hAnsi="Times New Roman"/>
          <w:sz w:val="17"/>
          <w:szCs w:val="17"/>
          <w:color w:val="auto"/>
        </w:rPr>
        <w:t>. No fractional shares of Common Stock shall be issued upon conversion of this Note. In lieu of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issuing any fractional shares of Common Stock to Holder upon the conversion of this Note, the Company shall round up to the nearest whole share.</w:t>
      </w:r>
    </w:p>
    <w:p>
      <w:pPr>
        <w:spacing w:after="0" w:line="199" w:lineRule="exact"/>
        <w:rPr>
          <w:rFonts w:ascii="Times New Roman" w:cs="Times New Roman" w:eastAsia="Times New Roman" w:hAnsi="Times New Roman"/>
          <w:sz w:val="17"/>
          <w:szCs w:val="17"/>
          <w:i w:val="1"/>
          <w:iCs w:val="1"/>
          <w:color w:val="auto"/>
        </w:rPr>
      </w:pPr>
    </w:p>
    <w:p>
      <w:pPr>
        <w:ind w:left="1340" w:hanging="626"/>
        <w:spacing w:after="0" w:line="292" w:lineRule="auto"/>
        <w:tabs>
          <w:tab w:leader="none" w:pos="1334"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Issuance Taxes</w:t>
      </w:r>
      <w:r>
        <w:rPr>
          <w:rFonts w:ascii="Times New Roman" w:cs="Times New Roman" w:eastAsia="Times New Roman" w:hAnsi="Times New Roman"/>
          <w:sz w:val="17"/>
          <w:szCs w:val="17"/>
          <w:color w:val="auto"/>
        </w:rPr>
        <w:t>. The issuance of shares of Common Stock upon conversion of all or any portion of the outstanding Note Obligations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 accordance with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shall be made without charge to Holder for any issuance tax in respect thereof.</w:t>
      </w:r>
    </w:p>
    <w:p>
      <w:pPr>
        <w:spacing w:after="0" w:line="181" w:lineRule="exact"/>
        <w:rPr>
          <w:rFonts w:ascii="Times New Roman" w:cs="Times New Roman" w:eastAsia="Times New Roman" w:hAnsi="Times New Roman"/>
          <w:sz w:val="17"/>
          <w:szCs w:val="17"/>
          <w:i w:val="1"/>
          <w:iCs w:val="1"/>
          <w:color w:val="auto"/>
        </w:rPr>
      </w:pPr>
    </w:p>
    <w:p>
      <w:pPr>
        <w:jc w:val="both"/>
        <w:ind w:left="1340" w:hanging="626"/>
        <w:spacing w:after="0" w:line="256" w:lineRule="auto"/>
        <w:tabs>
          <w:tab w:leader="none" w:pos="1335"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Conversion Limitation</w:t>
      </w:r>
      <w:r>
        <w:rPr>
          <w:rFonts w:ascii="Times New Roman" w:cs="Times New Roman" w:eastAsia="Times New Roman" w:hAnsi="Times New Roman"/>
          <w:sz w:val="17"/>
          <w:szCs w:val="17"/>
          <w:color w:val="auto"/>
        </w:rPr>
        <w:t>. In order to comply with the rules of the Nasdaq Stock Market relating to stockholder approval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 by an issuer other than in a public offering, the Notes are only convertible into the number of shares of Common Stock that, in the aggregate, would result in the issuance of not more than 19.99% of the shares of Common Stock outstanding as of the Issue Date (the “</w:t>
      </w:r>
      <w:r>
        <w:rPr>
          <w:rFonts w:ascii="Times New Roman" w:cs="Times New Roman" w:eastAsia="Times New Roman" w:hAnsi="Times New Roman"/>
          <w:sz w:val="17"/>
          <w:szCs w:val="17"/>
          <w:b w:val="1"/>
          <w:bCs w:val="1"/>
          <w:i w:val="1"/>
          <w:iCs w:val="1"/>
          <w:color w:val="auto"/>
        </w:rPr>
        <w:t>Conversion Limit</w:t>
      </w:r>
      <w:r>
        <w:rPr>
          <w:rFonts w:ascii="Times New Roman" w:cs="Times New Roman" w:eastAsia="Times New Roman" w:hAnsi="Times New Roman"/>
          <w:sz w:val="17"/>
          <w:szCs w:val="17"/>
          <w:color w:val="auto"/>
        </w:rPr>
        <w:t>”). Notwithstanding any other provision contained in this Note, a conversion of this Note that would cause the aggregate number of shares issued under this Note to exceed the Conversion Limit may not occur prior to receipt of stockholder approval to provide for such conversion of this Note, and the subsequent issuance of Common Stock, pursuant to the stockholder approval rules and regulations of the Nasdaq Stock Market (the “</w:t>
      </w:r>
      <w:r>
        <w:rPr>
          <w:rFonts w:ascii="Times New Roman" w:cs="Times New Roman" w:eastAsia="Times New Roman" w:hAnsi="Times New Roman"/>
          <w:sz w:val="17"/>
          <w:szCs w:val="17"/>
          <w:b w:val="1"/>
          <w:bCs w:val="1"/>
          <w:i w:val="1"/>
          <w:iCs w:val="1"/>
          <w:color w:val="auto"/>
        </w:rPr>
        <w:t>Approval</w:t>
      </w:r>
      <w:r>
        <w:rPr>
          <w:rFonts w:ascii="Times New Roman" w:cs="Times New Roman" w:eastAsia="Times New Roman" w:hAnsi="Times New Roman"/>
          <w:sz w:val="17"/>
          <w:szCs w:val="17"/>
          <w:color w:val="auto"/>
        </w:rPr>
        <w:t>”). In the event that the Conversion Limit limits the number of shares into which this Note is convertible, the Company shall hold an annual or special meeting of stockholders on or prior to the date that is 60 days following written notice from the Holder to the Company requesting the Company seek to obtain the Approval, with the recommendation of the Company’s board of directors that such proposals are approved, and the Company shall solicit proxies from its stockholders in connection therewith in the same manner as all other management proposals in such proxy statement and all management-appointed proxyholders shall vote their proxies in favor of such proposals. If the Company does not obtain Approval at the first such meeting, the Company shall call a meeting every 90 days thereafter to seek the Approval until the date on which Approval is obtained.</w:t>
      </w:r>
    </w:p>
    <w:p>
      <w:pPr>
        <w:spacing w:after="0" w:line="269" w:lineRule="exact"/>
        <w:rPr>
          <w:sz w:val="20"/>
          <w:szCs w:val="20"/>
          <w:color w:val="auto"/>
        </w:rPr>
      </w:pPr>
    </w:p>
    <w:p>
      <w:pPr>
        <w:ind w:left="620" w:hanging="618"/>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Company hereby represents and warrants as of the date of this Note, as follows:</w:t>
      </w:r>
    </w:p>
    <w:p>
      <w:pPr>
        <w:spacing w:after="0" w:line="256" w:lineRule="exact"/>
        <w:rPr>
          <w:sz w:val="20"/>
          <w:szCs w:val="20"/>
          <w:color w:val="auto"/>
        </w:rPr>
      </w:pPr>
    </w:p>
    <w:p>
      <w:pPr>
        <w:ind w:left="1340"/>
        <w:spacing w:after="0"/>
        <w:tabs>
          <w:tab w:leader="none" w:pos="1840" w:val="left"/>
        </w:tabs>
        <w:rPr>
          <w:sz w:val="20"/>
          <w:szCs w:val="20"/>
          <w:color w:val="auto"/>
        </w:rPr>
      </w:pPr>
      <w:r>
        <w:rPr>
          <w:rFonts w:ascii="Times New Roman" w:cs="Times New Roman" w:eastAsia="Times New Roman" w:hAnsi="Times New Roman"/>
          <w:sz w:val="17"/>
          <w:szCs w:val="17"/>
          <w:color w:val="auto"/>
        </w:rPr>
        <w:t>9.1</w:t>
      </w:r>
      <w:r>
        <w:rPr>
          <w:sz w:val="20"/>
          <w:szCs w:val="20"/>
          <w:color w:val="auto"/>
        </w:rPr>
        <w:tab/>
      </w:r>
      <w:r>
        <w:rPr>
          <w:rFonts w:ascii="Times New Roman" w:cs="Times New Roman" w:eastAsia="Times New Roman" w:hAnsi="Times New Roman"/>
          <w:sz w:val="17"/>
          <w:szCs w:val="17"/>
          <w:u w:val="single" w:color="auto"/>
          <w:color w:val="auto"/>
        </w:rPr>
        <w:t>Existence</w:t>
      </w:r>
      <w:r>
        <w:rPr>
          <w:rFonts w:ascii="Times New Roman" w:cs="Times New Roman" w:eastAsia="Times New Roman" w:hAnsi="Times New Roman"/>
          <w:sz w:val="17"/>
          <w:szCs w:val="17"/>
          <w:color w:val="auto"/>
        </w:rPr>
        <w:t>. The Company is a company organized, validly existing and in good standing.</w:t>
      </w:r>
    </w:p>
    <w:p>
      <w:pPr>
        <w:spacing w:after="0" w:line="256" w:lineRule="exact"/>
        <w:rPr>
          <w:sz w:val="20"/>
          <w:szCs w:val="20"/>
          <w:color w:val="auto"/>
        </w:rPr>
      </w:pPr>
    </w:p>
    <w:p>
      <w:pPr>
        <w:jc w:val="both"/>
        <w:ind w:left="1340"/>
        <w:spacing w:after="0" w:line="287"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Power and Authority</w:t>
      </w:r>
      <w:r>
        <w:rPr>
          <w:rFonts w:ascii="Times New Roman" w:cs="Times New Roman" w:eastAsia="Times New Roman" w:hAnsi="Times New Roman"/>
          <w:sz w:val="17"/>
          <w:szCs w:val="17"/>
          <w:color w:val="auto"/>
        </w:rPr>
        <w:t>. The Company has the power and authority, and the legal right, to execute and deliver this Note and to perform its obligations hereunder.</w:t>
      </w:r>
    </w:p>
    <w:p>
      <w:pPr>
        <w:spacing w:after="0" w:line="190" w:lineRule="exact"/>
        <w:rPr>
          <w:sz w:val="20"/>
          <w:szCs w:val="20"/>
          <w:color w:val="auto"/>
        </w:rPr>
      </w:pPr>
    </w:p>
    <w:p>
      <w:pPr>
        <w:jc w:val="both"/>
        <w:ind w:left="1340"/>
        <w:spacing w:after="0" w:line="270"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Authorization; Execution; and Delivery</w:t>
      </w:r>
      <w:r>
        <w:rPr>
          <w:rFonts w:ascii="Times New Roman" w:cs="Times New Roman" w:eastAsia="Times New Roman" w:hAnsi="Times New Roman"/>
          <w:sz w:val="17"/>
          <w:szCs w:val="17"/>
          <w:color w:val="auto"/>
        </w:rPr>
        <w:t>. The execution and delivery of this Note by the Company and the performance of its obligations hereunder and thereunder have been duly authorized by all necessary corporate action in accordance with all applicable laws. The Company has duly executed and delivered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520"/>
          </w:cols>
          <w:pgMar w:left="940" w:top="1355" w:right="439" w:bottom="1440" w:gutter="0" w:footer="0" w:header="0"/>
        </w:sectPr>
      </w:pPr>
    </w:p>
    <w:bookmarkStart w:id="63" w:name="page64"/>
    <w:bookmarkEnd w:id="63"/>
    <w:p>
      <w:pPr>
        <w:jc w:val="both"/>
        <w:ind w:left="1338" w:right="100"/>
        <w:spacing w:after="0" w:line="264"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u w:val="single" w:color="auto"/>
          <w:color w:val="auto"/>
        </w:rPr>
        <w:t>Enforceability</w:t>
      </w:r>
      <w:r>
        <w:rPr>
          <w:rFonts w:ascii="Times New Roman" w:cs="Times New Roman" w:eastAsia="Times New Roman" w:hAnsi="Times New Roman"/>
          <w:sz w:val="17"/>
          <w:szCs w:val="17"/>
          <w:color w:val="auto"/>
        </w:rPr>
        <w:t>. The Note is a valid, legal, and binding obligation of the Company, enforceable against the Company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10" w:lineRule="exact"/>
        <w:rPr>
          <w:sz w:val="20"/>
          <w:szCs w:val="20"/>
          <w:color w:val="auto"/>
        </w:rPr>
      </w:pPr>
    </w:p>
    <w:p>
      <w:pPr>
        <w:jc w:val="both"/>
        <w:ind w:left="1338" w:right="100"/>
        <w:spacing w:after="0" w:line="270"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No Approvals</w:t>
      </w:r>
      <w:r>
        <w:rPr>
          <w:rFonts w:ascii="Times New Roman" w:cs="Times New Roman" w:eastAsia="Times New Roman" w:hAnsi="Times New Roman"/>
          <w:sz w:val="17"/>
          <w:szCs w:val="17"/>
          <w:color w:val="auto"/>
        </w:rPr>
        <w:t>. Other than the Approval, no consent or authorization of, filing with, notice to or other act by, or in respect of, any governmental authority or any other person is required in order for the Company to execute, deliver, or perform any of its obligations under this Note.</w:t>
      </w:r>
    </w:p>
    <w:p>
      <w:pPr>
        <w:spacing w:after="0" w:line="204" w:lineRule="exact"/>
        <w:rPr>
          <w:sz w:val="20"/>
          <w:szCs w:val="20"/>
          <w:color w:val="auto"/>
        </w:rPr>
      </w:pPr>
    </w:p>
    <w:p>
      <w:pPr>
        <w:jc w:val="both"/>
        <w:ind w:left="1338" w:right="100"/>
        <w:spacing w:after="0" w:line="264"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No Violations</w:t>
      </w:r>
      <w:r>
        <w:rPr>
          <w:rFonts w:ascii="Times New Roman" w:cs="Times New Roman" w:eastAsia="Times New Roman" w:hAnsi="Times New Roman"/>
          <w:sz w:val="17"/>
          <w:szCs w:val="17"/>
          <w:color w:val="auto"/>
        </w:rPr>
        <w:t>. The execution and delivery of this Note and the consummation by the Company of the transactions contemplated hereby and thereby do not and will not (a) violate any provision of the Company’s organizational documents; (b) violate any law or order applicable to the Company or by which any of its properties or assets may be bound; or (c) constitute a default under any material agreement or contract by which the Company may be bound.</w:t>
      </w:r>
    </w:p>
    <w:p>
      <w:pPr>
        <w:spacing w:after="0" w:line="249" w:lineRule="exact"/>
        <w:rPr>
          <w:sz w:val="20"/>
          <w:szCs w:val="20"/>
          <w:color w:val="auto"/>
        </w:rPr>
      </w:pPr>
    </w:p>
    <w:p>
      <w:pPr>
        <w:ind w:left="618" w:hanging="618"/>
        <w:spacing w:after="0"/>
        <w:tabs>
          <w:tab w:leader="none" w:pos="61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left="1338" w:hanging="625"/>
        <w:spacing w:after="0"/>
        <w:tabs>
          <w:tab w:leader="none" w:pos="133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w:t>
      </w:r>
    </w:p>
    <w:p>
      <w:pPr>
        <w:spacing w:after="0" w:line="255" w:lineRule="exact"/>
        <w:rPr>
          <w:rFonts w:ascii="Times New Roman" w:cs="Times New Roman" w:eastAsia="Times New Roman" w:hAnsi="Times New Roman"/>
          <w:sz w:val="17"/>
          <w:szCs w:val="17"/>
          <w:color w:val="auto"/>
        </w:rPr>
      </w:pPr>
    </w:p>
    <w:p>
      <w:pPr>
        <w:jc w:val="both"/>
        <w:ind w:left="1318"/>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 file one or more registration statements with the SEC to register the resale of all Securities issuable upon conversion of the Note (the “</w:t>
      </w:r>
      <w:r>
        <w:rPr>
          <w:rFonts w:ascii="Times New Roman" w:cs="Times New Roman" w:eastAsia="Times New Roman" w:hAnsi="Times New Roman"/>
          <w:sz w:val="17"/>
          <w:szCs w:val="17"/>
          <w:b w:val="1"/>
          <w:bCs w:val="1"/>
          <w:i w:val="1"/>
          <w:iCs w:val="1"/>
          <w:color w:val="auto"/>
        </w:rPr>
        <w:t>Registrable Shares</w:t>
      </w:r>
      <w:r>
        <w:rPr>
          <w:rFonts w:ascii="Times New Roman" w:cs="Times New Roman" w:eastAsia="Times New Roman" w:hAnsi="Times New Roman"/>
          <w:sz w:val="17"/>
          <w:szCs w:val="17"/>
          <w:color w:val="auto"/>
        </w:rPr>
        <w:t>”) on Form S-3 (or Form S-1 if Form S-3 is not available) under the Securities Act, providing for shelf registration of such Registrable Shares under SEC Rule 415, no later than June 11, 2025, representing 60 days following the closing of the Master Services Agreement transaction with Velo3D (each such registration statement, including any preliminary prospectus, final prospectus, exhibit or amendment included in or relating to such registration statement being the “</w:t>
      </w:r>
      <w:r>
        <w:rPr>
          <w:rFonts w:ascii="Times New Roman" w:cs="Times New Roman" w:eastAsia="Times New Roman" w:hAnsi="Times New Roman"/>
          <w:sz w:val="17"/>
          <w:szCs w:val="17"/>
          <w:b w:val="1"/>
          <w:bCs w:val="1"/>
          <w:i w:val="1"/>
          <w:iCs w:val="1"/>
          <w:color w:val="auto"/>
        </w:rPr>
        <w:t>Resale Registration Statement</w:t>
      </w:r>
      <w:r>
        <w:rPr>
          <w:rFonts w:ascii="Times New Roman" w:cs="Times New Roman" w:eastAsia="Times New Roman" w:hAnsi="Times New Roman"/>
          <w:sz w:val="17"/>
          <w:szCs w:val="17"/>
          <w:color w:val="auto"/>
        </w:rPr>
        <w:t>”);</w:t>
      </w:r>
    </w:p>
    <w:p>
      <w:pPr>
        <w:spacing w:after="0" w:line="174" w:lineRule="exact"/>
        <w:rPr>
          <w:rFonts w:ascii="Times New Roman" w:cs="Times New Roman" w:eastAsia="Times New Roman" w:hAnsi="Times New Roman"/>
          <w:sz w:val="17"/>
          <w:szCs w:val="17"/>
          <w:color w:val="auto"/>
        </w:rPr>
      </w:pPr>
    </w:p>
    <w:p>
      <w:pPr>
        <w:jc w:val="both"/>
        <w:ind w:left="1318" w:right="1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 use its reasonable efforts to cause the Resale Registration Statement to be declared effective as soon as practicable and in any event by the earlier of (i) 30 days after the filing thereof (or, in the event the staff of the SEC reviews and has written comments to such Resale Registration Statement, 75 days of the filing thereof) and (ii) the date that is six months after the Issuance Date, such efforts to include, without limiting the generality of the foregoing, preparing and filing with the SEC any financial statements or other information that is required to be filed prior to the effectiveness of such Resale Registration Statement;</w:t>
      </w:r>
    </w:p>
    <w:p>
      <w:pPr>
        <w:spacing w:after="0" w:line="200" w:lineRule="exact"/>
        <w:rPr>
          <w:rFonts w:ascii="Times New Roman" w:cs="Times New Roman" w:eastAsia="Times New Roman" w:hAnsi="Times New Roman"/>
          <w:sz w:val="17"/>
          <w:szCs w:val="17"/>
          <w:color w:val="auto"/>
        </w:rPr>
      </w:pPr>
    </w:p>
    <w:p>
      <w:pPr>
        <w:jc w:val="both"/>
        <w:ind w:left="1318" w:right="10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10.3 keep the Resale Registration Statement continuously effective and available for use by the Holder (subject to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for a period of three years, including promptly preparing and filing with the SEC such amendments and supplements to the Resale Registration Statement and the prospectus used in connection therewith as may be necessary to keep such Resale Registration Statement continuously effective and free from any material misstatement or omission to state a material fact therein;</w:t>
      </w:r>
    </w:p>
    <w:p>
      <w:pPr>
        <w:spacing w:after="0" w:line="197" w:lineRule="exact"/>
        <w:rPr>
          <w:rFonts w:ascii="Times New Roman" w:cs="Times New Roman" w:eastAsia="Times New Roman" w:hAnsi="Times New Roman"/>
          <w:sz w:val="17"/>
          <w:szCs w:val="17"/>
          <w:color w:val="auto"/>
        </w:rPr>
      </w:pPr>
    </w:p>
    <w:p>
      <w:pPr>
        <w:jc w:val="both"/>
        <w:ind w:left="1318" w:right="10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 furnish to the Holder such number of copies of prospectuses in conformity with the requirements of the Securities Act and such other documents as the Holder may reasonably request, in order to facilitate the public sale or other disposition of all or any of the Registrable Shares by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58"/>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618"/>
          </w:cols>
          <w:pgMar w:left="942" w:top="1361" w:right="339" w:bottom="1440" w:gutter="0" w:footer="0" w:header="0"/>
        </w:sectPr>
      </w:pPr>
    </w:p>
    <w:bookmarkStart w:id="64" w:name="page65"/>
    <w:bookmarkEnd w:id="64"/>
    <w:p>
      <w:pPr>
        <w:jc w:val="both"/>
        <w:ind w:left="1318" w:right="100"/>
        <w:spacing w:after="0" w:line="270" w:lineRule="auto"/>
        <w:rPr>
          <w:sz w:val="20"/>
          <w:szCs w:val="20"/>
          <w:color w:val="auto"/>
        </w:rPr>
      </w:pPr>
      <w:r>
        <w:rPr>
          <w:rFonts w:ascii="Times New Roman" w:cs="Times New Roman" w:eastAsia="Times New Roman" w:hAnsi="Times New Roman"/>
          <w:sz w:val="17"/>
          <w:szCs w:val="17"/>
          <w:color w:val="auto"/>
        </w:rPr>
        <w:t>10.5 file such documents as may be required for normal securities law clearance for the resale of the Registrable Shares in such states of the United States as may be reasonably requested by the Holder and use its commercially reasonable efforts to maintain such blue sky qualifications during the period required to maintain effectiveness of each such Resale Registration Statement;</w:t>
      </w:r>
    </w:p>
    <w:p>
      <w:pPr>
        <w:spacing w:after="0" w:line="191" w:lineRule="exact"/>
        <w:rPr>
          <w:sz w:val="20"/>
          <w:szCs w:val="20"/>
          <w:color w:val="auto"/>
        </w:rPr>
      </w:pPr>
    </w:p>
    <w:p>
      <w:pPr>
        <w:jc w:val="both"/>
        <w:ind w:left="1318" w:right="100"/>
        <w:spacing w:after="0" w:line="270" w:lineRule="auto"/>
        <w:rPr>
          <w:sz w:val="20"/>
          <w:szCs w:val="20"/>
          <w:color w:val="auto"/>
        </w:rPr>
      </w:pPr>
      <w:r>
        <w:rPr>
          <w:rFonts w:ascii="Times New Roman" w:cs="Times New Roman" w:eastAsia="Times New Roman" w:hAnsi="Times New Roman"/>
          <w:sz w:val="17"/>
          <w:szCs w:val="17"/>
          <w:color w:val="auto"/>
        </w:rPr>
        <w:t>10.6 upon notification by the SEC that a Resale Registration Statement will not be reviewed or is not subject to further review by the SEC, within one Trading Day following the date of such notification, request acceleration of such Resale Registration Statement (with the requested effectiveness date to be not more than two Trading Days later);</w:t>
      </w:r>
    </w:p>
    <w:p>
      <w:pPr>
        <w:spacing w:after="0" w:line="191" w:lineRule="exact"/>
        <w:rPr>
          <w:sz w:val="20"/>
          <w:szCs w:val="20"/>
          <w:color w:val="auto"/>
        </w:rPr>
      </w:pPr>
    </w:p>
    <w:p>
      <w:pPr>
        <w:jc w:val="both"/>
        <w:ind w:left="1318" w:right="100"/>
        <w:spacing w:after="0" w:line="287" w:lineRule="auto"/>
        <w:rPr>
          <w:sz w:val="20"/>
          <w:szCs w:val="20"/>
          <w:color w:val="auto"/>
        </w:rPr>
      </w:pPr>
      <w:r>
        <w:rPr>
          <w:rFonts w:ascii="Times New Roman" w:cs="Times New Roman" w:eastAsia="Times New Roman" w:hAnsi="Times New Roman"/>
          <w:sz w:val="17"/>
          <w:szCs w:val="17"/>
          <w:color w:val="auto"/>
        </w:rPr>
        <w:t>10.7 upon notification by the SEC that a Resale Registration Statement has been declared effective by the SEC, file the final prospectus under Rule 424 of the Securities Act (“</w:t>
      </w:r>
      <w:r>
        <w:rPr>
          <w:rFonts w:ascii="Times New Roman" w:cs="Times New Roman" w:eastAsia="Times New Roman" w:hAnsi="Times New Roman"/>
          <w:sz w:val="17"/>
          <w:szCs w:val="17"/>
          <w:b w:val="1"/>
          <w:bCs w:val="1"/>
          <w:i w:val="1"/>
          <w:iCs w:val="1"/>
          <w:color w:val="auto"/>
        </w:rPr>
        <w:t>Rule 424</w:t>
      </w:r>
      <w:r>
        <w:rPr>
          <w:rFonts w:ascii="Times New Roman" w:cs="Times New Roman" w:eastAsia="Times New Roman" w:hAnsi="Times New Roman"/>
          <w:sz w:val="17"/>
          <w:szCs w:val="17"/>
          <w:color w:val="auto"/>
        </w:rPr>
        <w:t>”) within the applicable time period prescribed by Rule 424;</w:t>
      </w:r>
    </w:p>
    <w:p>
      <w:pPr>
        <w:spacing w:after="0" w:line="177" w:lineRule="exact"/>
        <w:rPr>
          <w:sz w:val="20"/>
          <w:szCs w:val="20"/>
          <w:color w:val="auto"/>
        </w:rPr>
      </w:pPr>
    </w:p>
    <w:p>
      <w:pPr>
        <w:ind w:left="1318"/>
        <w:spacing w:after="0"/>
        <w:tabs>
          <w:tab w:leader="none" w:pos="1818" w:val="left"/>
        </w:tabs>
        <w:rPr>
          <w:sz w:val="20"/>
          <w:szCs w:val="20"/>
          <w:color w:val="auto"/>
        </w:rPr>
      </w:pPr>
      <w:r>
        <w:rPr>
          <w:rFonts w:ascii="Times New Roman" w:cs="Times New Roman" w:eastAsia="Times New Roman" w:hAnsi="Times New Roman"/>
          <w:sz w:val="17"/>
          <w:szCs w:val="17"/>
          <w:color w:val="auto"/>
        </w:rPr>
        <w:t>10.8</w:t>
        <w:tab/>
        <w:t>advise the Holder promptly (and in any event within two Trading Days thereof):</w:t>
      </w:r>
    </w:p>
    <w:p>
      <w:pPr>
        <w:spacing w:after="0" w:line="28" w:lineRule="exact"/>
        <w:rPr>
          <w:sz w:val="20"/>
          <w:szCs w:val="20"/>
          <w:color w:val="auto"/>
        </w:rPr>
      </w:pPr>
    </w:p>
    <w:p>
      <w:pPr>
        <w:ind w:left="2158" w:hanging="302"/>
        <w:spacing w:after="0"/>
        <w:tabs>
          <w:tab w:leader="none" w:pos="215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effectiveness of a Resale Registration Statement or any post-effective amendments thereto;</w:t>
      </w:r>
    </w:p>
    <w:p>
      <w:pPr>
        <w:spacing w:after="0" w:line="10" w:lineRule="exact"/>
        <w:rPr>
          <w:rFonts w:ascii="Times New Roman" w:cs="Times New Roman" w:eastAsia="Times New Roman" w:hAnsi="Times New Roman"/>
          <w:sz w:val="17"/>
          <w:szCs w:val="17"/>
          <w:color w:val="auto"/>
        </w:rPr>
      </w:pPr>
    </w:p>
    <w:p>
      <w:pPr>
        <w:ind w:left="2158" w:right="100" w:hanging="302"/>
        <w:spacing w:after="0" w:line="253" w:lineRule="auto"/>
        <w:tabs>
          <w:tab w:leader="none" w:pos="215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any request by the SEC for amendments to a Resale Registration Statement or amendments to the prospectus or for additional information relating thereto;</w:t>
      </w:r>
    </w:p>
    <w:p>
      <w:pPr>
        <w:jc w:val="both"/>
        <w:ind w:left="2158" w:right="100" w:hanging="302"/>
        <w:spacing w:after="0" w:line="253" w:lineRule="auto"/>
        <w:tabs>
          <w:tab w:leader="none" w:pos="21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issuance by the SEC of any stop order suspending the effectiveness of a Resale Registration Statement under the Securities Act or of the suspension by any state securities commission of the qualification of the Registrable Shares for offering or sale in any jurisdiction, or the initiation of any proceeding for any of the preceding purposes; and;</w:t>
      </w:r>
    </w:p>
    <w:p>
      <w:pPr>
        <w:jc w:val="both"/>
        <w:ind w:left="2158" w:right="100" w:hanging="302"/>
        <w:spacing w:after="0" w:line="257" w:lineRule="auto"/>
        <w:tabs>
          <w:tab w:leader="none" w:pos="215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existence of any fact and the happening of any event that makes any statement of a material fact made in a Resale Registration Statement, the prospectus and amendment or supplement thereto, or any document incorporated by reference therein, untrue, or that requires the making of any additions to or changes in a Resale Registration Statement or the prospectus in order to make the statements therein not misleading; and</w:t>
      </w:r>
    </w:p>
    <w:p>
      <w:pPr>
        <w:spacing w:after="0" w:line="203" w:lineRule="exact"/>
        <w:rPr>
          <w:sz w:val="20"/>
          <w:szCs w:val="20"/>
          <w:color w:val="auto"/>
        </w:rPr>
      </w:pPr>
    </w:p>
    <w:p>
      <w:pPr>
        <w:ind w:left="1398" w:hanging="16"/>
        <w:spacing w:after="0" w:line="263" w:lineRule="auto"/>
        <w:rPr>
          <w:sz w:val="20"/>
          <w:szCs w:val="20"/>
          <w:color w:val="auto"/>
        </w:rPr>
      </w:pPr>
      <w:r>
        <w:rPr>
          <w:rFonts w:ascii="Times New Roman" w:cs="Times New Roman" w:eastAsia="Times New Roman" w:hAnsi="Times New Roman"/>
          <w:sz w:val="17"/>
          <w:szCs w:val="17"/>
          <w:color w:val="auto"/>
        </w:rPr>
        <w:t>10.9</w:t>
      </w:r>
      <w:r>
        <w:rPr>
          <w:sz w:val="20"/>
          <w:szCs w:val="20"/>
          <w:color w:val="auto"/>
        </w:rPr>
        <w:t xml:space="preserve"> </w:t>
      </w:r>
      <w:r>
        <w:rPr>
          <w:rFonts w:ascii="Times New Roman" w:cs="Times New Roman" w:eastAsia="Times New Roman" w:hAnsi="Times New Roman"/>
          <w:sz w:val="17"/>
          <w:szCs w:val="17"/>
          <w:color w:val="auto"/>
        </w:rPr>
        <w:t>cause all Registrable Shares to be listed on each securities exchange, if any, on which equity securities by the Company are then listed.</w:t>
      </w:r>
    </w:p>
    <w:p>
      <w:pPr>
        <w:spacing w:after="0" w:line="392" w:lineRule="exact"/>
        <w:rPr>
          <w:sz w:val="20"/>
          <w:szCs w:val="20"/>
          <w:color w:val="auto"/>
        </w:rPr>
      </w:pPr>
    </w:p>
    <w:p>
      <w:pPr>
        <w:jc w:val="both"/>
        <w:ind w:left="1338" w:right="100" w:hanging="625"/>
        <w:spacing w:after="0" w:line="266" w:lineRule="auto"/>
        <w:tabs>
          <w:tab w:leader="none" w:pos="1332"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Underwriter Status</w:t>
      </w:r>
      <w:r>
        <w:rPr>
          <w:rFonts w:ascii="Times New Roman" w:cs="Times New Roman" w:eastAsia="Times New Roman" w:hAnsi="Times New Roman"/>
          <w:sz w:val="17"/>
          <w:szCs w:val="17"/>
          <w:color w:val="auto"/>
        </w:rPr>
        <w:t>. The Company shall not identify the Holder as a statutory underwriter in any Registration Statement unless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requested by the SEC. In the event that the Holder is identified as a statutory underwriter, the Company will afford the Holder the ability to conduct standard due diligence of the Company, and its subsidiaries, including a review of documents, meetings with management and the delivery of a customary comfort letter from the auditors of the Company.</w:t>
      </w:r>
    </w:p>
    <w:p>
      <w:pPr>
        <w:spacing w:after="0" w:line="246" w:lineRule="exact"/>
        <w:rPr>
          <w:rFonts w:ascii="Times New Roman" w:cs="Times New Roman" w:eastAsia="Times New Roman" w:hAnsi="Times New Roman"/>
          <w:sz w:val="17"/>
          <w:szCs w:val="17"/>
          <w:color w:val="auto"/>
        </w:rPr>
      </w:pPr>
    </w:p>
    <w:p>
      <w:pPr>
        <w:ind w:left="598" w:hanging="598"/>
        <w:spacing w:after="0"/>
        <w:tabs>
          <w:tab w:leader="none" w:pos="59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307" w:lineRule="exact"/>
        <w:rPr>
          <w:rFonts w:ascii="Times New Roman" w:cs="Times New Roman" w:eastAsia="Times New Roman" w:hAnsi="Times New Roman"/>
          <w:sz w:val="17"/>
          <w:szCs w:val="17"/>
          <w:color w:val="auto"/>
        </w:rPr>
      </w:pPr>
    </w:p>
    <w:p>
      <w:pPr>
        <w:jc w:val="both"/>
        <w:ind w:left="-2" w:right="100" w:firstLine="2"/>
        <w:spacing w:after="0" w:line="261" w:lineRule="auto"/>
        <w:tabs>
          <w:tab w:leader="none" w:pos="61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 Indemnification</w:t>
      </w:r>
      <w:r>
        <w:rPr>
          <w:rFonts w:ascii="Times New Roman" w:cs="Times New Roman" w:eastAsia="Times New Roman" w:hAnsi="Times New Roman"/>
          <w:sz w:val="17"/>
          <w:szCs w:val="17"/>
          <w:color w:val="auto"/>
        </w:rPr>
        <w:t>. The Company agrees to indemnify and hold harmless the Holder and its respective affiliates, partners, members, officers, directors, agents and representatives, and each person, if any, who controls the Holder within the meaning of Section 15 of the Securities Act or Section 20 of the Exchange Act, to the fullest extent permitted by applicable law, from and against any losses, claims, damages or liabilities (collectively, “</w:t>
      </w:r>
      <w:r>
        <w:rPr>
          <w:rFonts w:ascii="Times New Roman" w:cs="Times New Roman" w:eastAsia="Times New Roman" w:hAnsi="Times New Roman"/>
          <w:sz w:val="17"/>
          <w:szCs w:val="17"/>
          <w:b w:val="1"/>
          <w:bCs w:val="1"/>
          <w:i w:val="1"/>
          <w:iCs w:val="1"/>
          <w:color w:val="auto"/>
        </w:rPr>
        <w:t>Losses</w:t>
      </w:r>
      <w:r>
        <w:rPr>
          <w:rFonts w:ascii="Times New Roman" w:cs="Times New Roman" w:eastAsia="Times New Roman" w:hAnsi="Times New Roman"/>
          <w:sz w:val="17"/>
          <w:szCs w:val="17"/>
          <w:color w:val="auto"/>
        </w:rPr>
        <w:t>”) to which they may become subject (under the Securities Act or otherwise) insofar as such Losses (or actions or proceedings in respect thereof) arise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918"/>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618"/>
          </w:cols>
          <w:pgMar w:left="942" w:top="1361" w:right="339" w:bottom="1440" w:gutter="0" w:footer="0" w:header="0"/>
        </w:sectPr>
      </w:pPr>
    </w:p>
    <w:bookmarkStart w:id="65" w:name="page66"/>
    <w:bookmarkEnd w:id="65"/>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out of, or are based upon, any untrue statement or alleged untrue statement of a material fact contained in a Resale Registration Statement or any omission or alleged omission to state therein a material fact required to be stated therein or necessary to make the statements therein, in light of the circumstances under which they were made, not misleading, or arise out of any failure by the Company to fulfill any undertaking included in a Resale Registration Statement, and the Company will, as incurred, reimburse the Purchaser Parties for any legal or other expenses reasonably incurred in investigating, defending or preparing to defend any such action, proceeding or claim;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Company shall not be liable in any such case to the extent that such Loss arises out of, or is based upon an untrue statement or omission or alleged untrue statement or omission made in a Resale Registration Statement in reliance upon and in conformity with written information furnished to the Company by or on behalf of the Holder specifically for use in preparation of a Resale Registration Statement;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shall not be liable to the Holder to the extent that any such Loss is caused by an untrue statement or omission or alleged untrue statement or omission made in any preliminary prospectus if either (i) (A) the Holder failed to send or deliver a copy of the final prospectus with or prior to, or the Holder failed to confirm that a final prospectus was deemed to be delivered prior to (in accordance with Rule 172 of the Securities Act), the delivery of written confirmation of the sale by the Holder to the person asserting the claim from which such Loss resulted and (B) the final prospectus corrected such untrue statement or omission, or (ii) (X) such untrue statement or omission is corrected in an amendment or supplement to the prospectus and (Y) having previously been furnished by or on behalf of the Company with copies of the prospectus as so amended or supplemented or notified by the Company that such amended or supplemented prospectus has been filed with the SEC, in accordance with Rule 172 of the Securities Act, the Holder thereafter fails to deliver such prospectus as so amended or supplemented, with or prior to or the Holder fails to confirm that the prospectus as so amended or supplemented was deemed to be delivered prior to (in accordance with Rule 172 of the Securities Act), the delivery of written confirmation of the sale by the Holder to the person asserting the claim from which such Loss resulted.</w:t>
      </w:r>
    </w:p>
    <w:p>
      <w:pPr>
        <w:spacing w:after="0" w:line="200" w:lineRule="exact"/>
        <w:rPr>
          <w:sz w:val="20"/>
          <w:szCs w:val="20"/>
          <w:color w:val="auto"/>
        </w:rPr>
      </w:pPr>
    </w:p>
    <w:p>
      <w:pPr>
        <w:spacing w:after="0" w:line="266" w:lineRule="exact"/>
        <w:rPr>
          <w:sz w:val="20"/>
          <w:szCs w:val="20"/>
          <w:color w:val="auto"/>
        </w:rPr>
      </w:pPr>
    </w:p>
    <w:p>
      <w:pPr>
        <w:jc w:val="both"/>
        <w:ind w:firstLine="2"/>
        <w:spacing w:after="0" w:line="257" w:lineRule="auto"/>
        <w:tabs>
          <w:tab w:leader="none" w:pos="6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Prospectus Suspension</w:t>
      </w:r>
      <w:r>
        <w:rPr>
          <w:rFonts w:ascii="Times New Roman" w:cs="Times New Roman" w:eastAsia="Times New Roman" w:hAnsi="Times New Roman"/>
          <w:sz w:val="17"/>
          <w:szCs w:val="17"/>
          <w:color w:val="auto"/>
        </w:rPr>
        <w:t xml:space="preserve">. The Holder acknowledges that there may be times when the Company must suspend the use of the prospectus forming a part of the Resale Registration Statement until such time as an amendment to the Resale Registration Statement has been filed by the Company and declared effective by the SEC, or until such time as the Company has filed an appropriate report with the SEC pursuant to the Exchange Act. The Holder hereby covenants that it will not sell any Registrable Securities pursuant to said prospectus during the period commencing at the time at which the Company gives the Holder written notice of the suspension of the use of said prospectus and ending at the time the Company gives the Holder notice that the Holder may thereafter effect sales pursuant to said prospectus;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(i) that such suspension periods shall in no event exceed in aggregate, more than 60 calendar days in any 12 (twelve) month period, and (ii) the Company’s board of directors has reasonably determined that, in order for such Resale Registration Statement not to contain a material misstatement or omission, an amendment thereto would be needed to include information that would at that time not otherwise be required in a current, quarterly or annual report under the Exchange Act.</w:t>
      </w:r>
    </w:p>
    <w:p>
      <w:pPr>
        <w:spacing w:after="0" w:line="268" w:lineRule="exact"/>
        <w:rPr>
          <w:rFonts w:ascii="Times New Roman" w:cs="Times New Roman" w:eastAsia="Times New Roman" w:hAnsi="Times New Roman"/>
          <w:sz w:val="17"/>
          <w:szCs w:val="17"/>
          <w:color w:val="auto"/>
        </w:rPr>
      </w:pPr>
    </w:p>
    <w:p>
      <w:pPr>
        <w:jc w:val="both"/>
        <w:ind w:firstLine="2"/>
        <w:spacing w:after="0" w:line="257" w:lineRule="auto"/>
        <w:tabs>
          <w:tab w:leader="none" w:pos="6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Legend Removal</w:t>
      </w:r>
      <w:r>
        <w:rPr>
          <w:rFonts w:ascii="Times New Roman" w:cs="Times New Roman" w:eastAsia="Times New Roman" w:hAnsi="Times New Roman"/>
          <w:sz w:val="17"/>
          <w:szCs w:val="17"/>
          <w:color w:val="auto"/>
        </w:rPr>
        <w:t xml:space="preserve">. The Holder will promptly deliver customary representations and other documentation reasonably acceptable to the Company, its counsel and/or its transfer agent in connection with the Resale Registration Statement. If requested by the Holder, the Company shall remove or instruct its transfer agent to remove any restrictive legend with respect to transfers under the Securities Act from any and all shares of Common Stock, Securities, Registrable Shares and this Note then held by the Holder if (1) the Resale Registration Statement is and continues to be, effective under the Securities Act, or (2) such shares of Common Stock, Securities, Registrable Shares and Note are sold or transferred pursuant to Rule 144 (subject to all applicable requirements of Rule 144 being met),;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Holder shall have timely provided customary representations and other documentation reasonably acceptable to the Company, its counsel and/or its transfer agent in connection therewith. Any reasonable and documented fees (with respect to the transfer agent, Company’s counsel or otherwise) associated with the issuance of any legal opinion required by the Company’s transfer agent or the removal of such legend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520"/>
          </w:cols>
          <w:pgMar w:left="940" w:top="1412" w:right="439" w:bottom="1440" w:gutter="0" w:footer="0" w:header="0"/>
        </w:sectPr>
      </w:pPr>
    </w:p>
    <w:bookmarkStart w:id="66" w:name="page67"/>
    <w:bookmarkEnd w:id="66"/>
    <w:p>
      <w:pPr>
        <w:jc w:val="both"/>
        <w:spacing w:after="0" w:line="260" w:lineRule="auto"/>
        <w:rPr>
          <w:sz w:val="20"/>
          <w:szCs w:val="20"/>
          <w:color w:val="auto"/>
        </w:rPr>
      </w:pPr>
      <w:r>
        <w:rPr>
          <w:rFonts w:ascii="Times New Roman" w:cs="Times New Roman" w:eastAsia="Times New Roman" w:hAnsi="Times New Roman"/>
          <w:sz w:val="17"/>
          <w:szCs w:val="17"/>
          <w:color w:val="auto"/>
        </w:rPr>
        <w:t>shall be borne by the Company. If a legend is no longer required pursuant to the foregoing, the Company will, no later than two Business Days following the delivery by the Holder to the Company or the transfer agent of customary representations and other documentation reasonably acceptable to the Company, its counsel and/or its transfer agent, remove the restrictive legend related to the book entry account holding the shares of Common Stock, Securities, Registrable Shares or Note, make a new, unlegended book entry for the shares of Common Stock, Securities, Registrable Shares or Note, and, if so requested by the Holder, transferring the shares to the account of the Holder through the system of the Depositary Trust Corporation using the Direct Registration System (DRS).</w:t>
      </w:r>
    </w:p>
    <w:p>
      <w:pPr>
        <w:spacing w:after="0" w:line="276" w:lineRule="exact"/>
        <w:rPr>
          <w:sz w:val="20"/>
          <w:szCs w:val="20"/>
          <w:color w:val="auto"/>
        </w:rPr>
      </w:pPr>
    </w:p>
    <w:p>
      <w:pPr>
        <w:jc w:val="both"/>
        <w:ind w:firstLine="2"/>
        <w:spacing w:after="0" w:line="261" w:lineRule="auto"/>
        <w:tabs>
          <w:tab w:leader="none" w:pos="61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The Company may not assign or transfer this Note or any of the rights, interests or obligations hereunder, whether by operation of law or otherwise, without the prior written consent of the Holder. The Holder may not assign or transfer this Note or any of the rights, interests or obligations hereunder, whether by operation of law or otherwise, without the Company’s prior written consent, unless such transfer complies with applicable securities laws. Any purported attempt by a Party to assign this Note or any of the rights, interests or obligations hereunder in violation of this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shall be null and void.</w:t>
      </w:r>
    </w:p>
    <w:p>
      <w:pPr>
        <w:spacing w:after="0" w:line="264" w:lineRule="exact"/>
        <w:rPr>
          <w:rFonts w:ascii="Times New Roman" w:cs="Times New Roman" w:eastAsia="Times New Roman" w:hAnsi="Times New Roman"/>
          <w:sz w:val="17"/>
          <w:szCs w:val="17"/>
          <w:color w:val="auto"/>
        </w:rPr>
      </w:pPr>
    </w:p>
    <w:p>
      <w:pPr>
        <w:ind w:left="620" w:hanging="618"/>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Unsecured Obligation</w:t>
      </w:r>
      <w:r>
        <w:rPr>
          <w:rFonts w:ascii="Times New Roman" w:cs="Times New Roman" w:eastAsia="Times New Roman" w:hAnsi="Times New Roman"/>
          <w:sz w:val="17"/>
          <w:szCs w:val="17"/>
          <w:color w:val="auto"/>
        </w:rPr>
        <w:t>. This Note is an unsecured obligation of the Company.</w:t>
      </w:r>
    </w:p>
    <w:p>
      <w:pPr>
        <w:spacing w:after="0" w:line="255" w:lineRule="exact"/>
        <w:rPr>
          <w:rFonts w:ascii="Times New Roman" w:cs="Times New Roman" w:eastAsia="Times New Roman" w:hAnsi="Times New Roman"/>
          <w:sz w:val="17"/>
          <w:szCs w:val="17"/>
          <w:color w:val="auto"/>
        </w:rPr>
      </w:pPr>
    </w:p>
    <w:p>
      <w:pPr>
        <w:ind w:firstLine="2"/>
        <w:spacing w:after="0" w:line="287" w:lineRule="auto"/>
        <w:tabs>
          <w:tab w:leader="none" w:pos="61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demands, consents, instructions or other communications required or permitted hereunder shall be in writing and emailed, mailed or delivered to each party as follows:</w:t>
      </w:r>
    </w:p>
    <w:p>
      <w:pPr>
        <w:spacing w:after="0" w:line="189" w:lineRule="exact"/>
        <w:rPr>
          <w:rFonts w:ascii="Times New Roman" w:cs="Times New Roman" w:eastAsia="Times New Roman" w:hAnsi="Times New Roman"/>
          <w:sz w:val="17"/>
          <w:szCs w:val="17"/>
          <w:color w:val="auto"/>
        </w:rPr>
      </w:pPr>
    </w:p>
    <w:p>
      <w:pPr>
        <w:ind w:left="100" w:firstLine="1233"/>
        <w:spacing w:after="0" w:line="287" w:lineRule="auto"/>
        <w:tabs>
          <w:tab w:leader="none" w:pos="186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at the following address or email address (or at such other address or email address as the Company shall have furnished to Holder in writing):</w:t>
      </w:r>
    </w:p>
    <w:p>
      <w:pPr>
        <w:spacing w:after="0" w:line="18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ind w:left="1340"/>
        <w:spacing w:after="0"/>
        <w:tabs>
          <w:tab w:leader="none" w:pos="2220" w:val="left"/>
        </w:tabs>
        <w:rPr>
          <w:sz w:val="20"/>
          <w:szCs w:val="20"/>
          <w:color w:val="auto"/>
        </w:rPr>
      </w:pPr>
      <w:r>
        <w:rPr>
          <w:rFonts w:ascii="Times New Roman" w:cs="Times New Roman" w:eastAsia="Times New Roman" w:hAnsi="Times New Roman"/>
          <w:sz w:val="17"/>
          <w:szCs w:val="17"/>
          <w:color w:val="auto"/>
        </w:rPr>
        <w:t>Attention:</w:t>
        <w:tab/>
        <w:t>Lon Ensler</w:t>
      </w:r>
    </w:p>
    <w:p>
      <w:pPr>
        <w:spacing w:after="0" w:line="11" w:lineRule="exact"/>
        <w:rPr>
          <w:sz w:val="20"/>
          <w:szCs w:val="20"/>
          <w:color w:val="auto"/>
        </w:rPr>
      </w:pPr>
    </w:p>
    <w:p>
      <w:pPr>
        <w:ind w:left="1340"/>
        <w:spacing w:after="0"/>
        <w:tabs>
          <w:tab w:leader="none" w:pos="2140" w:val="left"/>
        </w:tabs>
        <w:rPr>
          <w:sz w:val="20"/>
          <w:szCs w:val="20"/>
          <w:color w:val="auto"/>
        </w:rPr>
      </w:pPr>
      <w:r>
        <w:rPr>
          <w:rFonts w:ascii="Times New Roman" w:cs="Times New Roman" w:eastAsia="Times New Roman" w:hAnsi="Times New Roman"/>
          <w:sz w:val="17"/>
          <w:szCs w:val="17"/>
          <w:color w:val="auto"/>
        </w:rPr>
        <w:t>Address:</w:t>
        <w:tab/>
        <w:t>3901 N. First Street</w:t>
      </w:r>
    </w:p>
    <w:p>
      <w:pPr>
        <w:spacing w:after="0" w:line="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San Jose, CA 95134</w:t>
      </w:r>
    </w:p>
    <w:p>
      <w:pPr>
        <w:spacing w:after="0" w:line="24" w:lineRule="exact"/>
        <w:rPr>
          <w:sz w:val="20"/>
          <w:szCs w:val="20"/>
          <w:color w:val="auto"/>
        </w:rPr>
      </w:pPr>
    </w:p>
    <w:p>
      <w:pPr>
        <w:ind w:left="1340"/>
        <w:spacing w:after="0"/>
        <w:tabs>
          <w:tab w:leader="none" w:pos="19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u w:val="single" w:color="auto"/>
          <w:color w:val="0000FF"/>
        </w:rPr>
        <w:t>lon.ensler_ext@momentusspace.com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jon.layman@momentus.space</w:t>
      </w:r>
    </w:p>
    <w:p>
      <w:pPr>
        <w:spacing w:after="0" w:line="2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2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BRADLEY ARANT BOULT CUMMINGS LLP</w:t>
      </w:r>
    </w:p>
    <w:p>
      <w:pPr>
        <w:spacing w:after="0" w:line="32" w:lineRule="exact"/>
        <w:rPr>
          <w:sz w:val="20"/>
          <w:szCs w:val="20"/>
          <w:color w:val="auto"/>
        </w:rPr>
      </w:pPr>
    </w:p>
    <w:p>
      <w:pPr>
        <w:ind w:left="1340"/>
        <w:spacing w:after="0"/>
        <w:tabs>
          <w:tab w:leader="none" w:pos="2220" w:val="left"/>
        </w:tabs>
        <w:rPr>
          <w:sz w:val="20"/>
          <w:szCs w:val="20"/>
          <w:color w:val="auto"/>
        </w:rPr>
      </w:pPr>
      <w:r>
        <w:rPr>
          <w:rFonts w:ascii="Times New Roman" w:cs="Times New Roman" w:eastAsia="Times New Roman" w:hAnsi="Times New Roman"/>
          <w:sz w:val="17"/>
          <w:szCs w:val="17"/>
          <w:color w:val="auto"/>
        </w:rPr>
        <w:t>Attention:</w:t>
        <w:tab/>
        <w:t>Stephen C. Hinton</w:t>
      </w:r>
    </w:p>
    <w:p>
      <w:pPr>
        <w:spacing w:after="0" w:line="11" w:lineRule="exact"/>
        <w:rPr>
          <w:sz w:val="20"/>
          <w:szCs w:val="20"/>
          <w:color w:val="auto"/>
        </w:rPr>
      </w:pPr>
    </w:p>
    <w:p>
      <w:pPr>
        <w:ind w:left="1340"/>
        <w:spacing w:after="0"/>
        <w:tabs>
          <w:tab w:leader="none" w:pos="2140" w:val="left"/>
        </w:tabs>
        <w:rPr>
          <w:sz w:val="20"/>
          <w:szCs w:val="20"/>
          <w:color w:val="auto"/>
        </w:rPr>
      </w:pPr>
      <w:r>
        <w:rPr>
          <w:rFonts w:ascii="Times New Roman" w:cs="Times New Roman" w:eastAsia="Times New Roman" w:hAnsi="Times New Roman"/>
          <w:sz w:val="17"/>
          <w:szCs w:val="17"/>
          <w:color w:val="auto"/>
        </w:rPr>
        <w:t>Address:</w:t>
        <w:tab/>
        <w:t>1221 Broadway, Ste 2400</w:t>
      </w:r>
    </w:p>
    <w:p>
      <w:pPr>
        <w:spacing w:after="0" w:line="2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Nashville, TN 37203</w:t>
      </w:r>
    </w:p>
    <w:p>
      <w:pPr>
        <w:spacing w:after="0" w:line="24" w:lineRule="exact"/>
        <w:rPr>
          <w:sz w:val="20"/>
          <w:szCs w:val="20"/>
          <w:color w:val="auto"/>
        </w:rPr>
      </w:pPr>
    </w:p>
    <w:p>
      <w:pPr>
        <w:ind w:left="1340"/>
        <w:spacing w:after="0"/>
        <w:tabs>
          <w:tab w:leader="none" w:pos="1980" w:val="left"/>
        </w:tabs>
        <w:rPr>
          <w:sz w:val="20"/>
          <w:szCs w:val="20"/>
          <w:color w:val="auto"/>
        </w:rPr>
      </w:pPr>
      <w:r>
        <w:rPr>
          <w:rFonts w:ascii="Times New Roman" w:cs="Times New Roman" w:eastAsia="Times New Roman" w:hAnsi="Times New Roman"/>
          <w:sz w:val="17"/>
          <w:szCs w:val="17"/>
          <w:color w:val="auto"/>
        </w:rPr>
        <w:t>Email:</w:t>
        <w:tab/>
        <w:t>shinton@bradley.com</w:t>
      </w:r>
    </w:p>
    <w:p>
      <w:pPr>
        <w:spacing w:after="0" w:line="252" w:lineRule="exact"/>
        <w:rPr>
          <w:sz w:val="20"/>
          <w:szCs w:val="20"/>
          <w:color w:val="auto"/>
        </w:rPr>
      </w:pPr>
    </w:p>
    <w:p>
      <w:pPr>
        <w:ind w:left="100" w:firstLine="1233"/>
        <w:spacing w:after="0" w:line="287" w:lineRule="auto"/>
        <w:tabs>
          <w:tab w:leader="none" w:pos="185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Holder, at the following address or email address (or at such other address or email address as Holder shall have furnished to the Company in writing):</w:t>
      </w:r>
    </w:p>
    <w:p>
      <w:pPr>
        <w:spacing w:after="0" w:line="17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A.G.P./Alliance Global Partners</w:t>
      </w:r>
    </w:p>
    <w:p>
      <w:pPr>
        <w:spacing w:after="0" w:line="3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Attention: Thomas J. Higgins</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590 Madison Avenue, 28th Floor</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New York, NY 10022</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0000FF"/>
        </w:rPr>
        <w:t>thiggins@allianceg.com</w:t>
      </w:r>
    </w:p>
    <w:p>
      <w:pPr>
        <w:spacing w:after="0" w:line="2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2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BLANK ROME LLC</w:t>
      </w:r>
    </w:p>
    <w:p>
      <w:pPr>
        <w:spacing w:after="0" w:line="32" w:lineRule="exact"/>
        <w:rPr>
          <w:sz w:val="20"/>
          <w:szCs w:val="20"/>
          <w:color w:val="auto"/>
        </w:rPr>
      </w:pPr>
    </w:p>
    <w:p>
      <w:pPr>
        <w:ind w:left="1340"/>
        <w:spacing w:after="0"/>
        <w:tabs>
          <w:tab w:leader="none" w:pos="2220" w:val="left"/>
        </w:tabs>
        <w:rPr>
          <w:sz w:val="20"/>
          <w:szCs w:val="20"/>
          <w:color w:val="auto"/>
        </w:rPr>
      </w:pPr>
      <w:r>
        <w:rPr>
          <w:rFonts w:ascii="Times New Roman" w:cs="Times New Roman" w:eastAsia="Times New Roman" w:hAnsi="Times New Roman"/>
          <w:sz w:val="17"/>
          <w:szCs w:val="17"/>
          <w:color w:val="auto"/>
        </w:rPr>
        <w:t>Attention:</w:t>
        <w:tab/>
        <w:t>Leslie Marlow</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520"/>
          </w:cols>
          <w:pgMar w:left="940" w:top="1412" w:right="439" w:bottom="1440" w:gutter="0" w:footer="0" w:header="0"/>
        </w:sectPr>
      </w:pPr>
    </w:p>
    <w:bookmarkStart w:id="67" w:name="page68"/>
    <w:bookmarkEnd w:id="67"/>
    <w:p>
      <w:pPr>
        <w:ind w:left="1244"/>
        <w:spacing w:after="0"/>
        <w:tabs>
          <w:tab w:leader="none" w:pos="2044" w:val="left"/>
        </w:tabs>
        <w:rPr>
          <w:sz w:val="20"/>
          <w:szCs w:val="20"/>
          <w:color w:val="auto"/>
        </w:rPr>
      </w:pPr>
      <w:r>
        <w:rPr>
          <w:rFonts w:ascii="Times New Roman" w:cs="Times New Roman" w:eastAsia="Times New Roman" w:hAnsi="Times New Roman"/>
          <w:sz w:val="17"/>
          <w:szCs w:val="17"/>
          <w:color w:val="auto"/>
        </w:rPr>
        <w:t>Address:</w:t>
        <w:tab/>
        <w:t>1271 Avenue of the Americas</w:t>
      </w:r>
    </w:p>
    <w:p>
      <w:pPr>
        <w:spacing w:after="0" w:line="28"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7"/>
          <w:szCs w:val="17"/>
          <w:color w:val="auto"/>
        </w:rPr>
        <w:t>New York, NY 10020</w:t>
      </w:r>
    </w:p>
    <w:p>
      <w:pPr>
        <w:spacing w:after="0" w:line="11" w:lineRule="exact"/>
        <w:rPr>
          <w:sz w:val="20"/>
          <w:szCs w:val="20"/>
          <w:color w:val="auto"/>
        </w:rPr>
      </w:pPr>
    </w:p>
    <w:p>
      <w:pPr>
        <w:ind w:left="1244"/>
        <w:spacing w:after="0"/>
        <w:tabs>
          <w:tab w:leader="none" w:pos="1884"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u w:val="single" w:color="auto"/>
          <w:color w:val="0000FF"/>
        </w:rPr>
        <w:t>leslie.marlow@blankrome.com</w:t>
      </w:r>
    </w:p>
    <w:p>
      <w:pPr>
        <w:spacing w:after="0" w:line="200" w:lineRule="exact"/>
        <w:rPr>
          <w:sz w:val="20"/>
          <w:szCs w:val="20"/>
          <w:color w:val="auto"/>
        </w:rPr>
      </w:pPr>
    </w:p>
    <w:p>
      <w:pPr>
        <w:spacing w:after="0" w:line="335" w:lineRule="exact"/>
        <w:rPr>
          <w:sz w:val="20"/>
          <w:szCs w:val="20"/>
          <w:color w:val="auto"/>
        </w:rPr>
      </w:pPr>
    </w:p>
    <w:p>
      <w:pPr>
        <w:jc w:val="both"/>
        <w:ind w:left="4"/>
        <w:spacing w:after="0" w:line="270" w:lineRule="auto"/>
        <w:rPr>
          <w:sz w:val="20"/>
          <w:szCs w:val="20"/>
          <w:color w:val="auto"/>
        </w:rPr>
      </w:pPr>
      <w:r>
        <w:rPr>
          <w:rFonts w:ascii="Times New Roman" w:cs="Times New Roman" w:eastAsia="Times New Roman" w:hAnsi="Times New Roman"/>
          <w:sz w:val="17"/>
          <w:szCs w:val="17"/>
          <w:color w:val="auto"/>
        </w:rPr>
        <w:t>All such notices and communications will be deemed effectively given the earlier of (i) when received; (ii) when delivered personally; (iii) when emailed (with receipt of appropriate confirmation); (iv) one Business Day after being deposited with an overnight courier service of recognized standing; or (v) four days after being deposited in the U.S. mail, first class with postage prepaid.</w:t>
      </w:r>
    </w:p>
    <w:p>
      <w:pPr>
        <w:spacing w:after="0" w:line="204" w:lineRule="exact"/>
        <w:rPr>
          <w:sz w:val="20"/>
          <w:szCs w:val="20"/>
          <w:color w:val="auto"/>
        </w:rPr>
      </w:pPr>
    </w:p>
    <w:p>
      <w:pPr>
        <w:ind w:left="244" w:hanging="244"/>
        <w:spacing w:after="0"/>
        <w:tabs>
          <w:tab w:leader="none" w:pos="2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p>
    <w:p>
      <w:pPr>
        <w:spacing w:after="0" w:line="251" w:lineRule="exact"/>
        <w:rPr>
          <w:rFonts w:ascii="Times New Roman" w:cs="Times New Roman" w:eastAsia="Times New Roman" w:hAnsi="Times New Roman"/>
          <w:sz w:val="17"/>
          <w:szCs w:val="17"/>
          <w:color w:val="auto"/>
        </w:rPr>
      </w:pPr>
    </w:p>
    <w:p>
      <w:pPr>
        <w:ind w:left="924" w:hanging="615"/>
        <w:spacing w:after="0"/>
        <w:tabs>
          <w:tab w:leader="none" w:pos="924" w:val="left"/>
        </w:tabs>
        <w:numPr>
          <w:ilvl w:val="1"/>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Survival</w:t>
      </w:r>
      <w:r>
        <w:rPr>
          <w:rFonts w:ascii="Times New Roman" w:cs="Times New Roman" w:eastAsia="Times New Roman" w:hAnsi="Times New Roman"/>
          <w:sz w:val="17"/>
          <w:szCs w:val="17"/>
          <w:color w:val="auto"/>
        </w:rPr>
        <w:t>. The representations, warranties, covenants and agreements made herein shall survive the execution and delivery of this Note.</w:t>
      </w:r>
    </w:p>
    <w:p>
      <w:pPr>
        <w:spacing w:after="0" w:line="255" w:lineRule="exact"/>
        <w:rPr>
          <w:rFonts w:ascii="Times New Roman" w:cs="Times New Roman" w:eastAsia="Times New Roman" w:hAnsi="Times New Roman"/>
          <w:sz w:val="17"/>
          <w:szCs w:val="17"/>
          <w:i w:val="1"/>
          <w:iCs w:val="1"/>
          <w:color w:val="auto"/>
        </w:rPr>
      </w:pPr>
    </w:p>
    <w:p>
      <w:pPr>
        <w:ind w:left="924" w:right="60" w:hanging="615"/>
        <w:spacing w:after="0" w:line="292" w:lineRule="auto"/>
        <w:tabs>
          <w:tab w:leader="none" w:pos="918" w:val="left"/>
        </w:tabs>
        <w:numPr>
          <w:ilvl w:val="1"/>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If any provision of this Note shall be judicially determined to be invalid, illegal or unenforceable, the validity, legality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enforceability of the remaining provisions shall not in any way be affected or impaired thereby.</w:t>
      </w:r>
    </w:p>
    <w:p>
      <w:pPr>
        <w:spacing w:after="0" w:line="181" w:lineRule="exact"/>
        <w:rPr>
          <w:rFonts w:ascii="Times New Roman" w:cs="Times New Roman" w:eastAsia="Times New Roman" w:hAnsi="Times New Roman"/>
          <w:sz w:val="17"/>
          <w:szCs w:val="17"/>
          <w:i w:val="1"/>
          <w:iCs w:val="1"/>
          <w:color w:val="auto"/>
        </w:rPr>
      </w:pPr>
    </w:p>
    <w:p>
      <w:pPr>
        <w:ind w:left="924" w:right="60" w:hanging="615"/>
        <w:spacing w:after="0" w:line="292" w:lineRule="auto"/>
        <w:tabs>
          <w:tab w:leader="none" w:pos="922" w:val="left"/>
        </w:tabs>
        <w:numPr>
          <w:ilvl w:val="1"/>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Waivers</w:t>
      </w:r>
      <w:r>
        <w:rPr>
          <w:rFonts w:ascii="Times New Roman" w:cs="Times New Roman" w:eastAsia="Times New Roman" w:hAnsi="Times New Roman"/>
          <w:sz w:val="17"/>
          <w:szCs w:val="17"/>
          <w:color w:val="auto"/>
        </w:rPr>
        <w:t>. The Company hereby waives notice of default, presentment or demand for payment, protest or notice of nonpayment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dishonor and all other notices or demands relative to this instrument.</w:t>
      </w:r>
    </w:p>
    <w:p>
      <w:pPr>
        <w:spacing w:after="0" w:line="168" w:lineRule="exact"/>
        <w:rPr>
          <w:rFonts w:ascii="Times New Roman" w:cs="Times New Roman" w:eastAsia="Times New Roman" w:hAnsi="Times New Roman"/>
          <w:sz w:val="17"/>
          <w:szCs w:val="17"/>
          <w:i w:val="1"/>
          <w:iCs w:val="1"/>
          <w:color w:val="auto"/>
        </w:rPr>
      </w:pPr>
    </w:p>
    <w:p>
      <w:pPr>
        <w:jc w:val="both"/>
        <w:ind w:left="924" w:right="60" w:hanging="615"/>
        <w:spacing w:after="0" w:line="261" w:lineRule="auto"/>
        <w:tabs>
          <w:tab w:leader="none" w:pos="918" w:val="left"/>
        </w:tabs>
        <w:numPr>
          <w:ilvl w:val="1"/>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Costs</w:t>
      </w:r>
      <w:r>
        <w:rPr>
          <w:rFonts w:ascii="Times New Roman" w:cs="Times New Roman" w:eastAsia="Times New Roman" w:hAnsi="Times New Roman"/>
          <w:sz w:val="17"/>
          <w:szCs w:val="17"/>
          <w:color w:val="auto"/>
        </w:rPr>
        <w:t>. Each of the Parties hereto shall pay its own fees, costs and expenses (including the fees of any attorneys, accountants or others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engaged by such Party) in connection with this Note and the transactions contemplated hereby whether or not the transactions contemplated hereby are consummated; provided that the Company shall be responsible for all fees and expenses associated with the registration rights contained herein, including the preparation and the filing of the Resale Registration Statement(s). If the Company shall default on the payment of any of the Note Obligations, the Company shall reimburse Holder on demand for its reasonable, documented out-of-pocket costs of collection, including reasonable attorney’s fees and disbursements.</w:t>
      </w:r>
    </w:p>
    <w:p>
      <w:pPr>
        <w:spacing w:after="0" w:line="207" w:lineRule="exact"/>
        <w:rPr>
          <w:rFonts w:ascii="Times New Roman" w:cs="Times New Roman" w:eastAsia="Times New Roman" w:hAnsi="Times New Roman"/>
          <w:sz w:val="17"/>
          <w:szCs w:val="17"/>
          <w:i w:val="1"/>
          <w:iCs w:val="1"/>
          <w:color w:val="auto"/>
        </w:rPr>
      </w:pPr>
    </w:p>
    <w:p>
      <w:pPr>
        <w:ind w:left="924" w:right="60" w:hanging="615"/>
        <w:spacing w:after="0" w:line="292" w:lineRule="auto"/>
        <w:tabs>
          <w:tab w:leader="none" w:pos="922" w:val="left"/>
        </w:tabs>
        <w:numPr>
          <w:ilvl w:val="1"/>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No Drafting Presumption. </w:t>
      </w:r>
      <w:r>
        <w:rPr>
          <w:rFonts w:ascii="Times New Roman" w:cs="Times New Roman" w:eastAsia="Times New Roman" w:hAnsi="Times New Roman"/>
          <w:sz w:val="17"/>
          <w:szCs w:val="17"/>
          <w:color w:val="auto"/>
        </w:rPr>
        <w:t>The language used in this Note shall be deemed to be the language chosen by the Parties to express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mutual intent, and no rule of strict construction shall be applied against any Party.</w:t>
      </w:r>
    </w:p>
    <w:p>
      <w:pPr>
        <w:spacing w:after="0" w:line="181" w:lineRule="exact"/>
        <w:rPr>
          <w:rFonts w:ascii="Times New Roman" w:cs="Times New Roman" w:eastAsia="Times New Roman" w:hAnsi="Times New Roman"/>
          <w:sz w:val="17"/>
          <w:szCs w:val="17"/>
          <w:i w:val="1"/>
          <w:iCs w:val="1"/>
          <w:color w:val="auto"/>
        </w:rPr>
      </w:pPr>
    </w:p>
    <w:p>
      <w:pPr>
        <w:jc w:val="both"/>
        <w:ind w:left="924" w:right="60" w:hanging="615"/>
        <w:spacing w:after="0" w:line="272" w:lineRule="auto"/>
        <w:tabs>
          <w:tab w:leader="none" w:pos="919" w:val="left"/>
        </w:tabs>
        <w:numPr>
          <w:ilvl w:val="1"/>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Reservation of Rights. </w:t>
      </w:r>
      <w:r>
        <w:rPr>
          <w:rFonts w:ascii="Times New Roman" w:cs="Times New Roman" w:eastAsia="Times New Roman" w:hAnsi="Times New Roman"/>
          <w:sz w:val="17"/>
          <w:szCs w:val="17"/>
          <w:color w:val="auto"/>
        </w:rPr>
        <w:t>No failure on the part of Holder to exercise, and no delay in exercising, any right, power, privilege or remedy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hereunder shall operate as a waiver thereof, nor shall any single or partial exercise thereof by Holder preclude any other or further exercise thereof or the exercise of any other right, power, privilege or remedy of Holder.</w:t>
      </w:r>
    </w:p>
    <w:p>
      <w:pPr>
        <w:spacing w:after="0" w:line="197" w:lineRule="exact"/>
        <w:rPr>
          <w:rFonts w:ascii="Times New Roman" w:cs="Times New Roman" w:eastAsia="Times New Roman" w:hAnsi="Times New Roman"/>
          <w:sz w:val="17"/>
          <w:szCs w:val="17"/>
          <w:i w:val="1"/>
          <w:iCs w:val="1"/>
          <w:color w:val="auto"/>
        </w:rPr>
      </w:pPr>
    </w:p>
    <w:p>
      <w:pPr>
        <w:jc w:val="both"/>
        <w:ind w:left="924" w:right="60" w:hanging="615"/>
        <w:spacing w:after="0" w:line="261" w:lineRule="auto"/>
        <w:tabs>
          <w:tab w:leader="none" w:pos="918" w:val="left"/>
        </w:tabs>
        <w:numPr>
          <w:ilvl w:val="1"/>
          <w:numId w:val="3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CHOICE OF LAW</w:t>
      </w:r>
      <w:r>
        <w:rPr>
          <w:rFonts w:ascii="Times New Roman" w:cs="Times New Roman" w:eastAsia="Times New Roman" w:hAnsi="Times New Roman"/>
          <w:sz w:val="17"/>
          <w:szCs w:val="17"/>
          <w:b w:val="1"/>
          <w:bCs w:val="1"/>
          <w:color w:val="auto"/>
        </w:rPr>
        <w:t>. THIS NOTE AND ALL ACTIONS, CAUSES OF ACTION OR CLAIMS OF ANY KIND (WHETHER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LAW, IN EQUITY, IN CONTRACT, IN TORT OR OTHERWISE) THAT MAY BE BASED UPON, ARISE OUT OF OR RELATE TO THIS NOTE, OR THE NEGOTIATION, EXECUTION OR PERFORMANCE OF THIS NOTE SHALL BE GOVERNED BY AND CONSTRUED IN ACCORDANCE WITH THE LAWS OF THE STATE OF NEW YORK, INCLUDING WITHOUT LIMITATION NEW YORK LAWS RELATING TO APPLICABLE STATUTES OF LIMITATION AND BURDENS OF PROOF, AVAILABLE REMEDIES AND APPLICABLE EVIDENTIARY PRIVILEGES.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424"/>
          </w:cols>
          <w:pgMar w:left="1036" w:top="1374" w:right="439" w:bottom="1440" w:gutter="0" w:footer="0" w:header="0"/>
        </w:sectPr>
      </w:pPr>
    </w:p>
    <w:bookmarkStart w:id="68" w:name="page69"/>
    <w:bookmarkEnd w:id="68"/>
    <w:p>
      <w:pPr>
        <w:jc w:val="both"/>
        <w:ind w:left="615" w:hanging="615"/>
        <w:spacing w:after="0" w:line="258" w:lineRule="auto"/>
        <w:tabs>
          <w:tab w:leader="none" w:pos="60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Specific Performance</w:t>
      </w:r>
      <w:r>
        <w:rPr>
          <w:rFonts w:ascii="Times New Roman" w:cs="Times New Roman" w:eastAsia="Times New Roman" w:hAnsi="Times New Roman"/>
          <w:sz w:val="17"/>
          <w:szCs w:val="17"/>
          <w:color w:val="auto"/>
        </w:rPr>
        <w:t>. The Holder, in addition to being entitled to exercise all rights provided herein or granted by law, will be entitled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specific performance of its rights under this Note. The Company agrees that monetary damages would not be adequate compensation for any loss incurred by reason of a breach by it of the provisions of this Note and hereby agrees to waive the defense in any action for specific performance that a remedy at law would be adequate. The parties agree that irreparable damage would occur in the event that any of the provisions of this Note were not performed in accordance with their specific terms or were otherwise breached. It is accordingly agreed that the parties shall be entitled to an injunction or injunctions (without the proof of actual damages) to prevent breaches of this Note and to enforce specifically the terms and provisions of this Note and that no party shall oppose the granting of such relief, this being in addition to any other remedy to which they are entitled at law or in equity. Each party also agrees that it shall waive any requirement for the security or posting of any bond in connection with any such equitable relief.</w:t>
      </w:r>
    </w:p>
    <w:p>
      <w:pPr>
        <w:spacing w:after="0" w:line="210" w:lineRule="exact"/>
        <w:rPr>
          <w:rFonts w:ascii="Times New Roman" w:cs="Times New Roman" w:eastAsia="Times New Roman" w:hAnsi="Times New Roman"/>
          <w:sz w:val="17"/>
          <w:szCs w:val="17"/>
          <w:color w:val="auto"/>
        </w:rPr>
      </w:pPr>
    </w:p>
    <w:p>
      <w:pPr>
        <w:ind w:left="615" w:hanging="615"/>
        <w:spacing w:after="0" w:line="292" w:lineRule="auto"/>
        <w:tabs>
          <w:tab w:leader="none" w:pos="610"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Exclusive Jurisdiction</w:t>
      </w:r>
      <w:r>
        <w:rPr>
          <w:rFonts w:ascii="Times New Roman" w:cs="Times New Roman" w:eastAsia="Times New Roman" w:hAnsi="Times New Roman"/>
          <w:sz w:val="17"/>
          <w:szCs w:val="17"/>
          <w:color w:val="auto"/>
        </w:rPr>
        <w:t>. The courts sitting in the State of New York, in the County of New York shall have exclusive jurisdiction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relation to all matters which may arise out of or in connection with this Note.</w:t>
      </w:r>
    </w:p>
    <w:p>
      <w:pPr>
        <w:spacing w:after="0" w:line="181" w:lineRule="exact"/>
        <w:rPr>
          <w:rFonts w:ascii="Times New Roman" w:cs="Times New Roman" w:eastAsia="Times New Roman" w:hAnsi="Times New Roman"/>
          <w:sz w:val="17"/>
          <w:szCs w:val="17"/>
          <w:i w:val="1"/>
          <w:iCs w:val="1"/>
          <w:color w:val="auto"/>
        </w:rPr>
      </w:pPr>
    </w:p>
    <w:p>
      <w:pPr>
        <w:jc w:val="both"/>
        <w:ind w:left="615" w:hanging="615"/>
        <w:spacing w:after="0" w:line="272" w:lineRule="auto"/>
        <w:tabs>
          <w:tab w:leader="none" w:pos="610"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Amendments and Waivers</w:t>
      </w:r>
      <w:r>
        <w:rPr>
          <w:rFonts w:ascii="Times New Roman" w:cs="Times New Roman" w:eastAsia="Times New Roman" w:hAnsi="Times New Roman"/>
          <w:sz w:val="17"/>
          <w:szCs w:val="17"/>
          <w:color w:val="auto"/>
        </w:rPr>
        <w:t>. Any term of this Note may be amended, modified or waived upon the written consent of the Company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 No such waiver or consent in any one instance shall be construed to be a continuing waiver or a waiver in any other instance unless it expressly so provides.</w:t>
      </w:r>
    </w:p>
    <w:p>
      <w:pPr>
        <w:spacing w:after="0" w:line="186" w:lineRule="exact"/>
        <w:rPr>
          <w:rFonts w:ascii="Times New Roman" w:cs="Times New Roman" w:eastAsia="Times New Roman" w:hAnsi="Times New Roman"/>
          <w:sz w:val="17"/>
          <w:szCs w:val="17"/>
          <w:i w:val="1"/>
          <w:iCs w:val="1"/>
          <w:color w:val="auto"/>
        </w:rPr>
      </w:pPr>
    </w:p>
    <w:p>
      <w:pPr>
        <w:jc w:val="both"/>
        <w:ind w:left="615" w:hanging="615"/>
        <w:spacing w:after="0" w:line="259" w:lineRule="auto"/>
        <w:tabs>
          <w:tab w:leader="none" w:pos="612"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Counterparts. </w:t>
      </w:r>
      <w:r>
        <w:rPr>
          <w:rFonts w:ascii="Times New Roman" w:cs="Times New Roman" w:eastAsia="Times New Roman" w:hAnsi="Times New Roman"/>
          <w:sz w:val="17"/>
          <w:szCs w:val="17"/>
          <w:color w:val="auto"/>
        </w:rPr>
        <w:t>This Note be manually or electronically executed in one or more counterparts (delivery of which may occur via facsimile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electronic transmission, including as an attachment to an electronic mail message in “pdf” or similar format), each of which shall be deemed an original, but all of which shall together constitute one and the same instrument. The words “execution,” “signed,” “signature,” and words of like import in this Note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212" w:lineRule="exact"/>
        <w:rPr>
          <w:sz w:val="20"/>
          <w:szCs w:val="20"/>
          <w:color w:val="auto"/>
        </w:rPr>
      </w:pPr>
    </w:p>
    <w:p>
      <w:pPr>
        <w:ind w:left="3675"/>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15"/>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055"/>
          </w:cols>
          <w:pgMar w:left="1345" w:top="1357" w:right="499" w:bottom="1440" w:gutter="0" w:footer="0" w:header="0"/>
        </w:sectPr>
      </w:pPr>
    </w:p>
    <w:bookmarkStart w:id="69" w:name="page70"/>
    <w:bookmarkEnd w:id="69"/>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executed this Note as of the date of Issuance.</w:t>
      </w:r>
    </w:p>
    <w:p>
      <w:pPr>
        <w:spacing w:after="0" w:line="273"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7"/>
          <w:szCs w:val="17"/>
          <w:color w:val="auto"/>
        </w:rPr>
        <w:t>DATE: May 13, 2025</w:t>
        <w:tab/>
        <w:t>MOMENTUS INC.</w:t>
      </w:r>
    </w:p>
    <w:p>
      <w:pPr>
        <w:spacing w:after="0" w:line="200" w:lineRule="exact"/>
        <w:rPr>
          <w:sz w:val="20"/>
          <w:szCs w:val="20"/>
          <w:color w:val="auto"/>
        </w:rPr>
      </w:pPr>
    </w:p>
    <w:p>
      <w:pPr>
        <w:spacing w:after="0" w:line="28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Lon Ensler</w:t>
      </w:r>
    </w:p>
    <w:p>
      <w:pPr>
        <w:spacing w:after="0" w:line="2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Name: Lon Ensler</w:t>
      </w:r>
    </w:p>
    <w:p>
      <w:pPr>
        <w:spacing w:after="0" w:line="1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Title: 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A.G.P./ALLIANCE GLOBAL PARTNERS</w:t>
      </w:r>
    </w:p>
    <w:p>
      <w:pPr>
        <w:spacing w:after="0" w:line="200" w:lineRule="exact"/>
        <w:rPr>
          <w:sz w:val="20"/>
          <w:szCs w:val="20"/>
          <w:color w:val="auto"/>
        </w:rPr>
      </w:pPr>
    </w:p>
    <w:p>
      <w:pPr>
        <w:spacing w:after="0" w:line="29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Thomas J. Higgins</w:t>
      </w:r>
    </w:p>
    <w:p>
      <w:pPr>
        <w:spacing w:after="0" w:line="2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Name: Thomas J. Higgins</w:t>
      </w:r>
    </w:p>
    <w:p>
      <w:pPr>
        <w:spacing w:after="0" w:line="1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7"/>
          <w:szCs w:val="17"/>
          <w:i w:val="1"/>
          <w:iCs w:val="1"/>
          <w:color w:val="auto"/>
        </w:rPr>
        <w:t>[Signature Page to AGP Convertible Note]</w:t>
      </w:r>
    </w:p>
    <w:p>
      <w:pPr>
        <w:sectPr>
          <w:pgSz w:w="11900" w:h="16838" w:orient="portrait"/>
          <w:cols w:equalWidth="0" w:num="1">
            <w:col w:w="10039"/>
          </w:cols>
          <w:pgMar w:left="420" w:top="1440" w:right="1440" w:bottom="1440" w:gutter="0" w:footer="0" w:header="0"/>
        </w:sectPr>
      </w:pPr>
    </w:p>
    <w:bookmarkStart w:id="70" w:name="page71"/>
    <w:bookmarkEnd w:id="70"/>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Rood, certify that:</w:t>
      </w:r>
    </w:p>
    <w:p>
      <w:pPr>
        <w:spacing w:after="0" w:line="355"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Momentus Inc.;</w:t>
      </w:r>
    </w:p>
    <w:p>
      <w:pPr>
        <w:spacing w:after="0" w:line="153" w:lineRule="exact"/>
        <w:rPr>
          <w:sz w:val="20"/>
          <w:szCs w:val="20"/>
          <w:color w:val="auto"/>
        </w:rPr>
      </w:pPr>
    </w:p>
    <w:p>
      <w:pPr>
        <w:ind w:left="620" w:right="240" w:hanging="307"/>
        <w:spacing w:after="0" w:line="287"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700" w:hanging="307"/>
        <w:spacing w:after="0" w:line="287"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ind w:left="620" w:right="200" w:hanging="307"/>
        <w:spacing w:after="0" w:line="270"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400" w:hanging="309"/>
        <w:spacing w:after="0" w:line="270" w:lineRule="auto"/>
        <w:tabs>
          <w:tab w:leader="none" w:pos="123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ind w:left="1240" w:right="660" w:hanging="309"/>
        <w:spacing w:after="0" w:line="270" w:lineRule="auto"/>
        <w:tabs>
          <w:tab w:leader="none" w:pos="1228"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820" w:hanging="309"/>
        <w:spacing w:after="0" w:line="287" w:lineRule="auto"/>
        <w:tabs>
          <w:tab w:leader="none" w:pos="123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ind w:left="1240" w:right="400" w:hanging="309"/>
        <w:spacing w:after="0" w:line="270" w:lineRule="auto"/>
        <w:tabs>
          <w:tab w:leader="none" w:pos="1228"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620" w:hanging="307"/>
        <w:spacing w:after="0" w:line="287"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320" w:hanging="309"/>
        <w:spacing w:after="0" w:line="287" w:lineRule="auto"/>
        <w:tabs>
          <w:tab w:leader="none" w:pos="123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280" w:hanging="309"/>
        <w:spacing w:after="0" w:line="287" w:lineRule="auto"/>
        <w:tabs>
          <w:tab w:leader="none" w:pos="1228"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060" w:type="dxa"/>
        <w:tblCellMar>
          <w:top w:w="0" w:type="dxa"/>
          <w:left w:w="0" w:type="dxa"/>
          <w:bottom w:w="0" w:type="dxa"/>
          <w:right w:w="0" w:type="dxa"/>
        </w:tblCellMar>
      </w:tblPr>
      <w:tr>
        <w:trPr>
          <w:trHeight w:val="195"/>
        </w:trPr>
        <w:tc>
          <w:tcPr>
            <w:tcW w:w="9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 John C. Rood</w:t>
            </w:r>
          </w:p>
        </w:tc>
        <w:tc>
          <w:tcPr>
            <w:tcW w:w="340" w:type="dxa"/>
            <w:vAlign w:val="bottom"/>
          </w:tcPr>
          <w:p>
            <w:pPr>
              <w:spacing w:after="0"/>
              <w:rPr>
                <w:sz w:val="16"/>
                <w:szCs w:val="16"/>
                <w:color w:val="auto"/>
              </w:rPr>
            </w:pPr>
          </w:p>
        </w:tc>
      </w:tr>
      <w:tr>
        <w:trPr>
          <w:trHeight w:val="234"/>
        </w:trPr>
        <w:tc>
          <w:tcPr>
            <w:tcW w:w="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C. Rood</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2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May 15,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Chief Executive Office</w:t>
            </w:r>
          </w:p>
        </w:tc>
      </w:tr>
    </w:tbl>
    <w:p>
      <w:pPr>
        <w:sectPr>
          <w:pgSz w:w="11900" w:h="16838" w:orient="portrait"/>
          <w:cols w:equalWidth="0" w:num="1">
            <w:col w:w="11340"/>
          </w:cols>
          <w:pgMar w:left="320" w:top="738" w:right="239" w:bottom="1440" w:gutter="0" w:footer="0" w:header="0"/>
        </w:sectPr>
      </w:pPr>
    </w:p>
    <w:bookmarkStart w:id="71" w:name="page72"/>
    <w:bookmarkEnd w:id="71"/>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Lon Ensler, certify that:</w:t>
      </w:r>
    </w:p>
    <w:p>
      <w:pPr>
        <w:spacing w:after="0" w:line="355" w:lineRule="exact"/>
        <w:rPr>
          <w:sz w:val="20"/>
          <w:szCs w:val="20"/>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Momentus Inc.;</w:t>
      </w:r>
    </w:p>
    <w:p>
      <w:pPr>
        <w:spacing w:after="0" w:line="153" w:lineRule="exact"/>
        <w:rPr>
          <w:sz w:val="20"/>
          <w:szCs w:val="20"/>
          <w:color w:val="auto"/>
        </w:rPr>
      </w:pPr>
    </w:p>
    <w:p>
      <w:pPr>
        <w:ind w:left="620" w:right="200" w:hanging="307"/>
        <w:spacing w:after="0" w:line="28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660" w:hanging="307"/>
        <w:spacing w:after="0" w:line="287"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ind w:left="620" w:right="160" w:hanging="307"/>
        <w:spacing w:after="0" w:line="270"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360" w:hanging="309"/>
        <w:spacing w:after="0" w:line="270" w:lineRule="auto"/>
        <w:tabs>
          <w:tab w:leader="none" w:pos="123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ind w:left="1240" w:right="620" w:hanging="309"/>
        <w:spacing w:after="0" w:line="270" w:lineRule="auto"/>
        <w:tabs>
          <w:tab w:leader="none" w:pos="1228"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780" w:hanging="309"/>
        <w:spacing w:after="0" w:line="287" w:lineRule="auto"/>
        <w:tabs>
          <w:tab w:leader="none" w:pos="123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ind w:left="1240" w:right="360" w:hanging="309"/>
        <w:spacing w:after="0" w:line="270" w:lineRule="auto"/>
        <w:tabs>
          <w:tab w:leader="none" w:pos="1228"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580" w:hanging="307"/>
        <w:spacing w:after="0" w:line="287"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280" w:hanging="309"/>
        <w:spacing w:after="0" w:line="287" w:lineRule="auto"/>
        <w:tabs>
          <w:tab w:leader="none" w:pos="123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240" w:hanging="309"/>
        <w:spacing w:after="0" w:line="287" w:lineRule="auto"/>
        <w:tabs>
          <w:tab w:leader="none" w:pos="1228"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9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8"/>
              </w:rPr>
              <w:t>/s/ Lon Ensler</w:t>
            </w:r>
          </w:p>
        </w:tc>
        <w:tc>
          <w:tcPr>
            <w:tcW w:w="460" w:type="dxa"/>
            <w:vAlign w:val="bottom"/>
          </w:tcPr>
          <w:p>
            <w:pPr>
              <w:spacing w:after="0"/>
              <w:rPr>
                <w:sz w:val="16"/>
                <w:szCs w:val="16"/>
                <w:color w:val="auto"/>
              </w:rPr>
            </w:pPr>
          </w:p>
        </w:tc>
      </w:tr>
      <w:tr>
        <w:trPr>
          <w:trHeight w:val="234"/>
        </w:trPr>
        <w:tc>
          <w:tcPr>
            <w:tcW w:w="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 Ensler</w:t>
            </w:r>
          </w:p>
        </w:tc>
      </w:tr>
      <w:tr>
        <w:trPr>
          <w:trHeight w:val="180"/>
        </w:trPr>
        <w:tc>
          <w:tcPr>
            <w:tcW w:w="9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w w:val="99"/>
              </w:rPr>
              <w:t>Interim Chief Financi</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2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May 15,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Officer</w:t>
            </w:r>
          </w:p>
        </w:tc>
      </w:tr>
    </w:tbl>
    <w:p>
      <w:pPr>
        <w:sectPr>
          <w:pgSz w:w="11900" w:h="16838" w:orient="portrait"/>
          <w:cols w:equalWidth="0" w:num="1">
            <w:col w:w="11300"/>
          </w:cols>
          <w:pgMar w:left="320" w:top="738" w:right="27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Momentus Inc., a Delaware corporation (the “Company”), on Form 10-Q for the quarter ended March 31, 2025, as filed with the Securities and Exchange Commission on the date hereof (the “Form 10-Q”), I, John Rood, Chief Executive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10-Q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40" w:type="dxa"/>
        <w:tblCellMar>
          <w:top w:w="0" w:type="dxa"/>
          <w:left w:w="0" w:type="dxa"/>
          <w:bottom w:w="0" w:type="dxa"/>
          <w:right w:w="0" w:type="dxa"/>
        </w:tblCellMar>
      </w:tblPr>
      <w:tr>
        <w:trPr>
          <w:trHeight w:val="195"/>
        </w:trPr>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 John C. Rood</w:t>
            </w:r>
          </w:p>
        </w:tc>
        <w:tc>
          <w:tcPr>
            <w:tcW w:w="420" w:type="dxa"/>
            <w:vAlign w:val="bottom"/>
          </w:tcPr>
          <w:p>
            <w:pPr>
              <w:spacing w:after="0"/>
              <w:rPr>
                <w:sz w:val="17"/>
                <w:szCs w:val="17"/>
                <w:color w:val="auto"/>
              </w:rPr>
            </w:pPr>
          </w:p>
        </w:tc>
      </w:tr>
      <w:tr>
        <w:trPr>
          <w:trHeight w:val="234"/>
        </w:trPr>
        <w:tc>
          <w:tcPr>
            <w:tcW w:w="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C. Rood</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2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May 15,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Executive Officer</w:t>
            </w:r>
          </w:p>
        </w:tc>
      </w:tr>
    </w:tbl>
    <w:p>
      <w:pPr>
        <w:spacing w:after="0" w:line="200" w:lineRule="exact"/>
        <w:rPr>
          <w:sz w:val="20"/>
          <w:szCs w:val="20"/>
          <w:color w:val="auto"/>
        </w:rPr>
      </w:pPr>
    </w:p>
    <w:p>
      <w:pPr>
        <w:spacing w:after="0" w:line="260"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738"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Momentus Inc., a Delaware corporation (the “Company”), on Form 10-Q for the quarter ended March 31, 2025, as filed with the Securities and Exchange Commission on the date hereof (the “Form 10-Q”), I, Lon Ensler, Interim Chief Financial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10-Q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 Lon Ensler</w:t>
            </w:r>
          </w:p>
        </w:tc>
      </w:tr>
      <w:tr>
        <w:trPr>
          <w:trHeight w:val="234"/>
        </w:trPr>
        <w:tc>
          <w:tcPr>
            <w:tcW w:w="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Lon Ensler</w:t>
            </w:r>
          </w:p>
        </w:tc>
        <w:tc>
          <w:tcPr>
            <w:tcW w:w="600" w:type="dxa"/>
            <w:vAlign w:val="bottom"/>
          </w:tcPr>
          <w:p>
            <w:pPr>
              <w:spacing w:after="0"/>
              <w:rPr>
                <w:sz w:val="20"/>
                <w:szCs w:val="20"/>
                <w:color w:val="auto"/>
              </w:rPr>
            </w:pPr>
          </w:p>
        </w:tc>
      </w:tr>
      <w:tr>
        <w:trPr>
          <w:trHeight w:val="171"/>
        </w:trPr>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gridSpan w:val="2"/>
          </w:tcPr>
          <w:p>
            <w:pPr>
              <w:spacing w:after="0" w:line="172" w:lineRule="exact"/>
              <w:rPr>
                <w:sz w:val="20"/>
                <w:szCs w:val="20"/>
                <w:color w:val="auto"/>
              </w:rPr>
            </w:pPr>
            <w:r>
              <w:rPr>
                <w:rFonts w:ascii="Times New Roman" w:cs="Times New Roman" w:eastAsia="Times New Roman" w:hAnsi="Times New Roman"/>
                <w:sz w:val="17"/>
                <w:szCs w:val="17"/>
                <w:color w:val="auto"/>
              </w:rPr>
              <w:t>Interim Chief Financial</w:t>
            </w:r>
          </w:p>
        </w:tc>
      </w:t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2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May 15, 2025</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200" w:lineRule="exact"/>
        <w:rPr>
          <w:sz w:val="20"/>
          <w:szCs w:val="20"/>
          <w:color w:val="auto"/>
        </w:rPr>
      </w:pPr>
    </w:p>
    <w:p>
      <w:pPr>
        <w:spacing w:after="0" w:line="260"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40"/>
      </w:cols>
      <w:pgMar w:left="320" w:top="7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lowerRoman"/>
      <w:start w:val="2"/>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
    <w:nsid w:val="836C40E"/>
    <w:multiLevelType w:val="hybridMultilevel"/>
    <w:lvl w:ilvl="0">
      <w:lvlJc w:val="left"/>
      <w:lvlText w:val="%1."/>
      <w:numFmt w:val="lowerRoman"/>
      <w:start w:val="9"/>
    </w:lvl>
  </w:abstractNum>
  <w:abstractNum w:abstractNumId="13">
    <w:nsid w:val="2901D82"/>
    <w:multiLevelType w:val="hybridMultilevel"/>
    <w:lvl w:ilvl="0">
      <w:lvlJc w:val="left"/>
      <w:lvlText w:val="%1"/>
      <w:numFmt w:val="lowerRoman"/>
      <w:start w:val="1"/>
    </w:lvl>
    <w:lvl w:ilvl="1">
      <w:lvlJc w:val="left"/>
      <w:lvlText w:val="(%2)"/>
      <w:numFmt w:val="lowerRoman"/>
      <w:start w:val="2"/>
    </w:lvl>
  </w:abstractNum>
  <w:abstractNum w:abstractNumId="14">
    <w:nsid w:val="3A95F874"/>
    <w:multiLevelType w:val="hybridMultilevel"/>
    <w:lvl w:ilvl="0">
      <w:lvlJc w:val="left"/>
      <w:lvlText w:val="%1."/>
      <w:numFmt w:val="lowerRoman"/>
      <w:start w:val="19"/>
    </w:lvl>
    <w:lvl w:ilvl="1">
      <w:lvlJc w:val="left"/>
      <w:lvlText w:val="%2"/>
      <w:numFmt w:val="lowerRoman"/>
      <w:start w:val="1"/>
    </w:lvl>
  </w:abstractNum>
  <w:abstractNum w:abstractNumId="15">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9"/>
    </w:lvl>
  </w:abstractNum>
  <w:abstractNum w:abstractNumId="16">
    <w:nsid w:val="1E7FF52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
    <w:nsid w:val="7C3DBD3D"/>
    <w:multiLevelType w:val="hybridMultilevel"/>
    <w:lvl w:ilvl="0">
      <w:lvlJc w:val="left"/>
      <w:lvlText w:val="%1"/>
      <w:numFmt w:val="decimal"/>
      <w:start w:val="1"/>
    </w:lvl>
    <w:lvl w:ilvl="1">
      <w:lvlJc w:val="left"/>
      <w:lvlText w:val="(%2)"/>
      <w:numFmt w:val="lowerLetter"/>
      <w:start w:val="7"/>
    </w:lvl>
  </w:abstractNum>
  <w:abstractNum w:abstractNumId="18">
    <w:nsid w:val="737B8DDC"/>
    <w:multiLevelType w:val="hybridMultilevel"/>
    <w:lvl w:ilvl="0">
      <w:lvlJc w:val="left"/>
      <w:lvlText w:val="%1."/>
      <w:numFmt w:val="decimal"/>
      <w:start w:val="6"/>
    </w:lvl>
    <w:lvl w:ilvl="1">
      <w:lvlJc w:val="left"/>
      <w:lvlText w:val="(%2)"/>
      <w:numFmt w:val="lowerLetter"/>
      <w:start w:val="1"/>
    </w:lvl>
  </w:abstractNum>
  <w:abstractNum w:abstractNumId="19">
    <w:nsid w:val="6CEAF087"/>
    <w:multiLevelType w:val="hybridMultilevel"/>
    <w:lvl w:ilvl="0">
      <w:lvlJc w:val="left"/>
      <w:lvlText w:val="%1."/>
      <w:numFmt w:val="decimal"/>
      <w:start w:val="8"/>
    </w:lvl>
    <w:lvl w:ilvl="1">
      <w:lvlJc w:val="left"/>
      <w:lvlText w:val="(%2)"/>
      <w:numFmt w:val="lowerLetter"/>
      <w:start w:val="1"/>
    </w:lvl>
  </w:abstractNum>
  <w:abstractNum w:abstractNumId="20">
    <w:nsid w:val="22221A70"/>
    <w:multiLevelType w:val="hybridMultilevel"/>
    <w:lvl w:ilvl="0">
      <w:lvlJc w:val="left"/>
      <w:lvlText w:val="(%1)"/>
      <w:numFmt w:val="lowerLetter"/>
      <w:start w:val="2"/>
    </w:lvl>
  </w:abstractNum>
  <w:abstractNum w:abstractNumId="21">
    <w:nsid w:val="4516DDE9"/>
    <w:multiLevelType w:val="hybridMultilevel"/>
    <w:lvl w:ilvl="0">
      <w:lvlJc w:val="left"/>
      <w:lvlText w:val="(%1)"/>
      <w:numFmt w:val="lowerLetter"/>
      <w:start w:val="7"/>
    </w:lvl>
  </w:abstractNum>
  <w:abstractNum w:abstractNumId="22">
    <w:nsid w:val="3006C83E"/>
    <w:multiLevelType w:val="hybridMultilevel"/>
    <w:lvl w:ilvl="0">
      <w:lvlJc w:val="left"/>
      <w:lvlText w:val="%1."/>
      <w:numFmt w:val="decimal"/>
      <w:start w:val="9"/>
    </w:lvl>
  </w:abstractNum>
  <w:abstractNum w:abstractNumId="23">
    <w:nsid w:val="614FD4A1"/>
    <w:multiLevelType w:val="hybridMultilevel"/>
    <w:lvl w:ilvl="0">
      <w:lvlJc w:val="left"/>
      <w:lvlText w:val="%1."/>
      <w:numFmt w:val="decimal"/>
      <w:start w:val="10"/>
    </w:lvl>
    <w:lvl w:ilvl="1">
      <w:lvlJc w:val="left"/>
      <w:lvlText w:val="(%2)"/>
      <w:numFmt w:val="lowerLetter"/>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decimal"/>
      <w:start w:val="1"/>
    </w:lvl>
    <w:lvl w:ilvl="1">
      <w:lvlJc w:val="left"/>
      <w:lvlText w:val="(%2)"/>
      <w:numFmt w:val="lowerLetter"/>
      <w:start w:val="2"/>
    </w:lvl>
  </w:abstractNum>
  <w:abstractNum w:abstractNumId="26">
    <w:nsid w:val="440BADFC"/>
    <w:multiLevelType w:val="hybridMultilevel"/>
    <w:lvl w:ilvl="0">
      <w:lvlJc w:val="left"/>
      <w:lvlText w:val="%1."/>
      <w:numFmt w:val="decimal"/>
      <w:start w:val="11"/>
    </w:lvl>
    <w:lvl w:ilvl="1">
      <w:lvlJc w:val="left"/>
      <w:lvlText w:val="%2"/>
      <w:numFmt w:val="lowerLetter"/>
      <w:start w:val="1"/>
    </w:lvl>
  </w:abstractNum>
  <w:abstractNum w:abstractNumId="27">
    <w:nsid w:val="5072367"/>
    <w:multiLevelType w:val="hybridMultilevel"/>
    <w:lvl w:ilvl="0">
      <w:lvlJc w:val="left"/>
      <w:lvlText w:val="%1."/>
      <w:numFmt w:val="decimal"/>
      <w:start w:val="13"/>
    </w:lvl>
  </w:abstractNum>
  <w:abstractNum w:abstractNumId="28">
    <w:nsid w:val="3804823E"/>
    <w:multiLevelType w:val="hybridMultilevel"/>
    <w:lvl w:ilvl="0">
      <w:lvlJc w:val="left"/>
      <w:lvlText w:val="%1."/>
      <w:numFmt w:val="decimal"/>
      <w:start w:val="15"/>
    </w:lvl>
    <w:lvl w:ilvl="1">
      <w:lvlJc w:val="left"/>
      <w:lvlText w:val="(%2)"/>
      <w:numFmt w:val="lowerRoman"/>
      <w:start w:val="1"/>
    </w:lvl>
  </w:abstractNum>
  <w:abstractNum w:abstractNumId="29">
    <w:nsid w:val="77465F01"/>
    <w:multiLevelType w:val="hybridMultilevel"/>
    <w:lvl w:ilvl="0">
      <w:lvlJc w:val="left"/>
      <w:lvlText w:val="(%1)"/>
      <w:numFmt w:val="lowerRoman"/>
      <w:start w:val="2"/>
    </w:lvl>
  </w:abstractNum>
  <w:abstractNum w:abstractNumId="30">
    <w:nsid w:val="7724C67E"/>
    <w:multiLevelType w:val="hybridMultilevel"/>
    <w:lvl w:ilvl="0">
      <w:lvlJc w:val="left"/>
      <w:lvlText w:val="%1."/>
      <w:numFmt w:val="decimal"/>
      <w:start w:val="18"/>
    </w:lvl>
    <w:lvl w:ilvl="1">
      <w:lvlJc w:val="left"/>
      <w:lvlText w:val="(%2)"/>
      <w:numFmt w:val="lowerLetter"/>
      <w:start w:val="1"/>
    </w:lvl>
  </w:abstractNum>
  <w:abstractNum w:abstractNumId="31">
    <w:nsid w:val="5C482A97"/>
    <w:multiLevelType w:val="hybridMultilevel"/>
    <w:lvl w:ilvl="0">
      <w:lvlJc w:val="left"/>
      <w:lvlText w:val="(%1)"/>
      <w:numFmt w:val="lowerLetter"/>
      <w:start w:val="8"/>
    </w:lvl>
  </w:abstractNum>
  <w:abstractNum w:abstractNumId="32">
    <w:nsid w:val="2463B9EA"/>
    <w:multiLevelType w:val="hybridMultilevel"/>
    <w:lvl w:ilvl="0">
      <w:lvlJc w:val="left"/>
      <w:lvlText w:val="1"/>
      <w:numFmt w:val="bullet"/>
      <w:start w:val="1"/>
    </w:lvl>
  </w:abstractNum>
  <w:abstractNum w:abstractNumId="33">
    <w:nsid w:val="5E884ADC"/>
    <w:multiLevelType w:val="hybridMultilevel"/>
    <w:lvl w:ilvl="0">
      <w:lvlJc w:val="left"/>
      <w:lvlText w:val="2"/>
      <w:numFmt w:val="bullet"/>
      <w:start w:val="1"/>
    </w:lvl>
  </w:abstractNum>
  <w:abstractNum w:abstractNumId="34">
    <w:nsid w:val="51EAD36B"/>
    <w:multiLevelType w:val="hybridMultilevel"/>
    <w:lvl w:ilvl="0">
      <w:lvlJc w:val="left"/>
      <w:lvlText w:val="3"/>
      <w:numFmt w:val="bullet"/>
      <w:start w:val="1"/>
    </w:lvl>
  </w:abstractNum>
  <w:abstractNum w:abstractNumId="35">
    <w:nsid w:val="2D517796"/>
    <w:multiLevelType w:val="hybridMultilevel"/>
    <w:lvl w:ilvl="0">
      <w:lvlJc w:val="left"/>
      <w:lvlText w:val="4"/>
      <w:numFmt w:val="bullet"/>
      <w:start w:val="1"/>
    </w:lvl>
    <w:lvl w:ilvl="1">
      <w:lvlJc w:val="left"/>
      <w:lvlText w:val="%2)"/>
      <w:numFmt w:val="lowerLetter"/>
      <w:start w:val="1"/>
    </w:lvl>
  </w:abstractNum>
  <w:abstractNum w:abstractNumId="36">
    <w:nsid w:val="580BD78F"/>
    <w:multiLevelType w:val="hybridMultilevel"/>
    <w:lvl w:ilvl="0">
      <w:lvlJc w:val="left"/>
      <w:lvlText w:val="5"/>
      <w:numFmt w:val="bullet"/>
      <w:start w:val="1"/>
    </w:lvl>
    <w:lvl w:ilvl="1">
      <w:lvlJc w:val="left"/>
      <w:lvlText w:val="%2)"/>
      <w:numFmt w:val="lowerLetter"/>
      <w:start w:val="1"/>
    </w:lvl>
  </w:abstractNum>
  <w:abstractNum w:abstractNumId="37">
    <w:nsid w:val="153EA438"/>
    <w:multiLevelType w:val="hybridMultilevel"/>
    <w:lvl w:ilvl="0">
      <w:lvlJc w:val="left"/>
      <w:lvlText w:val="1"/>
      <w:numFmt w:val="bullet"/>
      <w:start w:val="1"/>
    </w:lvl>
  </w:abstractNum>
  <w:abstractNum w:abstractNumId="38">
    <w:nsid w:val="3855585C"/>
    <w:multiLevelType w:val="hybridMultilevel"/>
    <w:lvl w:ilvl="0">
      <w:lvlJc w:val="left"/>
      <w:lvlText w:val="2"/>
      <w:numFmt w:val="bullet"/>
      <w:start w:val="1"/>
    </w:lvl>
  </w:abstractNum>
  <w:abstractNum w:abstractNumId="39">
    <w:nsid w:val="70A64E2A"/>
    <w:multiLevelType w:val="hybridMultilevel"/>
    <w:lvl w:ilvl="0">
      <w:lvlJc w:val="left"/>
      <w:lvlText w:val="3"/>
      <w:numFmt w:val="bullet"/>
      <w:start w:val="1"/>
    </w:lvl>
  </w:abstractNum>
  <w:abstractNum w:abstractNumId="40">
    <w:nsid w:val="6A2342EC"/>
    <w:multiLevelType w:val="hybridMultilevel"/>
    <w:lvl w:ilvl="0">
      <w:lvlJc w:val="left"/>
      <w:lvlText w:val="4"/>
      <w:numFmt w:val="bullet"/>
      <w:start w:val="1"/>
    </w:lvl>
    <w:lvl w:ilvl="1">
      <w:lvlJc w:val="left"/>
      <w:lvlText w:val="%2)"/>
      <w:numFmt w:val="lowerLetter"/>
      <w:start w:val="1"/>
    </w:lvl>
  </w:abstractNum>
  <w:abstractNum w:abstractNumId="41">
    <w:nsid w:val="2A487CB0"/>
    <w:multiLevelType w:val="hybridMultilevel"/>
    <w:lvl w:ilvl="0">
      <w:lvlJc w:val="left"/>
      <w:lvlText w:val="5"/>
      <w:numFmt w:val="bullet"/>
      <w:start w:val="1"/>
    </w:lvl>
    <w:lvl w:ilvl="1">
      <w:lvlJc w:val="left"/>
      <w:lvlText w:val="%2)"/>
      <w:numFmt w:val="lowerLetter"/>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8" Type="http://schemas.openxmlformats.org/officeDocument/2006/relationships/image" Target="media/image68.png"/><Relationship Id="rId75" Type="http://schemas.openxmlformats.org/officeDocument/2006/relationships/hyperlink" Target="https://www.sec.gov/Archives/edgar/data/1781162/000114036123040887/brhc20057886_8k.htm" TargetMode="External"/><Relationship Id="rId76" Type="http://schemas.openxmlformats.org/officeDocument/2006/relationships/hyperlink" Target="https://www.sec.gov/Archives/edgar/data/1781162/000114036123040887/brhc20057886_ex3-1.htm" TargetMode="External"/><Relationship Id="rId77" Type="http://schemas.openxmlformats.org/officeDocument/2006/relationships/hyperlink" Target="https://www.sec.gov/ix?doc=/Archives/edgar/data/0001781162/000114036124048829/ny20039383x3_8k.htm" TargetMode="External"/><Relationship Id="rId78" Type="http://schemas.openxmlformats.org/officeDocument/2006/relationships/hyperlink" Target="https://www.sec.gov/Archives/edgar/data/1781162/000121390021043676/ea146069ex3-2_momentusinc.htm" TargetMode="External"/><Relationship Id="rId79" Type="http://schemas.openxmlformats.org/officeDocument/2006/relationships/hyperlink" Target="https://www.sec.gov/Archives/edgar/data/1781162/000114036123035996/brhc20056305_ex3-1.htm" TargetMode="External"/><Relationship Id="rId80" Type="http://schemas.openxmlformats.org/officeDocument/2006/relationships/hyperlink" Target="https://www.sec.gov/Archives/edgar/data/1781162/000114036125013659/ef20047372_ex3-1.htm" TargetMode="External"/><Relationship Id="rId81" Type="http://schemas.openxmlformats.org/officeDocument/2006/relationships/hyperlink" Target="https://www.sec.gov/Archives/edgar/data/0001781162/000114036125004114/ef20043284_ex4-1.htm" TargetMode="External"/><Relationship Id="rId82" Type="http://schemas.openxmlformats.org/officeDocument/2006/relationships/hyperlink" Target="https://www.sec.gov/Archives/edgar/data/0001781162/000114036125004114/ef20043284_ex4-2.htm" TargetMode="External"/><Relationship Id="rId83" Type="http://schemas.openxmlformats.org/officeDocument/2006/relationships/hyperlink" Target="https://www.sec.gov/Archives/edgar/data/0001781162/000114036125004114/ef20043284_ex4-3.htm" TargetMode="External"/><Relationship Id="rId84" Type="http://schemas.openxmlformats.org/officeDocument/2006/relationships/hyperlink" Target="https://www.sec.gov/Archives/edgar/data/0001781162/000114036125004114/ef20043284_ex4-4.htm" TargetMode="External"/><Relationship Id="rId85" Type="http://schemas.openxmlformats.org/officeDocument/2006/relationships/hyperlink" Target="https://www.sec.gov/Archives/edgar/data/0001781162/000114036125009817/ef20045953_ex4-1.htm" TargetMode="External"/><Relationship Id="rId86" Type="http://schemas.openxmlformats.org/officeDocument/2006/relationships/hyperlink" Target="https://www.sec.gov/Archives/edgar/data/0001781162/000114036125004114/ef20043284_ex10-1.htm" TargetMode="External"/><Relationship Id="rId87" Type="http://schemas.openxmlformats.org/officeDocument/2006/relationships/hyperlink" Target="https://www.sec.gov/Archives/edgar/data/0001781162/000114036125009817/ef2004595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2025-05-15T14:49:40Z</dcterms:created>
  <dcterms:modified xsi:type="dcterms:W3CDTF">2025-05-15T14:49:40Z</dcterms:modified>
</cp:coreProperties>
</file>