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3051F2"/>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Washington, D.C. 20549</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68" w:lineRule="exact"/>
        <w:rPr>
          <w:sz w:val="24"/>
          <w:szCs w:val="24"/>
          <w:color w:val="auto"/>
        </w:rPr>
      </w:pPr>
    </w:p>
    <w:p>
      <w:pPr>
        <w:ind w:left="620" w:hanging="600"/>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4"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For the quarterly period ended June 30, 2022</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OR</w:t>
      </w:r>
    </w:p>
    <w:p>
      <w:pPr>
        <w:spacing w:after="0" w:line="75" w:lineRule="exact"/>
        <w:rPr>
          <w:sz w:val="24"/>
          <w:szCs w:val="24"/>
          <w:color w:val="auto"/>
        </w:rPr>
      </w:pPr>
    </w:p>
    <w:p>
      <w:pPr>
        <w:ind w:left="460" w:right="1900" w:hanging="440"/>
        <w:spacing w:after="0" w:line="395" w:lineRule="auto"/>
        <w:tabs>
          <w:tab w:leader="none" w:pos="606"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001-39128</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Momentus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7" w:lineRule="exact"/>
        <w:rPr>
          <w:sz w:val="24"/>
          <w:szCs w:val="24"/>
          <w:color w:val="auto"/>
        </w:rPr>
      </w:pPr>
    </w:p>
    <w:p>
      <w:pPr>
        <w:ind w:left="2460"/>
        <w:spacing w:after="0"/>
        <w:tabs>
          <w:tab w:leader="none" w:pos="800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84-1905538</w:t>
      </w:r>
    </w:p>
    <w:p>
      <w:pPr>
        <w:spacing w:after="0" w:line="55" w:lineRule="exact"/>
        <w:rPr>
          <w:sz w:val="24"/>
          <w:szCs w:val="24"/>
          <w:color w:val="auto"/>
        </w:rPr>
      </w:pPr>
    </w:p>
    <w:p>
      <w:pPr>
        <w:ind w:left="760"/>
        <w:spacing w:after="0"/>
        <w:tabs>
          <w:tab w:leader="none" w:pos="7160" w:val="left"/>
        </w:tabs>
        <w:rPr>
          <w:sz w:val="20"/>
          <w:szCs w:val="20"/>
          <w:color w:val="auto"/>
        </w:rPr>
      </w:pPr>
      <w:r>
        <w:rPr>
          <w:rFonts w:ascii="Arial" w:cs="Arial" w:eastAsia="Arial" w:hAnsi="Arial"/>
          <w:sz w:val="17"/>
          <w:szCs w:val="17"/>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ectPr>
          <w:pgSz w:w="11900" w:h="16838" w:orient="portrait"/>
          <w:cols w:equalWidth="0" w:num="1">
            <w:col w:w="11260"/>
          </w:cols>
          <w:pgMar w:left="320" w:top="230" w:right="319" w:bottom="1440" w:gutter="0" w:footer="0" w:header="0"/>
        </w:sectPr>
      </w:pPr>
    </w:p>
    <w:p>
      <w:pPr>
        <w:spacing w:after="0" w:line="95" w:lineRule="exact"/>
        <w:rPr>
          <w:sz w:val="24"/>
          <w:szCs w:val="24"/>
          <w:color w:val="auto"/>
        </w:rPr>
      </w:pPr>
    </w:p>
    <w:p>
      <w:pPr>
        <w:ind w:left="2100"/>
        <w:spacing w:after="0"/>
        <w:rPr>
          <w:sz w:val="20"/>
          <w:szCs w:val="20"/>
          <w:color w:val="auto"/>
        </w:rPr>
      </w:pPr>
      <w:r>
        <w:rPr>
          <w:rFonts w:ascii="Arial" w:cs="Arial" w:eastAsia="Arial" w:hAnsi="Arial"/>
          <w:sz w:val="17"/>
          <w:szCs w:val="17"/>
          <w:b w:val="1"/>
          <w:bCs w:val="1"/>
          <w:color w:val="auto"/>
        </w:rPr>
        <w:t>3901 N. First Street</w:t>
      </w:r>
    </w:p>
    <w:p>
      <w:pPr>
        <w:spacing w:after="0" w:line="18" w:lineRule="exact"/>
        <w:rPr>
          <w:sz w:val="24"/>
          <w:szCs w:val="24"/>
          <w:color w:val="auto"/>
        </w:rPr>
      </w:pPr>
    </w:p>
    <w:p>
      <w:pPr>
        <w:ind w:left="2080"/>
        <w:spacing w:after="0"/>
        <w:rPr>
          <w:sz w:val="20"/>
          <w:szCs w:val="20"/>
          <w:color w:val="auto"/>
        </w:rPr>
      </w:pPr>
      <w:r>
        <w:rPr>
          <w:rFonts w:ascii="Arial" w:cs="Arial" w:eastAsia="Arial" w:hAnsi="Arial"/>
          <w:sz w:val="17"/>
          <w:szCs w:val="17"/>
          <w:b w:val="1"/>
          <w:bCs w:val="1"/>
          <w:color w:val="auto"/>
        </w:rPr>
        <w:t>San Jose, California</w:t>
      </w:r>
    </w:p>
    <w:p>
      <w:pPr>
        <w:spacing w:after="0" w:line="48"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(Address of Principal Executive Offices)</w:t>
      </w:r>
    </w:p>
    <w:p>
      <w:pPr>
        <w:spacing w:after="0" w:line="301" w:lineRule="exact"/>
        <w:rPr>
          <w:sz w:val="24"/>
          <w:szCs w:val="24"/>
          <w:color w:val="auto"/>
        </w:rPr>
      </w:pPr>
    </w:p>
    <w:p>
      <w:pPr>
        <w:jc w:val="center"/>
        <w:ind w:left="3880"/>
        <w:spacing w:after="0"/>
        <w:rPr>
          <w:sz w:val="20"/>
          <w:szCs w:val="20"/>
          <w:color w:val="auto"/>
        </w:rPr>
      </w:pPr>
      <w:r>
        <w:rPr>
          <w:rFonts w:ascii="Arial" w:cs="Arial" w:eastAsia="Arial" w:hAnsi="Arial"/>
          <w:sz w:val="17"/>
          <w:szCs w:val="17"/>
          <w:b w:val="1"/>
          <w:bCs w:val="1"/>
          <w:color w:val="auto"/>
        </w:rPr>
        <w:t>(650) 564-7820</w:t>
      </w:r>
    </w:p>
    <w:p>
      <w:pPr>
        <w:spacing w:after="0" w:line="30" w:lineRule="exact"/>
        <w:rPr>
          <w:sz w:val="24"/>
          <w:szCs w:val="24"/>
          <w:color w:val="auto"/>
        </w:rPr>
      </w:pPr>
    </w:p>
    <w:p>
      <w:pPr>
        <w:jc w:val="center"/>
        <w:ind w:left="3880"/>
        <w:spacing w:after="0"/>
        <w:rPr>
          <w:sz w:val="20"/>
          <w:szCs w:val="20"/>
          <w:color w:val="auto"/>
        </w:rPr>
      </w:pPr>
      <w:r>
        <w:rPr>
          <w:rFonts w:ascii="Arial" w:cs="Arial" w:eastAsia="Arial" w:hAnsi="Arial"/>
          <w:sz w:val="15"/>
          <w:szCs w:val="15"/>
          <w:color w:val="auto"/>
        </w:rPr>
        <w:t>Registrant's telephone number, including area code</w:t>
      </w: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440"/>
        <w:spacing w:after="0"/>
        <w:rPr>
          <w:sz w:val="20"/>
          <w:szCs w:val="20"/>
          <w:color w:val="auto"/>
        </w:rPr>
      </w:pPr>
      <w:r>
        <w:rPr>
          <w:rFonts w:ascii="Arial" w:cs="Arial" w:eastAsia="Arial" w:hAnsi="Arial"/>
          <w:sz w:val="17"/>
          <w:szCs w:val="17"/>
          <w:b w:val="1"/>
          <w:bCs w:val="1"/>
          <w:color w:val="auto"/>
        </w:rPr>
        <w:t>95134</w:t>
      </w:r>
    </w:p>
    <w:p>
      <w:pPr>
        <w:spacing w:after="0" w:line="159"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1345" w:lineRule="exact"/>
        <w:rPr>
          <w:sz w:val="24"/>
          <w:szCs w:val="24"/>
          <w:color w:val="auto"/>
        </w:rPr>
      </w:pPr>
    </w:p>
    <w:p>
      <w:pPr>
        <w:sectPr>
          <w:pgSz w:w="11900" w:h="16838" w:orient="portrait"/>
          <w:cols w:equalWidth="0" w:num="2">
            <w:col w:w="7380" w:space="680"/>
            <w:col w:w="3200"/>
          </w:cols>
          <w:pgMar w:left="320" w:top="230" w:right="319" w:bottom="1440" w:gutter="0" w:footer="0" w:header="0"/>
          <w:type w:val="continuous"/>
        </w:sectPr>
      </w:pP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The Nasdaq Capital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The Nasdaq Capital Market LLC</w:t>
            </w:r>
          </w:p>
        </w:tc>
      </w:tr>
    </w:tbl>
    <w:p>
      <w:pPr>
        <w:spacing w:after="0" w:line="181"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2"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o</w:t>
      </w:r>
    </w:p>
    <w:p>
      <w:pPr>
        <w:spacing w:after="0" w:line="72"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42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060" w:type="dxa"/>
            <w:vAlign w:val="bottom"/>
          </w:tcPr>
          <w:p>
            <w:pPr>
              <w:ind w:left="860"/>
              <w:spacing w:after="0"/>
              <w:rPr>
                <w:sz w:val="20"/>
                <w:szCs w:val="20"/>
                <w:color w:val="auto"/>
              </w:rPr>
            </w:pPr>
            <w:r>
              <w:rPr>
                <w:rFonts w:ascii="Arial" w:cs="Arial" w:eastAsia="Arial" w:hAnsi="Arial"/>
                <w:sz w:val="17"/>
                <w:szCs w:val="17"/>
                <w:color w:val="auto"/>
              </w:rPr>
              <w:t>o</w:t>
            </w:r>
          </w:p>
        </w:tc>
        <w:tc>
          <w:tcPr>
            <w:tcW w:w="3740" w:type="dxa"/>
            <w:vAlign w:val="bottom"/>
          </w:tcPr>
          <w:p>
            <w:pPr>
              <w:ind w:left="1180"/>
              <w:spacing w:after="0"/>
              <w:rPr>
                <w:sz w:val="20"/>
                <w:szCs w:val="20"/>
                <w:color w:val="auto"/>
              </w:rPr>
            </w:pPr>
            <w:r>
              <w:rPr>
                <w:rFonts w:ascii="Arial" w:cs="Arial" w:eastAsia="Arial" w:hAnsi="Arial"/>
                <w:sz w:val="17"/>
                <w:szCs w:val="17"/>
                <w:color w:val="auto"/>
              </w:rPr>
              <w:t>Accelerated filer</w:t>
            </w:r>
          </w:p>
        </w:tc>
        <w:tc>
          <w:tcPr>
            <w:tcW w:w="3020" w:type="dxa"/>
            <w:vAlign w:val="bottom"/>
          </w:tcPr>
          <w:p>
            <w:pPr>
              <w:ind w:left="660"/>
              <w:spacing w:after="0"/>
              <w:rPr>
                <w:sz w:val="20"/>
                <w:szCs w:val="20"/>
                <w:color w:val="auto"/>
              </w:rPr>
            </w:pPr>
            <w:r>
              <w:rPr>
                <w:rFonts w:ascii="Arial" w:cs="Arial" w:eastAsia="Arial" w:hAnsi="Arial"/>
                <w:sz w:val="17"/>
                <w:szCs w:val="17"/>
                <w:color w:val="auto"/>
              </w:rPr>
              <w:t>o</w:t>
            </w:r>
          </w:p>
        </w:tc>
      </w:tr>
      <w:tr>
        <w:trPr>
          <w:trHeight w:val="245"/>
        </w:trPr>
        <w:tc>
          <w:tcPr>
            <w:tcW w:w="242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060" w:type="dxa"/>
            <w:vAlign w:val="bottom"/>
          </w:tcPr>
          <w:p>
            <w:pPr>
              <w:ind w:left="860"/>
              <w:spacing w:after="0"/>
              <w:rPr>
                <w:sz w:val="20"/>
                <w:szCs w:val="20"/>
                <w:color w:val="auto"/>
              </w:rPr>
            </w:pPr>
            <w:r>
              <w:rPr>
                <w:rFonts w:ascii="Arial" w:cs="Arial" w:eastAsia="Arial" w:hAnsi="Arial"/>
                <w:sz w:val="17"/>
                <w:szCs w:val="17"/>
                <w:color w:val="auto"/>
              </w:rPr>
              <w:t>x</w:t>
            </w:r>
          </w:p>
        </w:tc>
        <w:tc>
          <w:tcPr>
            <w:tcW w:w="3740" w:type="dxa"/>
            <w:vAlign w:val="bottom"/>
          </w:tcPr>
          <w:p>
            <w:pPr>
              <w:ind w:left="1180"/>
              <w:spacing w:after="0"/>
              <w:rPr>
                <w:sz w:val="20"/>
                <w:szCs w:val="20"/>
                <w:color w:val="auto"/>
              </w:rPr>
            </w:pPr>
            <w:r>
              <w:rPr>
                <w:rFonts w:ascii="Arial" w:cs="Arial" w:eastAsia="Arial" w:hAnsi="Arial"/>
                <w:sz w:val="17"/>
                <w:szCs w:val="17"/>
                <w:color w:val="auto"/>
              </w:rPr>
              <w:t>Smaller reporting company</w:t>
            </w:r>
          </w:p>
        </w:tc>
        <w:tc>
          <w:tcPr>
            <w:tcW w:w="3020" w:type="dxa"/>
            <w:vAlign w:val="bottom"/>
          </w:tcPr>
          <w:p>
            <w:pPr>
              <w:ind w:left="660"/>
              <w:spacing w:after="0"/>
              <w:rPr>
                <w:sz w:val="20"/>
                <w:szCs w:val="20"/>
                <w:color w:val="auto"/>
              </w:rPr>
            </w:pPr>
            <w:r>
              <w:rPr>
                <w:rFonts w:ascii="Arial" w:cs="Arial" w:eastAsia="Arial" w:hAnsi="Arial"/>
                <w:sz w:val="17"/>
                <w:szCs w:val="17"/>
                <w:color w:val="auto"/>
              </w:rPr>
              <w:t>x</w:t>
            </w:r>
          </w:p>
        </w:tc>
      </w:tr>
      <w:tr>
        <w:trPr>
          <w:trHeight w:val="245"/>
        </w:trPr>
        <w:tc>
          <w:tcPr>
            <w:tcW w:w="2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740" w:type="dxa"/>
            <w:vAlign w:val="bottom"/>
          </w:tcPr>
          <w:p>
            <w:pPr>
              <w:ind w:left="1180"/>
              <w:spacing w:after="0"/>
              <w:rPr>
                <w:sz w:val="20"/>
                <w:szCs w:val="20"/>
                <w:color w:val="auto"/>
              </w:rPr>
            </w:pPr>
            <w:r>
              <w:rPr>
                <w:rFonts w:ascii="Arial" w:cs="Arial" w:eastAsia="Arial" w:hAnsi="Arial"/>
                <w:sz w:val="17"/>
                <w:szCs w:val="17"/>
                <w:color w:val="auto"/>
              </w:rPr>
              <w:t>Emerging growth company</w:t>
            </w:r>
          </w:p>
        </w:tc>
        <w:tc>
          <w:tcPr>
            <w:tcW w:w="3020" w:type="dxa"/>
            <w:vAlign w:val="bottom"/>
          </w:tcPr>
          <w:p>
            <w:pPr>
              <w:ind w:left="660"/>
              <w:spacing w:after="0"/>
              <w:rPr>
                <w:sz w:val="20"/>
                <w:szCs w:val="20"/>
                <w:color w:val="auto"/>
              </w:rPr>
            </w:pPr>
            <w:r>
              <w:rPr>
                <w:rFonts w:ascii="Arial" w:cs="Arial" w:eastAsia="Arial" w:hAnsi="Arial"/>
                <w:sz w:val="17"/>
                <w:szCs w:val="17"/>
                <w:color w:val="auto"/>
              </w:rPr>
              <w:t>x</w:t>
            </w:r>
          </w:p>
        </w:tc>
      </w:tr>
      <w:tr>
        <w:trPr>
          <w:trHeight w:val="709"/>
        </w:trPr>
        <w:tc>
          <w:tcPr>
            <w:tcW w:w="2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40" w:type="dxa"/>
            <w:vAlign w:val="bottom"/>
          </w:tcPr>
          <w:p>
            <w:pPr>
              <w:jc w:val="right"/>
              <w:ind w:right="2474"/>
              <w:spacing w:after="0"/>
              <w:rPr>
                <w:sz w:val="20"/>
                <w:szCs w:val="20"/>
                <w:color w:val="auto"/>
              </w:rPr>
            </w:pPr>
            <w:r>
              <w:rPr>
                <w:rFonts w:ascii="Arial" w:cs="Arial" w:eastAsia="Arial" w:hAnsi="Arial"/>
                <w:sz w:val="17"/>
                <w:szCs w:val="17"/>
                <w:color w:val="auto"/>
              </w:rPr>
              <w:t>1</w:t>
            </w:r>
          </w:p>
        </w:tc>
        <w:tc>
          <w:tcPr>
            <w:tcW w:w="3020" w:type="dxa"/>
            <w:vAlign w:val="bottom"/>
          </w:tcPr>
          <w:p>
            <w:pPr>
              <w:spacing w:after="0"/>
              <w:rPr>
                <w:sz w:val="24"/>
                <w:szCs w:val="24"/>
                <w:color w:val="auto"/>
              </w:rPr>
            </w:pPr>
          </w:p>
        </w:tc>
      </w:tr>
      <w:tr>
        <w:trPr>
          <w:trHeight w:val="110"/>
        </w:trPr>
        <w:tc>
          <w:tcPr>
            <w:tcW w:w="24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o  No x</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had outstanding 83,276,728 shares of common stock as of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Arial" w:cs="Arial" w:eastAsia="Arial" w:hAnsi="Arial"/>
                <w:sz w:val="17"/>
                <w:szCs w:val="17"/>
                <w:color w:val="3051F2"/>
              </w:rPr>
              <w:t>Tables of Contents</w:t>
            </w:r>
          </w:p>
        </w:tc>
        <w:tc>
          <w:tcPr>
            <w:tcW w:w="920" w:type="dxa"/>
            <w:vAlign w:val="bottom"/>
          </w:tcPr>
          <w:p>
            <w:pPr>
              <w:spacing w:after="0"/>
              <w:rPr>
                <w:sz w:val="16"/>
                <w:szCs w:val="16"/>
                <w:color w:val="auto"/>
              </w:rPr>
            </w:pPr>
          </w:p>
        </w:tc>
      </w:tr>
      <w:tr>
        <w:trPr>
          <w:trHeight w:val="636"/>
        </w:trPr>
        <w:tc>
          <w:tcPr>
            <w:tcW w:w="1280" w:type="dxa"/>
            <w:vAlign w:val="bottom"/>
            <w:tcBorders>
              <w:top w:val="single" w:sz="8" w:color="3051F2"/>
            </w:tcBorders>
          </w:tcPr>
          <w:p>
            <w:pPr>
              <w:spacing w:after="0"/>
              <w:rPr>
                <w:sz w:val="24"/>
                <w:szCs w:val="24"/>
                <w:color w:val="auto"/>
              </w:rPr>
            </w:pPr>
          </w:p>
        </w:tc>
        <w:tc>
          <w:tcPr>
            <w:tcW w:w="9040" w:type="dxa"/>
            <w:vAlign w:val="bottom"/>
          </w:tcPr>
          <w:p>
            <w:pPr>
              <w:ind w:left="3420"/>
              <w:spacing w:after="0"/>
              <w:rPr>
                <w:sz w:val="20"/>
                <w:szCs w:val="20"/>
                <w:color w:val="auto"/>
              </w:rPr>
            </w:pPr>
            <w:r>
              <w:rPr>
                <w:rFonts w:ascii="Arial" w:cs="Arial" w:eastAsia="Arial" w:hAnsi="Arial"/>
                <w:sz w:val="17"/>
                <w:szCs w:val="17"/>
                <w:b w:val="1"/>
                <w:bCs w:val="1"/>
                <w:color w:val="auto"/>
              </w:rPr>
              <w:t>TABLE OF CONTENTS</w:t>
            </w:r>
          </w:p>
        </w:tc>
        <w:tc>
          <w:tcPr>
            <w:tcW w:w="920" w:type="dxa"/>
            <w:vAlign w:val="bottom"/>
          </w:tcPr>
          <w:p>
            <w:pPr>
              <w:spacing w:after="0"/>
              <w:rPr>
                <w:sz w:val="24"/>
                <w:szCs w:val="24"/>
                <w:color w:val="auto"/>
              </w:rPr>
            </w:pPr>
          </w:p>
        </w:tc>
      </w:tr>
      <w:tr>
        <w:trPr>
          <w:trHeight w:val="246"/>
        </w:trPr>
        <w:tc>
          <w:tcPr>
            <w:tcW w:w="1280" w:type="dxa"/>
            <w:vAlign w:val="bottom"/>
            <w:tcBorders>
              <w:bottom w:val="single" w:sz="8" w:color="CCEEFF"/>
            </w:tcBorders>
          </w:tcPr>
          <w:p>
            <w:pPr>
              <w:spacing w:after="0"/>
              <w:rPr>
                <w:sz w:val="21"/>
                <w:szCs w:val="21"/>
                <w:color w:val="auto"/>
              </w:rPr>
            </w:pPr>
          </w:p>
        </w:tc>
        <w:tc>
          <w:tcPr>
            <w:tcW w:w="90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Page</w:t>
            </w:r>
          </w:p>
        </w:tc>
      </w:tr>
      <w:tr>
        <w:trPr>
          <w:trHeight w:val="213"/>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 I - Financial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1. Unaudited Financial Statements</w:t>
            </w:r>
          </w:p>
        </w:tc>
        <w:tc>
          <w:tcPr>
            <w:tcW w:w="920" w:type="dxa"/>
            <w:vAlign w:val="bottom"/>
          </w:tcPr>
          <w:p>
            <w:pPr>
              <w:jc w:val="center"/>
              <w:spacing w:after="0"/>
              <w:rPr>
                <w:sz w:val="20"/>
                <w:szCs w:val="20"/>
                <w:color w:val="auto"/>
              </w:rPr>
            </w:pPr>
            <w:r>
              <w:rPr>
                <w:rFonts w:ascii="Arial" w:cs="Arial" w:eastAsia="Arial" w:hAnsi="Arial"/>
                <w:sz w:val="17"/>
                <w:szCs w:val="17"/>
                <w:color w:val="auto"/>
              </w:rPr>
              <w:t>5</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Condensed Consolidated Balance Sheets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r>
      <w:tr>
        <w:trPr>
          <w:trHeight w:val="218"/>
        </w:trPr>
        <w:tc>
          <w:tcPr>
            <w:tcW w:w="10320" w:type="dxa"/>
            <w:vAlign w:val="bottom"/>
            <w:gridSpan w:val="2"/>
          </w:tcPr>
          <w:p>
            <w:pPr>
              <w:ind w:left="320"/>
              <w:spacing w:after="0"/>
              <w:rPr>
                <w:sz w:val="20"/>
                <w:szCs w:val="20"/>
                <w:color w:val="auto"/>
              </w:rPr>
            </w:pPr>
            <w:r>
              <w:rPr>
                <w:rFonts w:ascii="Arial" w:cs="Arial" w:eastAsia="Arial" w:hAnsi="Arial"/>
                <w:sz w:val="17"/>
                <w:szCs w:val="17"/>
                <w:color w:val="auto"/>
              </w:rPr>
              <w:t>Condensed Consolidated Statements of Operations</w:t>
            </w:r>
          </w:p>
        </w:tc>
        <w:tc>
          <w:tcPr>
            <w:tcW w:w="920" w:type="dxa"/>
            <w:vAlign w:val="bottom"/>
          </w:tcPr>
          <w:p>
            <w:pPr>
              <w:jc w:val="center"/>
              <w:spacing w:after="0"/>
              <w:rPr>
                <w:sz w:val="20"/>
                <w:szCs w:val="20"/>
                <w:color w:val="auto"/>
              </w:rPr>
            </w:pPr>
            <w:r>
              <w:rPr>
                <w:rFonts w:ascii="Arial" w:cs="Arial" w:eastAsia="Arial" w:hAnsi="Arial"/>
                <w:sz w:val="17"/>
                <w:szCs w:val="17"/>
                <w:color w:val="auto"/>
              </w:rPr>
              <w:t>6</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Condensed Consolidated Statements of Stockholders’ Equity (Deficit)</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w:t>
            </w:r>
          </w:p>
        </w:tc>
      </w:tr>
      <w:tr>
        <w:trPr>
          <w:trHeight w:val="218"/>
        </w:trPr>
        <w:tc>
          <w:tcPr>
            <w:tcW w:w="10320" w:type="dxa"/>
            <w:vAlign w:val="bottom"/>
            <w:gridSpan w:val="2"/>
          </w:tcPr>
          <w:p>
            <w:pPr>
              <w:ind w:left="320"/>
              <w:spacing w:after="0"/>
              <w:rPr>
                <w:sz w:val="20"/>
                <w:szCs w:val="20"/>
                <w:color w:val="auto"/>
              </w:rPr>
            </w:pPr>
            <w:r>
              <w:rPr>
                <w:rFonts w:ascii="Arial" w:cs="Arial" w:eastAsia="Arial" w:hAnsi="Arial"/>
                <w:sz w:val="17"/>
                <w:szCs w:val="17"/>
                <w:color w:val="auto"/>
              </w:rPr>
              <w:t>Condensed Consolidated Statements of Cash Flows</w:t>
            </w:r>
          </w:p>
        </w:tc>
        <w:tc>
          <w:tcPr>
            <w:tcW w:w="920" w:type="dxa"/>
            <w:vAlign w:val="bottom"/>
          </w:tcPr>
          <w:p>
            <w:pPr>
              <w:jc w:val="center"/>
              <w:spacing w:after="0"/>
              <w:rPr>
                <w:sz w:val="20"/>
                <w:szCs w:val="20"/>
                <w:color w:val="auto"/>
              </w:rPr>
            </w:pPr>
            <w:r>
              <w:rPr>
                <w:rFonts w:ascii="Arial" w:cs="Arial" w:eastAsia="Arial" w:hAnsi="Arial"/>
                <w:sz w:val="17"/>
                <w:szCs w:val="17"/>
                <w:color w:val="auto"/>
              </w:rPr>
              <w:t>8</w:t>
            </w:r>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Notes to the Condensed Consolidated Financial Statements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36</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3.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56</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4. Controls and Procedures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56</w:t>
            </w:r>
          </w:p>
        </w:tc>
      </w:tr>
      <w:tr>
        <w:trPr>
          <w:trHeight w:val="220"/>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Part II - Other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1. Legal Proceedings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57</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1A. Risk Factors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2. Unregistered Sales of Equity Securities and Use of Proceeds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60</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3. Defaults Upon Senior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4. Mine Safety Disclosures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60</w:t>
            </w:r>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5. Other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r>
      <w:tr>
        <w:trPr>
          <w:trHeight w:val="218"/>
        </w:trPr>
        <w:tc>
          <w:tcPr>
            <w:tcW w:w="10320" w:type="dxa"/>
            <w:vAlign w:val="bottom"/>
            <w:gridSpan w:val="2"/>
          </w:tcPr>
          <w:p>
            <w:pPr>
              <w:ind w:left="220"/>
              <w:spacing w:after="0"/>
              <w:rPr>
                <w:sz w:val="20"/>
                <w:szCs w:val="20"/>
                <w:color w:val="auto"/>
              </w:rPr>
            </w:pPr>
            <w:r>
              <w:rPr>
                <w:rFonts w:ascii="Arial" w:cs="Arial" w:eastAsia="Arial" w:hAnsi="Arial"/>
                <w:sz w:val="17"/>
                <w:szCs w:val="17"/>
                <w:color w:val="auto"/>
              </w:rPr>
              <w:t>Item 6. Exhibits</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60</w:t>
            </w:r>
          </w:p>
        </w:tc>
      </w:tr>
      <w:tr>
        <w:trPr>
          <w:trHeight w:val="220"/>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Signatures</w:t>
            </w:r>
          </w:p>
        </w:tc>
        <w:tc>
          <w:tcPr>
            <w:tcW w:w="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effects of the COVID-19 pandemic on the Company’s business; the Company’s ability to comply with the terms of its National Security Agreement (the “NSA”) and any related compliance measures instituted by the director who was approved by the Committee on Foreign Investment in the United States (“CFIUS”) Monitoring Agencies (the “Security Director”); the possibility that the Company may be adversely affected by other economic, business, and/or competitive factors; and/or other risks and uncertainties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36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described under Part II, Item 1A: "</w:t>
      </w:r>
      <w:r>
        <w:rPr>
          <w:rFonts w:ascii="Arial" w:cs="Arial" w:eastAsia="Arial" w:hAnsi="Arial"/>
          <w:sz w:val="15"/>
          <w:szCs w:val="15"/>
          <w:i w:val="1"/>
          <w:iCs w:val="1"/>
          <w:color w:val="auto"/>
        </w:rPr>
        <w:t>Risk Factors</w:t>
      </w:r>
      <w:r>
        <w:rPr>
          <w:rFonts w:ascii="Arial" w:cs="Arial" w:eastAsia="Arial" w:hAnsi="Arial"/>
          <w:sz w:val="15"/>
          <w:szCs w:val="15"/>
          <w:color w:val="auto"/>
        </w:rPr>
        <w:t>," in this Form 10-Q and under Part I, Item 1A. in our Annual Report on Form 10-K filed with the SEC on March 9, 2022.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March 9, 2022, may not be exhaustive.</w:t>
      </w:r>
    </w:p>
    <w:p>
      <w:pPr>
        <w:spacing w:after="0" w:line="7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3"/>
              </w:rPr>
              <w:t>June 30,</w:t>
            </w:r>
          </w:p>
        </w:tc>
        <w:tc>
          <w:tcPr>
            <w:tcW w:w="240" w:type="dxa"/>
            <w:vAlign w:val="bottom"/>
          </w:tcPr>
          <w:p>
            <w:pPr>
              <w:spacing w:after="0"/>
              <w:rPr>
                <w:sz w:val="14"/>
                <w:szCs w:val="14"/>
                <w:color w:val="auto"/>
              </w:rPr>
            </w:pPr>
          </w:p>
        </w:tc>
        <w:tc>
          <w:tcPr>
            <w:tcW w:w="1440" w:type="dxa"/>
            <w:vAlign w:val="bottom"/>
          </w:tcPr>
          <w:p>
            <w:pPr>
              <w:jc w:val="right"/>
              <w:ind w:right="30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4"/>
        </w:trPr>
        <w:tc>
          <w:tcPr>
            <w:tcW w:w="7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b w:val="1"/>
                <w:bCs w:val="1"/>
                <w:color w:val="auto"/>
                <w:w w:val="95"/>
              </w:rPr>
              <w:t>2022</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99"/>
        </w:trPr>
        <w:tc>
          <w:tcPr>
            <w:tcW w:w="7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5"/>
                <w:szCs w:val="15"/>
                <w:i w:val="1"/>
                <w:iCs w:val="1"/>
                <w:color w:val="auto"/>
                <w:w w:val="94"/>
              </w:rPr>
              <w:t>(unaudited)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160,036</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Restricted cash, current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Prepaids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9,431</w:t>
            </w:r>
          </w:p>
        </w:tc>
        <w:tc>
          <w:tcPr>
            <w:tcW w:w="0" w:type="dxa"/>
            <w:vAlign w:val="bottom"/>
          </w:tcPr>
          <w:p>
            <w:pPr>
              <w:spacing w:after="0"/>
              <w:rPr>
                <w:sz w:val="1"/>
                <w:szCs w:val="1"/>
                <w:color w:val="auto"/>
              </w:rPr>
            </w:pPr>
          </w:p>
        </w:tc>
      </w:tr>
      <w:tr>
        <w:trPr>
          <w:trHeight w:val="196"/>
        </w:trPr>
        <w:tc>
          <w:tcPr>
            <w:tcW w:w="7800" w:type="dxa"/>
            <w:vAlign w:val="bottom"/>
          </w:tcPr>
          <w:p>
            <w:pPr>
              <w:ind w:left="320"/>
              <w:spacing w:after="0"/>
              <w:rPr>
                <w:sz w:val="20"/>
                <w:szCs w:val="20"/>
                <w:color w:val="auto"/>
              </w:rPr>
            </w:pPr>
            <w:r>
              <w:rPr>
                <w:rFonts w:ascii="Arial" w:cs="Arial" w:eastAsia="Arial" w:hAnsi="Arial"/>
                <w:sz w:val="15"/>
                <w:szCs w:val="15"/>
                <w:color w:val="auto"/>
              </w:rPr>
              <w:t>Total current assets</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117,574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169,664</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machinery and equipment, net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4,829</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Intangible assets, net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right of use asset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7,604</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Restricted cash, non-current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3,065</w:t>
            </w:r>
          </w:p>
        </w:tc>
        <w:tc>
          <w:tcPr>
            <w:tcW w:w="0" w:type="dxa"/>
            <w:vAlign w:val="bottom"/>
          </w:tcPr>
          <w:p>
            <w:pPr>
              <w:spacing w:after="0"/>
              <w:rPr>
                <w:sz w:val="1"/>
                <w:szCs w:val="1"/>
                <w:color w:val="auto"/>
              </w:rPr>
            </w:pPr>
          </w:p>
        </w:tc>
      </w:tr>
      <w:tr>
        <w:trPr>
          <w:trHeight w:val="202"/>
        </w:trPr>
        <w:tc>
          <w:tcPr>
            <w:tcW w:w="7800" w:type="dxa"/>
            <w:vAlign w:val="bottom"/>
          </w:tcPr>
          <w:p>
            <w:pPr>
              <w:ind w:left="48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133,774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185,825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1,911</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Accrued expenses</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7,031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9,785</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Loan payable, current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20,907</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Contract liabilities, current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lease liability, current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1,189</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Share repurchase liability</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5,075</w:t>
            </w:r>
          </w:p>
        </w:tc>
        <w:tc>
          <w:tcPr>
            <w:tcW w:w="0" w:type="dxa"/>
            <w:vAlign w:val="bottom"/>
          </w:tcPr>
          <w:p>
            <w:pPr>
              <w:spacing w:after="0"/>
              <w:rPr>
                <w:sz w:val="1"/>
                <w:szCs w:val="1"/>
                <w:color w:val="auto"/>
              </w:rPr>
            </w:pPr>
          </w:p>
        </w:tc>
      </w:tr>
      <w:tr>
        <w:trPr>
          <w:trHeight w:val="196"/>
        </w:trPr>
        <w:tc>
          <w:tcPr>
            <w:tcW w:w="7800" w:type="dxa"/>
            <w:vAlign w:val="bottom"/>
          </w:tcPr>
          <w:p>
            <w:pPr>
              <w:ind w:left="32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30,704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38,867</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Contract liabilities, non-current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1,554</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Loan Payable, non-current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8,544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Warrant liability</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5,749</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Operating lease liability, non-current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6,716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7,284</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non-current liabilities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20,865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15,070</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liabilities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53,937</w:t>
            </w:r>
          </w:p>
        </w:tc>
        <w:tc>
          <w:tcPr>
            <w:tcW w:w="0" w:type="dxa"/>
            <w:vAlign w:val="bottom"/>
          </w:tcPr>
          <w:p>
            <w:pPr>
              <w:spacing w:after="0"/>
              <w:rPr>
                <w:sz w:val="1"/>
                <w:szCs w:val="1"/>
                <w:color w:val="auto"/>
              </w:rPr>
            </w:pPr>
          </w:p>
        </w:tc>
      </w:tr>
      <w:tr>
        <w:trPr>
          <w:trHeight w:val="218"/>
        </w:trPr>
        <w:tc>
          <w:tcPr>
            <w:tcW w:w="7800" w:type="dxa"/>
            <w:vAlign w:val="bottom"/>
          </w:tcPr>
          <w:p>
            <w:pPr>
              <w:ind w:left="180"/>
              <w:spacing w:after="0"/>
              <w:rPr>
                <w:sz w:val="20"/>
                <w:szCs w:val="20"/>
                <w:color w:val="auto"/>
              </w:rPr>
            </w:pPr>
            <w:r>
              <w:rPr>
                <w:rFonts w:ascii="Arial" w:cs="Arial" w:eastAsia="Arial" w:hAnsi="Arial"/>
                <w:sz w:val="15"/>
                <w:szCs w:val="15"/>
                <w:color w:val="auto"/>
              </w:rPr>
              <w:t>Commitments and Contingencies (Note 12</w:t>
            </w: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00" w:type="dxa"/>
            <w:vAlign w:val="bottom"/>
          </w:tcPr>
          <w:p>
            <w:pPr>
              <w:ind w:left="180"/>
              <w:spacing w:after="0" w:line="160" w:lineRule="exact"/>
              <w:rPr>
                <w:sz w:val="20"/>
                <w:szCs w:val="20"/>
                <w:color w:val="auto"/>
              </w:rPr>
            </w:pPr>
            <w:r>
              <w:rPr>
                <w:rFonts w:ascii="Arial" w:cs="Arial" w:eastAsia="Arial" w:hAnsi="Arial"/>
                <w:sz w:val="15"/>
                <w:szCs w:val="15"/>
                <w:color w:val="auto"/>
                <w:w w:val="92"/>
              </w:rPr>
              <w:t>Common stock, $0.00001 par value; 250,000,000 shares authorized and 83,264,832 issued and outstanding as of June 30,</w:t>
            </w:r>
          </w:p>
        </w:tc>
        <w:tc>
          <w:tcPr>
            <w:tcW w:w="2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7800" w:type="dxa"/>
            <w:vAlign w:val="bottom"/>
          </w:tcPr>
          <w:p>
            <w:pPr>
              <w:ind w:left="180"/>
              <w:spacing w:after="0"/>
              <w:rPr>
                <w:sz w:val="20"/>
                <w:szCs w:val="20"/>
                <w:color w:val="auto"/>
              </w:rPr>
            </w:pPr>
            <w:r>
              <w:rPr>
                <w:rFonts w:ascii="Arial" w:cs="Arial" w:eastAsia="Arial" w:hAnsi="Arial"/>
                <w:sz w:val="15"/>
                <w:szCs w:val="15"/>
                <w:color w:val="auto"/>
              </w:rPr>
              <w:t>2022; 250,000,000 shares authorized and 81,211,781 issued and outstanding as of December 31, 2021</w:t>
            </w:r>
          </w:p>
        </w:tc>
        <w:tc>
          <w:tcPr>
            <w:tcW w:w="2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340,593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340,570</w:t>
            </w:r>
          </w:p>
        </w:tc>
        <w:tc>
          <w:tcPr>
            <w:tcW w:w="0" w:type="dxa"/>
            <w:vAlign w:val="bottom"/>
          </w:tcPr>
          <w:p>
            <w:pPr>
              <w:spacing w:after="0"/>
              <w:rPr>
                <w:sz w:val="1"/>
                <w:szCs w:val="1"/>
                <w:color w:val="auto"/>
              </w:rPr>
            </w:pPr>
          </w:p>
        </w:tc>
      </w:tr>
      <w:tr>
        <w:trPr>
          <w:trHeight w:val="203"/>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Accumulated deficit</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(258,389)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(208,683)</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82,205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131,888</w:t>
            </w:r>
          </w:p>
        </w:tc>
        <w:tc>
          <w:tcPr>
            <w:tcW w:w="0" w:type="dxa"/>
            <w:vAlign w:val="bottom"/>
          </w:tcPr>
          <w:p>
            <w:pPr>
              <w:spacing w:after="0"/>
              <w:rPr>
                <w:sz w:val="1"/>
                <w:szCs w:val="1"/>
                <w:color w:val="auto"/>
              </w:rPr>
            </w:pPr>
          </w:p>
        </w:tc>
      </w:tr>
      <w:tr>
        <w:trPr>
          <w:trHeight w:val="202"/>
        </w:trPr>
        <w:tc>
          <w:tcPr>
            <w:tcW w:w="7800" w:type="dxa"/>
            <w:vAlign w:val="bottom"/>
          </w:tcPr>
          <w:p>
            <w:pPr>
              <w:ind w:left="48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133,774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185,825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balance sheet as of December 31, 2021 has been derived from the audited financial statements as of that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820" w:type="dxa"/>
            <w:vAlign w:val="bottom"/>
            <w:gridSpan w:val="2"/>
          </w:tcPr>
          <w:p>
            <w:pPr>
              <w:spacing w:after="0"/>
              <w:rPr>
                <w:sz w:val="20"/>
                <w:szCs w:val="20"/>
                <w:color w:val="auto"/>
              </w:rPr>
            </w:pPr>
            <w:r>
              <w:rPr>
                <w:rFonts w:ascii="Arial" w:cs="Arial" w:eastAsia="Arial" w:hAnsi="Arial"/>
                <w:sz w:val="17"/>
                <w:szCs w:val="17"/>
                <w:color w:val="3051F2"/>
              </w:rPr>
              <w:t>Tables of Contents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5"/>
        </w:trPr>
        <w:tc>
          <w:tcPr>
            <w:tcW w:w="1280" w:type="dxa"/>
            <w:vAlign w:val="bottom"/>
            <w:tcBorders>
              <w:top w:val="single" w:sz="8" w:color="3051F2"/>
            </w:tcBorders>
          </w:tcPr>
          <w:p>
            <w:pPr>
              <w:spacing w:after="0"/>
              <w:rPr>
                <w:sz w:val="24"/>
                <w:szCs w:val="24"/>
                <w:color w:val="auto"/>
              </w:rPr>
            </w:pPr>
          </w:p>
        </w:tc>
        <w:tc>
          <w:tcPr>
            <w:tcW w:w="2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MOMENTUS INC.</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7140" w:type="dxa"/>
            <w:vAlign w:val="bottom"/>
            <w:gridSpan w:val="9"/>
          </w:tcPr>
          <w:p>
            <w:pPr>
              <w:jc w:val="center"/>
              <w:ind w:left="1474"/>
              <w:spacing w:after="0" w:line="194" w:lineRule="exact"/>
              <w:rPr>
                <w:sz w:val="20"/>
                <w:szCs w:val="20"/>
                <w:color w:val="auto"/>
              </w:rPr>
            </w:pPr>
            <w:r>
              <w:rPr>
                <w:rFonts w:ascii="Arial" w:cs="Arial" w:eastAsia="Arial" w:hAnsi="Arial"/>
                <w:sz w:val="17"/>
                <w:szCs w:val="17"/>
                <w:b w:val="1"/>
                <w:bCs w:val="1"/>
                <w:color w:val="auto"/>
                <w:w w:val="99"/>
              </w:rPr>
              <w:t>CONDENSED CONSOLIDATED STATEMENTS OF OPERATIONS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(UNAUDITED)</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120" w:type="dxa"/>
            <w:vAlign w:val="bottom"/>
            <w:gridSpan w:val="5"/>
          </w:tcPr>
          <w:p>
            <w:pPr>
              <w:jc w:val="center"/>
              <w:ind w:left="394"/>
              <w:spacing w:after="0"/>
              <w:rPr>
                <w:sz w:val="20"/>
                <w:szCs w:val="20"/>
                <w:color w:val="auto"/>
              </w:rPr>
            </w:pPr>
            <w:r>
              <w:rPr>
                <w:rFonts w:ascii="Arial" w:cs="Arial" w:eastAsia="Arial" w:hAnsi="Arial"/>
                <w:sz w:val="17"/>
                <w:szCs w:val="17"/>
                <w:i w:val="1"/>
                <w:iCs w:val="1"/>
                <w:color w:val="auto"/>
                <w:w w:val="90"/>
              </w:rPr>
              <w:t>(in thousands, except per share data)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5"/>
          </w:tcPr>
          <w:p>
            <w:pPr>
              <w:ind w:left="68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24"/>
                <w:szCs w:val="24"/>
                <w:color w:val="auto"/>
              </w:rPr>
            </w:pPr>
          </w:p>
        </w:tc>
        <w:tc>
          <w:tcPr>
            <w:tcW w:w="2820" w:type="dxa"/>
            <w:vAlign w:val="bottom"/>
            <w:gridSpan w:val="4"/>
          </w:tcPr>
          <w:p>
            <w:pPr>
              <w:jc w:val="right"/>
              <w:ind w:right="83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7"/>
                <w:szCs w:val="17"/>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8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revenue</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3"/>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Gross margin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Research and development expenses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30,700</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12,861</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27,714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23,744</w:t>
            </w:r>
          </w:p>
        </w:tc>
        <w:tc>
          <w:tcPr>
            <w:tcW w:w="0" w:type="dxa"/>
            <w:vAlign w:val="bottom"/>
          </w:tcPr>
          <w:p>
            <w:pPr>
              <w:spacing w:after="0"/>
              <w:rPr>
                <w:sz w:val="1"/>
                <w:szCs w:val="1"/>
                <w:color w:val="auto"/>
              </w:rPr>
            </w:pPr>
          </w:p>
        </w:tc>
      </w:tr>
      <w:tr>
        <w:trPr>
          <w:trHeight w:val="213"/>
        </w:trPr>
        <w:tc>
          <w:tcPr>
            <w:tcW w:w="38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Total operating expenses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23,757</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30,534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48,581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54,445</w:t>
            </w:r>
          </w:p>
        </w:tc>
        <w:tc>
          <w:tcPr>
            <w:tcW w:w="0" w:type="dxa"/>
            <w:vAlign w:val="bottom"/>
          </w:tcPr>
          <w:p>
            <w:pPr>
              <w:spacing w:after="0"/>
              <w:rPr>
                <w:sz w:val="1"/>
                <w:szCs w:val="1"/>
                <w:color w:val="auto"/>
              </w:rPr>
            </w:pPr>
          </w:p>
        </w:tc>
      </w:tr>
      <w:tr>
        <w:trPr>
          <w:trHeight w:val="211"/>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Loss from operations</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(23,719)</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(48,543)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(54,363)</w:t>
            </w:r>
          </w:p>
        </w:tc>
        <w:tc>
          <w:tcPr>
            <w:tcW w:w="0" w:type="dxa"/>
            <w:vAlign w:val="bottom"/>
          </w:tcPr>
          <w:p>
            <w:pPr>
              <w:spacing w:after="0"/>
              <w:rPr>
                <w:sz w:val="1"/>
                <w:szCs w:val="1"/>
                <w:color w:val="auto"/>
              </w:rPr>
            </w:pPr>
          </w:p>
        </w:tc>
      </w:tr>
      <w:tr>
        <w:trPr>
          <w:trHeight w:val="187"/>
        </w:trPr>
        <w:tc>
          <w:tcPr>
            <w:tcW w:w="12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Decrease in fair value of SAFE notes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182,367</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60"/>
              <w:spacing w:after="0"/>
              <w:rPr>
                <w:sz w:val="20"/>
                <w:szCs w:val="20"/>
                <w:color w:val="auto"/>
              </w:rPr>
            </w:pPr>
            <w:r>
              <w:rPr>
                <w:rFonts w:ascii="Arial" w:cs="Arial" w:eastAsia="Arial" w:hAnsi="Arial"/>
                <w:sz w:val="17"/>
                <w:szCs w:val="17"/>
                <w:color w:val="auto"/>
              </w:rPr>
              <w:t>Decrease in fair value of warrants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2,254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1,803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12,537</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Realized gain (loss) on disposal of asset</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60"/>
              <w:spacing w:after="0"/>
              <w:rPr>
                <w:sz w:val="20"/>
                <w:szCs w:val="20"/>
                <w:color w:val="auto"/>
              </w:rPr>
            </w:pPr>
            <w:r>
              <w:rPr>
                <w:rFonts w:ascii="Arial" w:cs="Arial" w:eastAsia="Arial" w:hAnsi="Arial"/>
                <w:sz w:val="17"/>
                <w:szCs w:val="17"/>
                <w:color w:val="auto"/>
              </w:rPr>
              <w:t>Interest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Interest expense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(4,357)</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60"/>
              <w:spacing w:after="0"/>
              <w:rPr>
                <w:sz w:val="20"/>
                <w:szCs w:val="20"/>
                <w:color w:val="auto"/>
              </w:rPr>
            </w:pPr>
            <w:r>
              <w:rPr>
                <w:rFonts w:ascii="Arial" w:cs="Arial" w:eastAsia="Arial" w:hAnsi="Arial"/>
                <w:sz w:val="17"/>
                <w:szCs w:val="17"/>
                <w:color w:val="auto"/>
              </w:rPr>
              <w:t>SEC settlement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(7,000)</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Other income (expense)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1"/>
        </w:trPr>
        <w:tc>
          <w:tcPr>
            <w:tcW w:w="382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Total other income (expense)</w:t>
            </w:r>
          </w:p>
        </w:tc>
        <w:tc>
          <w:tcPr>
            <w:tcW w:w="9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847</w:t>
            </w:r>
          </w:p>
        </w:tc>
        <w:tc>
          <w:tcPr>
            <w:tcW w:w="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94,861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(1,163)</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183,362</w:t>
            </w:r>
          </w:p>
        </w:tc>
        <w:tc>
          <w:tcPr>
            <w:tcW w:w="0" w:type="dxa"/>
            <w:vAlign w:val="bottom"/>
          </w:tcPr>
          <w:p>
            <w:pPr>
              <w:spacing w:after="0"/>
              <w:rPr>
                <w:sz w:val="1"/>
                <w:szCs w:val="1"/>
                <w:color w:val="auto"/>
              </w:rPr>
            </w:pPr>
          </w:p>
        </w:tc>
      </w:tr>
      <w:tr>
        <w:trPr>
          <w:trHeight w:val="21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(22,872)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128,999</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provision</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(22,872)</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64,327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(49,706)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128,998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Net (loss) income per share, basic</w:t>
            </w: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20" w:type="dxa"/>
            <w:vAlign w:val="bottom"/>
            <w:gridSpan w:val="2"/>
            <w:vMerge w:val="continue"/>
          </w:tcPr>
          <w:p>
            <w:pPr>
              <w:spacing w:after="0"/>
              <w:rPr>
                <w:sz w:val="16"/>
                <w:szCs w:val="16"/>
                <w:color w:val="auto"/>
              </w:rPr>
            </w:pPr>
          </w:p>
        </w:tc>
        <w:tc>
          <w:tcPr>
            <w:tcW w:w="1060" w:type="dxa"/>
            <w:vAlign w:val="bottom"/>
            <w:gridSpan w:val="2"/>
          </w:tcPr>
          <w:p>
            <w:pPr>
              <w:jc w:val="right"/>
              <w:ind w:right="40"/>
              <w:spacing w:after="0" w:line="191" w:lineRule="exact"/>
              <w:rPr>
                <w:sz w:val="20"/>
                <w:szCs w:val="20"/>
                <w:color w:val="auto"/>
              </w:rPr>
            </w:pPr>
            <w:r>
              <w:rPr>
                <w:rFonts w:ascii="Arial" w:cs="Arial" w:eastAsia="Arial" w:hAnsi="Arial"/>
                <w:sz w:val="17"/>
                <w:szCs w:val="17"/>
                <w:color w:val="auto"/>
              </w:rPr>
              <w:t>$</w:t>
            </w:r>
          </w:p>
        </w:tc>
        <w:tc>
          <w:tcPr>
            <w:tcW w:w="1420" w:type="dxa"/>
            <w:vAlign w:val="bottom"/>
          </w:tcPr>
          <w:p>
            <w:pPr>
              <w:jc w:val="right"/>
              <w:spacing w:after="0" w:line="191" w:lineRule="exact"/>
              <w:rPr>
                <w:sz w:val="20"/>
                <w:szCs w:val="20"/>
                <w:color w:val="auto"/>
              </w:rPr>
            </w:pPr>
            <w:r>
              <w:rPr>
                <w:rFonts w:ascii="Arial" w:cs="Arial" w:eastAsia="Arial" w:hAnsi="Arial"/>
                <w:sz w:val="17"/>
                <w:szCs w:val="17"/>
                <w:color w:val="auto"/>
              </w:rPr>
              <w:t>(0.28)</w:t>
            </w:r>
          </w:p>
        </w:tc>
        <w:tc>
          <w:tcPr>
            <w:tcW w:w="80" w:type="dxa"/>
            <w:vAlign w:val="bottom"/>
          </w:tcPr>
          <w:p>
            <w:pPr>
              <w:spacing w:after="0"/>
              <w:rPr>
                <w:sz w:val="16"/>
                <w:szCs w:val="16"/>
                <w:color w:val="auto"/>
              </w:rPr>
            </w:pPr>
          </w:p>
        </w:tc>
        <w:tc>
          <w:tcPr>
            <w:tcW w:w="560" w:type="dxa"/>
            <w:vAlign w:val="bottom"/>
          </w:tcPr>
          <w:p>
            <w:pPr>
              <w:jc w:val="right"/>
              <w:ind w:right="374"/>
              <w:spacing w:after="0" w:line="191"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91" w:lineRule="exact"/>
              <w:rPr>
                <w:sz w:val="20"/>
                <w:szCs w:val="20"/>
                <w:color w:val="auto"/>
              </w:rPr>
            </w:pPr>
            <w:r>
              <w:rPr>
                <w:rFonts w:ascii="Arial" w:cs="Arial" w:eastAsia="Arial" w:hAnsi="Arial"/>
                <w:sz w:val="17"/>
                <w:szCs w:val="17"/>
                <w:color w:val="auto"/>
              </w:rPr>
              <w:t>1.25</w:t>
            </w:r>
          </w:p>
        </w:tc>
        <w:tc>
          <w:tcPr>
            <w:tcW w:w="100" w:type="dxa"/>
            <w:vAlign w:val="bottom"/>
          </w:tcPr>
          <w:p>
            <w:pPr>
              <w:spacing w:after="0"/>
              <w:rPr>
                <w:sz w:val="16"/>
                <w:szCs w:val="16"/>
                <w:color w:val="auto"/>
              </w:rPr>
            </w:pPr>
          </w:p>
        </w:tc>
        <w:tc>
          <w:tcPr>
            <w:tcW w:w="380" w:type="dxa"/>
            <w:vAlign w:val="bottom"/>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1" w:lineRule="exact"/>
              <w:rPr>
                <w:sz w:val="20"/>
                <w:szCs w:val="20"/>
                <w:color w:val="auto"/>
              </w:rPr>
            </w:pPr>
            <w:r>
              <w:rPr>
                <w:rFonts w:ascii="Arial" w:cs="Arial" w:eastAsia="Arial" w:hAnsi="Arial"/>
                <w:sz w:val="17"/>
                <w:szCs w:val="17"/>
                <w:color w:val="auto"/>
              </w:rPr>
              <w:t>(0.62)</w:t>
            </w:r>
          </w:p>
        </w:tc>
        <w:tc>
          <w:tcPr>
            <w:tcW w:w="80" w:type="dxa"/>
            <w:vAlign w:val="bottom"/>
          </w:tcPr>
          <w:p>
            <w:pPr>
              <w:spacing w:after="0"/>
              <w:rPr>
                <w:sz w:val="16"/>
                <w:szCs w:val="16"/>
                <w:color w:val="auto"/>
              </w:rPr>
            </w:pPr>
          </w:p>
        </w:tc>
        <w:tc>
          <w:tcPr>
            <w:tcW w:w="440" w:type="dxa"/>
            <w:vAlign w:val="bottom"/>
          </w:tcPr>
          <w:p>
            <w:pPr>
              <w:jc w:val="right"/>
              <w:ind w:right="254"/>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91" w:lineRule="exact"/>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income per share, diluted</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Weighted average shares outstanding, basic</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81,319,533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51,474,305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80,642,670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54,620,299</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diluted</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81,319,533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69,653,223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80,642,670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72,847,925</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right"/>
        <w:ind w:right="2060"/>
        <w:spacing w:after="0"/>
        <w:rPr>
          <w:sz w:val="20"/>
          <w:szCs w:val="20"/>
          <w:color w:val="auto"/>
        </w:rPr>
      </w:pPr>
      <w:r>
        <w:rPr>
          <w:rFonts w:ascii="Arial" w:cs="Arial" w:eastAsia="Arial" w:hAnsi="Arial"/>
          <w:sz w:val="17"/>
          <w:szCs w:val="17"/>
          <w:b w:val="1"/>
          <w:bCs w:val="1"/>
          <w:color w:val="auto"/>
        </w:rPr>
        <w:t>CONDENSED CONSOLIDATED STATEMENTS OF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data)</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December 31, 2021</w:t>
      </w:r>
    </w:p>
    <w:p>
      <w:pPr>
        <w:spacing w:after="0" w:line="30" w:lineRule="exact"/>
        <w:rPr>
          <w:sz w:val="20"/>
          <w:szCs w:val="20"/>
          <w:color w:val="auto"/>
        </w:rPr>
      </w:pPr>
    </w:p>
    <w:p>
      <w:pPr>
        <w:ind w:left="320" w:right="120" w:hanging="154"/>
        <w:spacing w:after="0" w:line="234" w:lineRule="auto"/>
        <w:rPr>
          <w:sz w:val="20"/>
          <w:szCs w:val="20"/>
          <w:color w:val="auto"/>
        </w:rPr>
      </w:pPr>
      <w:r>
        <w:rPr>
          <w:rFonts w:ascii="Arial" w:cs="Arial" w:eastAsia="Arial" w:hAnsi="Arial"/>
          <w:sz w:val="12"/>
          <w:szCs w:val="12"/>
          <w:color w:val="auto"/>
        </w:rPr>
        <w:t>Issuance of common stock upon exercise of stock options</w:t>
      </w:r>
    </w:p>
    <w:p>
      <w:pPr>
        <w:spacing w:after="0" w:line="27" w:lineRule="exact"/>
        <w:rPr>
          <w:sz w:val="20"/>
          <w:szCs w:val="20"/>
          <w:color w:val="auto"/>
        </w:rPr>
      </w:pPr>
    </w:p>
    <w:p>
      <w:pPr>
        <w:ind w:left="320" w:right="160" w:hanging="154"/>
        <w:spacing w:after="0" w:line="234" w:lineRule="auto"/>
        <w:rPr>
          <w:sz w:val="20"/>
          <w:szCs w:val="20"/>
          <w:color w:val="auto"/>
        </w:rPr>
      </w:pPr>
      <w:r>
        <w:rPr>
          <w:rFonts w:ascii="Arial" w:cs="Arial" w:eastAsia="Arial" w:hAnsi="Arial"/>
          <w:sz w:val="12"/>
          <w:szCs w:val="12"/>
          <w:color w:val="auto"/>
        </w:rPr>
        <w:t>Issuance of common stock upon vesting of RSUs</w:t>
      </w:r>
    </w:p>
    <w:p>
      <w:pPr>
        <w:spacing w:after="0" w:line="27" w:lineRule="exact"/>
        <w:rPr>
          <w:sz w:val="20"/>
          <w:szCs w:val="20"/>
          <w:color w:val="auto"/>
        </w:rPr>
      </w:pPr>
    </w:p>
    <w:p>
      <w:pPr>
        <w:ind w:left="320" w:hanging="154"/>
        <w:spacing w:after="0" w:line="234" w:lineRule="auto"/>
        <w:rPr>
          <w:sz w:val="20"/>
          <w:szCs w:val="20"/>
          <w:color w:val="auto"/>
        </w:rPr>
      </w:pPr>
      <w:r>
        <w:rPr>
          <w:rFonts w:ascii="Arial" w:cs="Arial" w:eastAsia="Arial" w:hAnsi="Arial"/>
          <w:sz w:val="12"/>
          <w:szCs w:val="12"/>
          <w:color w:val="auto"/>
        </w:rPr>
        <w:t>Share repurchase related to Section 16 Officer tax coverage exchange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Stock-based compensation</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Share repurchase valuation adjustment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Shares issued upon exercise of warrant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March 31, 2022</w:t>
      </w:r>
    </w:p>
    <w:p>
      <w:pPr>
        <w:spacing w:after="0" w:line="30" w:lineRule="exact"/>
        <w:rPr>
          <w:sz w:val="20"/>
          <w:szCs w:val="20"/>
          <w:color w:val="auto"/>
        </w:rPr>
      </w:pPr>
    </w:p>
    <w:p>
      <w:pPr>
        <w:ind w:left="320" w:right="120" w:hanging="154"/>
        <w:spacing w:after="0" w:line="234" w:lineRule="auto"/>
        <w:rPr>
          <w:sz w:val="20"/>
          <w:szCs w:val="20"/>
          <w:color w:val="auto"/>
        </w:rPr>
      </w:pPr>
      <w:r>
        <w:rPr>
          <w:rFonts w:ascii="Arial" w:cs="Arial" w:eastAsia="Arial" w:hAnsi="Arial"/>
          <w:sz w:val="12"/>
          <w:szCs w:val="12"/>
          <w:color w:val="auto"/>
        </w:rPr>
        <w:t>Issuance of common stock upon exercise of stock options</w:t>
      </w:r>
    </w:p>
    <w:p>
      <w:pPr>
        <w:spacing w:after="0" w:line="27" w:lineRule="exact"/>
        <w:rPr>
          <w:sz w:val="20"/>
          <w:szCs w:val="20"/>
          <w:color w:val="auto"/>
        </w:rPr>
      </w:pPr>
    </w:p>
    <w:p>
      <w:pPr>
        <w:ind w:left="320" w:right="160" w:hanging="154"/>
        <w:spacing w:after="0" w:line="234" w:lineRule="auto"/>
        <w:rPr>
          <w:sz w:val="20"/>
          <w:szCs w:val="20"/>
          <w:color w:val="auto"/>
        </w:rPr>
      </w:pPr>
      <w:r>
        <w:rPr>
          <w:rFonts w:ascii="Arial" w:cs="Arial" w:eastAsia="Arial" w:hAnsi="Arial"/>
          <w:sz w:val="12"/>
          <w:szCs w:val="12"/>
          <w:color w:val="auto"/>
        </w:rPr>
        <w:t>Issuance of common stock upon vesting of RSUs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0"/>
          <w:szCs w:val="10"/>
          <w:color w:val="auto"/>
        </w:rPr>
        <w:t>Issuance of common stock purchase of ESPP</w:t>
      </w:r>
    </w:p>
    <w:p>
      <w:pPr>
        <w:spacing w:after="0" w:line="53" w:lineRule="exact"/>
        <w:rPr>
          <w:sz w:val="20"/>
          <w:szCs w:val="20"/>
          <w:color w:val="auto"/>
        </w:rPr>
      </w:pPr>
    </w:p>
    <w:p>
      <w:pPr>
        <w:ind w:left="320" w:hanging="154"/>
        <w:spacing w:after="0" w:line="234" w:lineRule="auto"/>
        <w:rPr>
          <w:sz w:val="20"/>
          <w:szCs w:val="20"/>
          <w:color w:val="auto"/>
        </w:rPr>
      </w:pPr>
      <w:r>
        <w:rPr>
          <w:rFonts w:ascii="Arial" w:cs="Arial" w:eastAsia="Arial" w:hAnsi="Arial"/>
          <w:sz w:val="12"/>
          <w:szCs w:val="12"/>
          <w:color w:val="auto"/>
        </w:rPr>
        <w:t>Share repurchase related to Section 16 Officer tax coverage exchange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Stock-based compensation</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Share repurchase valuation adjustment</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 June 30, 2022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b w:val="1"/>
          <w:bCs w:val="1"/>
          <w:color w:val="auto"/>
        </w:rPr>
        <w:t>Three and six months ended June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ind w:left="140"/>
              <w:spacing w:after="0" w:line="125" w:lineRule="exact"/>
              <w:rPr>
                <w:sz w:val="20"/>
                <w:szCs w:val="20"/>
                <w:color w:val="auto"/>
              </w:rPr>
            </w:pPr>
            <w:r>
              <w:rPr>
                <w:rFonts w:ascii="Arial" w:cs="Arial" w:eastAsia="Arial" w:hAnsi="Arial"/>
                <w:sz w:val="12"/>
                <w:szCs w:val="12"/>
                <w:b w:val="1"/>
                <w:bCs w:val="1"/>
                <w:color w:val="auto"/>
              </w:rPr>
              <w:t>Common stock –</w:t>
            </w:r>
          </w:p>
        </w:tc>
        <w:tc>
          <w:tcPr>
            <w:tcW w:w="1260" w:type="dxa"/>
            <w:vAlign w:val="bottom"/>
            <w:tcBorders>
              <w:top w:val="single" w:sz="8" w:color="auto"/>
            </w:tcBorders>
            <w:gridSpan w:val="5"/>
          </w:tcPr>
          <w:p>
            <w:pPr>
              <w:ind w:left="140"/>
              <w:spacing w:after="0" w:line="125" w:lineRule="exact"/>
              <w:rPr>
                <w:sz w:val="20"/>
                <w:szCs w:val="20"/>
                <w:color w:val="auto"/>
              </w:rPr>
            </w:pPr>
            <w:r>
              <w:rPr>
                <w:rFonts w:ascii="Arial" w:cs="Arial" w:eastAsia="Arial" w:hAnsi="Arial"/>
                <w:sz w:val="12"/>
                <w:szCs w:val="12"/>
                <w:b w:val="1"/>
                <w:bCs w:val="1"/>
                <w:color w:val="auto"/>
              </w:rPr>
              <w:t>Common stock –</w:t>
            </w:r>
          </w:p>
        </w:tc>
        <w:tc>
          <w:tcPr>
            <w:tcW w:w="1000" w:type="dxa"/>
            <w:vAlign w:val="bottom"/>
            <w:tcBorders>
              <w:top w:val="single" w:sz="8" w:color="auto"/>
            </w:tcBorders>
            <w:gridSpan w:val="3"/>
          </w:tcPr>
          <w:p>
            <w:pPr>
              <w:ind w:left="140"/>
              <w:spacing w:after="0" w:line="125" w:lineRule="exact"/>
              <w:rPr>
                <w:sz w:val="20"/>
                <w:szCs w:val="20"/>
                <w:color w:val="auto"/>
              </w:rPr>
            </w:pPr>
            <w:r>
              <w:rPr>
                <w:rFonts w:ascii="Arial" w:cs="Arial" w:eastAsia="Arial" w:hAnsi="Arial"/>
                <w:sz w:val="12"/>
                <w:szCs w:val="12"/>
                <w:b w:val="1"/>
                <w:bCs w:val="1"/>
                <w:color w:val="auto"/>
                <w:w w:val="86"/>
              </w:rPr>
              <w:t>Common stock –</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5"/>
              </w:rPr>
              <w:t>Additional</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9"/>
        </w:trPr>
        <w:tc>
          <w:tcPr>
            <w:tcW w:w="98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w w:val="88"/>
              </w:rPr>
              <w:t>Preferred stock</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FF Preferred stock</w:t>
            </w:r>
          </w:p>
        </w:tc>
        <w:tc>
          <w:tcPr>
            <w:tcW w:w="880" w:type="dxa"/>
            <w:vAlign w:val="bottom"/>
            <w:gridSpan w:val="3"/>
          </w:tcPr>
          <w:p>
            <w:pPr>
              <w:ind w:left="380"/>
              <w:spacing w:after="0" w:line="129" w:lineRule="exact"/>
              <w:rPr>
                <w:sz w:val="20"/>
                <w:szCs w:val="20"/>
                <w:color w:val="auto"/>
              </w:rPr>
            </w:pPr>
            <w:r>
              <w:rPr>
                <w:rFonts w:ascii="Arial" w:cs="Arial" w:eastAsia="Arial" w:hAnsi="Arial"/>
                <w:sz w:val="12"/>
                <w:szCs w:val="12"/>
                <w:b w:val="1"/>
                <w:bCs w:val="1"/>
                <w:color w:val="auto"/>
              </w:rPr>
              <w:t>Class A</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400"/>
              <w:spacing w:after="0" w:line="129" w:lineRule="exact"/>
              <w:rPr>
                <w:sz w:val="20"/>
                <w:szCs w:val="20"/>
                <w:color w:val="auto"/>
              </w:rPr>
            </w:pPr>
            <w:r>
              <w:rPr>
                <w:rFonts w:ascii="Arial" w:cs="Arial" w:eastAsia="Arial" w:hAnsi="Arial"/>
                <w:sz w:val="12"/>
                <w:szCs w:val="12"/>
                <w:b w:val="1"/>
                <w:bCs w:val="1"/>
                <w:color w:val="auto"/>
              </w:rPr>
              <w:t>Class B</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right"/>
              <w:ind w:right="160"/>
              <w:spacing w:after="0" w:line="129" w:lineRule="exact"/>
              <w:rPr>
                <w:sz w:val="20"/>
                <w:szCs w:val="20"/>
                <w:color w:val="auto"/>
              </w:rPr>
            </w:pPr>
            <w:r>
              <w:rPr>
                <w:rFonts w:ascii="Arial" w:cs="Arial" w:eastAsia="Arial" w:hAnsi="Arial"/>
                <w:sz w:val="12"/>
                <w:szCs w:val="12"/>
                <w:b w:val="1"/>
                <w:bCs w:val="1"/>
                <w:color w:val="auto"/>
              </w:rPr>
              <w:t>Class A</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jc w:val="center"/>
              <w:ind w:right="180"/>
              <w:spacing w:after="0" w:line="45" w:lineRule="exact"/>
              <w:rPr>
                <w:sz w:val="20"/>
                <w:szCs w:val="20"/>
                <w:color w:val="auto"/>
              </w:rPr>
            </w:pPr>
            <w:r>
              <w:rPr>
                <w:rFonts w:ascii="Arial" w:cs="Arial" w:eastAsia="Arial" w:hAnsi="Arial"/>
                <w:sz w:val="5"/>
                <w:szCs w:val="5"/>
                <w:b w:val="1"/>
                <w:bCs w:val="1"/>
                <w:color w:val="auto"/>
              </w:rPr>
              <w:t>paid in</w:t>
            </w:r>
          </w:p>
        </w:tc>
        <w:tc>
          <w:tcPr>
            <w:tcW w:w="860" w:type="dxa"/>
            <w:vAlign w:val="bottom"/>
            <w:gridSpan w:val="3"/>
          </w:tcPr>
          <w:p>
            <w:pPr>
              <w:ind w:left="40"/>
              <w:spacing w:after="0" w:line="45" w:lineRule="exact"/>
              <w:rPr>
                <w:sz w:val="20"/>
                <w:szCs w:val="20"/>
                <w:color w:val="auto"/>
              </w:rPr>
            </w:pPr>
            <w:r>
              <w:rPr>
                <w:rFonts w:ascii="Arial" w:cs="Arial" w:eastAsia="Arial" w:hAnsi="Arial"/>
                <w:sz w:val="5"/>
                <w:szCs w:val="5"/>
                <w:b w:val="1"/>
                <w:bCs w:val="1"/>
                <w:color w:val="auto"/>
              </w:rPr>
              <w:t>Accumulated</w:t>
            </w:r>
          </w:p>
        </w:tc>
        <w:tc>
          <w:tcPr>
            <w:tcW w:w="760" w:type="dxa"/>
            <w:vAlign w:val="bottom"/>
            <w:gridSpan w:val="2"/>
          </w:tcPr>
          <w:p>
            <w:pPr>
              <w:ind w:left="40"/>
              <w:spacing w:after="0" w:line="45"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66"/>
        </w:trPr>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4"/>
                <w:szCs w:val="14"/>
                <w:color w:val="auto"/>
              </w:rPr>
            </w:pPr>
          </w:p>
        </w:tc>
        <w:tc>
          <w:tcPr>
            <w:tcW w:w="620" w:type="dxa"/>
            <w:vAlign w:val="bottom"/>
          </w:tcPr>
          <w:p>
            <w:pPr>
              <w:jc w:val="right"/>
              <w:ind w:right="16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0"/>
        </w:trPr>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81,211,781</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340,570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(208,683)</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131,888</w:t>
            </w:r>
          </w:p>
        </w:tc>
        <w:tc>
          <w:tcPr>
            <w:tcW w:w="0" w:type="dxa"/>
            <w:vAlign w:val="bottom"/>
          </w:tcPr>
          <w:p>
            <w:pPr>
              <w:spacing w:after="0"/>
              <w:rPr>
                <w:sz w:val="1"/>
                <w:szCs w:val="1"/>
                <w:color w:val="auto"/>
              </w:rPr>
            </w:pPr>
          </w:p>
        </w:tc>
      </w:tr>
      <w:tr>
        <w:trPr>
          <w:trHeight w:val="204"/>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170,751</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113,710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(18,673)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232"/>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2,212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2,212</w:t>
            </w:r>
          </w:p>
        </w:tc>
        <w:tc>
          <w:tcPr>
            <w:tcW w:w="0" w:type="dxa"/>
            <w:vAlign w:val="bottom"/>
          </w:tcPr>
          <w:p>
            <w:pPr>
              <w:spacing w:after="0"/>
              <w:rPr>
                <w:sz w:val="1"/>
                <w:szCs w:val="1"/>
                <w:color w:val="auto"/>
              </w:rPr>
            </w:pPr>
          </w:p>
        </w:tc>
      </w:tr>
      <w:tr>
        <w:trPr>
          <w:trHeight w:val="168"/>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68"/>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278,146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(26,834)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(26,834)</w:t>
            </w:r>
          </w:p>
        </w:tc>
        <w:tc>
          <w:tcPr>
            <w:tcW w:w="0" w:type="dxa"/>
            <w:vAlign w:val="bottom"/>
          </w:tcPr>
          <w:p>
            <w:pPr>
              <w:spacing w:after="0"/>
              <w:rPr>
                <w:sz w:val="1"/>
                <w:szCs w:val="1"/>
                <w:color w:val="auto"/>
              </w:rPr>
            </w:pPr>
          </w:p>
        </w:tc>
      </w:tr>
      <w:tr>
        <w:trPr>
          <w:trHeight w:val="160"/>
        </w:trPr>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81,755,715</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336,771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(235,517)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101,255</w:t>
            </w:r>
          </w:p>
        </w:tc>
        <w:tc>
          <w:tcPr>
            <w:tcW w:w="0" w:type="dxa"/>
            <w:vAlign w:val="bottom"/>
          </w:tcPr>
          <w:p>
            <w:pPr>
              <w:spacing w:after="0"/>
              <w:rPr>
                <w:sz w:val="1"/>
                <w:szCs w:val="1"/>
                <w:color w:val="auto"/>
              </w:rPr>
            </w:pPr>
          </w:p>
        </w:tc>
      </w:tr>
      <w:tr>
        <w:trPr>
          <w:trHeight w:val="204"/>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7"/>
                <w:szCs w:val="17"/>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7"/>
                <w:szCs w:val="17"/>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7"/>
              </w:rPr>
              <w:t>1,294,668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297"/>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149,953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2"/>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77,162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232"/>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(12,666)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32"/>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3,105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3,105</w:t>
            </w:r>
          </w:p>
        </w:tc>
        <w:tc>
          <w:tcPr>
            <w:tcW w:w="0" w:type="dxa"/>
            <w:vAlign w:val="bottom"/>
          </w:tcPr>
          <w:p>
            <w:pPr>
              <w:spacing w:after="0"/>
              <w:rPr>
                <w:sz w:val="1"/>
                <w:szCs w:val="1"/>
                <w:color w:val="auto"/>
              </w:rPr>
            </w:pPr>
          </w:p>
        </w:tc>
      </w:tr>
      <w:tr>
        <w:trPr>
          <w:trHeight w:val="168"/>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76"/>
        </w:trPr>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36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(22,872)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(22,872)</w:t>
            </w:r>
          </w:p>
        </w:tc>
        <w:tc>
          <w:tcPr>
            <w:tcW w:w="0" w:type="dxa"/>
            <w:vAlign w:val="bottom"/>
          </w:tcPr>
          <w:p>
            <w:pPr>
              <w:spacing w:after="0"/>
              <w:rPr>
                <w:sz w:val="1"/>
                <w:szCs w:val="1"/>
                <w:color w:val="auto"/>
              </w:rPr>
            </w:pPr>
          </w:p>
        </w:tc>
      </w:tr>
      <w:tr>
        <w:trPr>
          <w:trHeight w:val="160"/>
        </w:trPr>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83,264,832</w:t>
            </w: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340,593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(258,389)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82,205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-2332355</wp:posOffset>
            </wp:positionV>
            <wp:extent cx="713867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-2029460</wp:posOffset>
            </wp:positionV>
            <wp:extent cx="713867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-1652905</wp:posOffset>
            </wp:positionV>
            <wp:extent cx="7138670" cy="106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-1440180</wp:posOffset>
            </wp:positionV>
            <wp:extent cx="7138670" cy="106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-1227455</wp:posOffset>
            </wp:positionV>
            <wp:extent cx="713867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-924560</wp:posOffset>
            </wp:positionV>
            <wp:extent cx="713867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-629920</wp:posOffset>
            </wp:positionV>
            <wp:extent cx="713867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8859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-335280</wp:posOffset>
            </wp:positionV>
            <wp:extent cx="7138670" cy="106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0668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-121920</wp:posOffset>
            </wp:positionV>
            <wp:extent cx="713867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14300"/>
                    </a:xfrm>
                    <a:prstGeom prst="rect">
                      <a:avLst/>
                    </a:prstGeom>
                    <a:noFill/>
                  </pic:spPr>
                </pic:pic>
              </a:graphicData>
            </a:graphic>
          </wp:anchor>
        </w:drawing>
      </w:r>
    </w:p>
    <w:p>
      <w:pPr>
        <w:spacing w:after="0" w:line="220"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Three and six months ended June, 30 2021</w:t>
      </w:r>
    </w:p>
    <w:p>
      <w:pPr>
        <w:spacing w:after="0" w:line="19" w:lineRule="exact"/>
        <w:rPr>
          <w:sz w:val="20"/>
          <w:szCs w:val="20"/>
          <w:color w:val="auto"/>
        </w:rPr>
      </w:pPr>
    </w:p>
    <w:p>
      <w:pPr>
        <w:sectPr>
          <w:pgSz w:w="11900" w:h="16838" w:orient="portrait"/>
          <w:cols w:equalWidth="0" w:num="2">
            <w:col w:w="2400" w:space="120"/>
            <w:col w:w="87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32"/>
        </w:trPr>
        <w:tc>
          <w:tcPr>
            <w:tcW w:w="2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w w:val="88"/>
              </w:rPr>
              <w:t>Common stock –</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ind w:left="160"/>
              <w:spacing w:after="0" w:line="132" w:lineRule="exact"/>
              <w:rPr>
                <w:sz w:val="20"/>
                <w:szCs w:val="20"/>
                <w:color w:val="auto"/>
              </w:rPr>
            </w:pPr>
            <w:r>
              <w:rPr>
                <w:rFonts w:ascii="Arial" w:cs="Arial" w:eastAsia="Arial" w:hAnsi="Arial"/>
                <w:sz w:val="12"/>
                <w:szCs w:val="12"/>
                <w:b w:val="1"/>
                <w:bCs w:val="1"/>
                <w:color w:val="auto"/>
                <w:w w:val="88"/>
              </w:rPr>
              <w:t>Common stock –</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180"/>
              <w:spacing w:after="0" w:line="132" w:lineRule="exact"/>
              <w:rPr>
                <w:sz w:val="20"/>
                <w:szCs w:val="20"/>
                <w:color w:val="auto"/>
              </w:rPr>
            </w:pPr>
            <w:r>
              <w:rPr>
                <w:rFonts w:ascii="Arial" w:cs="Arial" w:eastAsia="Arial" w:hAnsi="Arial"/>
                <w:sz w:val="12"/>
                <w:szCs w:val="12"/>
                <w:b w:val="1"/>
                <w:bCs w:val="1"/>
                <w:color w:val="auto"/>
                <w:w w:val="88"/>
              </w:rPr>
              <w:t>Common stock –</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5"/>
              </w:rPr>
              <w:t>Additional</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77"/>
        </w:trPr>
        <w:tc>
          <w:tcPr>
            <w:tcW w:w="2180" w:type="dxa"/>
            <w:vAlign w:val="bottom"/>
          </w:tcPr>
          <w:p>
            <w:pPr>
              <w:spacing w:after="0"/>
              <w:rPr>
                <w:sz w:val="6"/>
                <w:szCs w:val="6"/>
                <w:color w:val="auto"/>
              </w:rPr>
            </w:pPr>
          </w:p>
        </w:tc>
        <w:tc>
          <w:tcPr>
            <w:tcW w:w="108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w w:val="90"/>
              </w:rPr>
              <w:t>Preferred stock</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FF Preferred stock</w:t>
            </w:r>
          </w:p>
        </w:tc>
        <w:tc>
          <w:tcPr>
            <w:tcW w:w="80" w:type="dxa"/>
            <w:vAlign w:val="bottom"/>
            <w:vMerge w:val="restart"/>
          </w:tcPr>
          <w:p>
            <w:pPr>
              <w:spacing w:after="0"/>
              <w:rPr>
                <w:sz w:val="6"/>
                <w:szCs w:val="6"/>
                <w:color w:val="auto"/>
              </w:rPr>
            </w:pPr>
          </w:p>
        </w:tc>
        <w:tc>
          <w:tcPr>
            <w:tcW w:w="1040" w:type="dxa"/>
            <w:vAlign w:val="bottom"/>
            <w:gridSpan w:val="3"/>
            <w:vMerge w:val="restart"/>
          </w:tcPr>
          <w:p>
            <w:pPr>
              <w:jc w:val="right"/>
              <w:ind w:right="167"/>
              <w:spacing w:after="0"/>
              <w:rPr>
                <w:sz w:val="20"/>
                <w:szCs w:val="20"/>
                <w:color w:val="auto"/>
              </w:rPr>
            </w:pPr>
            <w:r>
              <w:rPr>
                <w:rFonts w:ascii="Arial" w:cs="Arial" w:eastAsia="Arial" w:hAnsi="Arial"/>
                <w:sz w:val="12"/>
                <w:szCs w:val="12"/>
                <w:b w:val="1"/>
                <w:bCs w:val="1"/>
                <w:color w:val="auto"/>
              </w:rPr>
              <w:t>Class A</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Class B</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Class A</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180" w:type="dxa"/>
            <w:vAlign w:val="bottom"/>
          </w:tcPr>
          <w:p>
            <w:pPr>
              <w:spacing w:after="0"/>
              <w:rPr>
                <w:sz w:val="7"/>
                <w:szCs w:val="7"/>
                <w:color w:val="auto"/>
              </w:rPr>
            </w:pPr>
          </w:p>
        </w:tc>
        <w:tc>
          <w:tcPr>
            <w:tcW w:w="1080" w:type="dxa"/>
            <w:vAlign w:val="bottom"/>
            <w:tcBorders>
              <w:bottom w:val="single" w:sz="8" w:color="auto"/>
            </w:tcBorders>
            <w:gridSpan w:val="3"/>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40" w:type="dxa"/>
            <w:vAlign w:val="bottom"/>
            <w:tcBorders>
              <w:bottom w:val="single" w:sz="8" w:color="auto"/>
            </w:tcBorders>
            <w:gridSpan w:val="3"/>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Borders>
              <w:bottom w:val="single" w:sz="8" w:color="auto"/>
            </w:tcBorders>
            <w:gridSpan w:val="3"/>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bottom w:val="single" w:sz="8" w:color="auto"/>
            </w:tcBorders>
            <w:gridSpan w:val="3"/>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rPr>
              <w:t>paid in</w:t>
            </w:r>
          </w:p>
        </w:tc>
        <w:tc>
          <w:tcPr>
            <w:tcW w:w="860" w:type="dxa"/>
            <w:vAlign w:val="bottom"/>
            <w:gridSpan w:val="3"/>
            <w:vMerge w:val="continue"/>
          </w:tcPr>
          <w:p>
            <w:pPr>
              <w:spacing w:after="0"/>
              <w:rPr>
                <w:sz w:val="7"/>
                <w:szCs w:val="7"/>
                <w:color w:val="auto"/>
              </w:rPr>
            </w:pPr>
          </w:p>
        </w:tc>
        <w:tc>
          <w:tcPr>
            <w:tcW w:w="760" w:type="dxa"/>
            <w:vAlign w:val="bottom"/>
            <w:gridSpan w:val="2"/>
          </w:tcPr>
          <w:p>
            <w:pPr>
              <w:ind w:left="40"/>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5"/>
                <w:szCs w:val="15"/>
                <w:color w:val="auto"/>
              </w:rPr>
            </w:pPr>
          </w:p>
        </w:tc>
        <w:tc>
          <w:tcPr>
            <w:tcW w:w="620" w:type="dxa"/>
            <w:vAlign w:val="bottom"/>
          </w:tcPr>
          <w:p>
            <w:pPr>
              <w:jc w:val="right"/>
              <w:ind w:right="16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6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144,875,941</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20,000,000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18,398,005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70,000,000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39,866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(329,338)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(289,472)</w:t>
            </w:r>
          </w:p>
        </w:tc>
        <w:tc>
          <w:tcPr>
            <w:tcW w:w="0" w:type="dxa"/>
            <w:vAlign w:val="bottom"/>
          </w:tcPr>
          <w:p>
            <w:pPr>
              <w:spacing w:after="0"/>
              <w:rPr>
                <w:sz w:val="1"/>
                <w:szCs w:val="1"/>
                <w:color w:val="auto"/>
              </w:rPr>
            </w:pPr>
          </w:p>
        </w:tc>
      </w:tr>
      <w:tr>
        <w:trPr>
          <w:trHeight w:val="160"/>
        </w:trPr>
        <w:tc>
          <w:tcPr>
            <w:tcW w:w="2180" w:type="dxa"/>
            <w:vAlign w:val="bottom"/>
          </w:tcPr>
          <w:p>
            <w:pPr>
              <w:ind w:left="20"/>
              <w:spacing w:after="0"/>
              <w:rPr>
                <w:sz w:val="20"/>
                <w:szCs w:val="20"/>
                <w:color w:val="auto"/>
              </w:rPr>
            </w:pPr>
            <w:r>
              <w:rPr>
                <w:rFonts w:ascii="Arial" w:cs="Arial" w:eastAsia="Arial" w:hAnsi="Arial"/>
                <w:sz w:val="12"/>
                <w:szCs w:val="12"/>
                <w:color w:val="auto"/>
                <w:w w:val="98"/>
              </w:rPr>
              <w:t>Retroactive application of recapitalization</w:t>
            </w:r>
          </w:p>
        </w:tc>
        <w:tc>
          <w:tcPr>
            <w:tcW w:w="720" w:type="dxa"/>
            <w:vAlign w:val="bottom"/>
          </w:tcPr>
          <w:p>
            <w:pPr>
              <w:jc w:val="right"/>
              <w:spacing w:after="0"/>
              <w:rPr>
                <w:sz w:val="20"/>
                <w:szCs w:val="20"/>
                <w:color w:val="auto"/>
              </w:rPr>
            </w:pPr>
            <w:r>
              <w:rPr>
                <w:rFonts w:ascii="Arial" w:cs="Arial" w:eastAsia="Arial" w:hAnsi="Arial"/>
                <w:sz w:val="12"/>
                <w:szCs w:val="12"/>
                <w:color w:val="auto"/>
                <w:w w:val="90"/>
              </w:rPr>
              <w:t>(144,875,941)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1"/>
              </w:rPr>
              <w:t>(20,000,000)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1"/>
              </w:rPr>
              <w:t>(18,398,005)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88"/>
              </w:rPr>
              <w:t>(70,000,000)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62,510,690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5"/>
              </w:rPr>
              <w:t>Balance, December 31, 2020, as adjusted</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62,510,690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39,866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(329,338)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(289,472)</w:t>
            </w:r>
          </w:p>
        </w:tc>
        <w:tc>
          <w:tcPr>
            <w:tcW w:w="0" w:type="dxa"/>
            <w:vAlign w:val="bottom"/>
          </w:tcPr>
          <w:p>
            <w:pPr>
              <w:spacing w:after="0"/>
              <w:rPr>
                <w:sz w:val="1"/>
                <w:szCs w:val="1"/>
                <w:color w:val="auto"/>
              </w:rPr>
            </w:pPr>
          </w:p>
        </w:tc>
      </w:tr>
      <w:tr>
        <w:trPr>
          <w:trHeight w:val="108"/>
        </w:trPr>
        <w:tc>
          <w:tcPr>
            <w:tcW w:w="2180" w:type="dxa"/>
            <w:vAlign w:val="bottom"/>
          </w:tcPr>
          <w:p>
            <w:pPr>
              <w:ind w:left="180"/>
              <w:spacing w:after="0" w:line="108" w:lineRule="exact"/>
              <w:rPr>
                <w:sz w:val="20"/>
                <w:szCs w:val="20"/>
                <w:color w:val="auto"/>
              </w:rPr>
            </w:pPr>
            <w:r>
              <w:rPr>
                <w:rFonts w:ascii="Arial" w:cs="Arial" w:eastAsia="Arial" w:hAnsi="Arial"/>
                <w:sz w:val="12"/>
                <w:szCs w:val="12"/>
                <w:color w:val="auto"/>
                <w:w w:val="89"/>
              </w:rPr>
              <w:t>Issuance of common stock upon exercise</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9"/>
                <w:szCs w:val="9"/>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9"/>
                <w:szCs w:val="9"/>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270,582</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89"/>
        </w:trPr>
        <w:tc>
          <w:tcPr>
            <w:tcW w:w="2180" w:type="dxa"/>
            <w:vAlign w:val="bottom"/>
            <w:vMerge w:val="restart"/>
          </w:tcPr>
          <w:p>
            <w:pPr>
              <w:ind w:left="320"/>
              <w:spacing w:after="0"/>
              <w:rPr>
                <w:sz w:val="20"/>
                <w:szCs w:val="20"/>
                <w:color w:val="auto"/>
              </w:rPr>
            </w:pPr>
            <w:r>
              <w:rPr>
                <w:rFonts w:ascii="Arial" w:cs="Arial" w:eastAsia="Arial" w:hAnsi="Arial"/>
                <w:sz w:val="12"/>
                <w:szCs w:val="12"/>
                <w:color w:val="auto"/>
              </w:rPr>
              <w:t>of stock options</w:t>
            </w:r>
          </w:p>
        </w:tc>
        <w:tc>
          <w:tcPr>
            <w:tcW w:w="8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1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5,768</w:t>
            </w:r>
          </w:p>
        </w:tc>
        <w:tc>
          <w:tcPr>
            <w:tcW w:w="0" w:type="dxa"/>
            <w:vAlign w:val="bottom"/>
          </w:tcPr>
          <w:p>
            <w:pPr>
              <w:spacing w:after="0"/>
              <w:rPr>
                <w:sz w:val="1"/>
                <w:szCs w:val="1"/>
                <w:color w:val="auto"/>
              </w:rPr>
            </w:pPr>
          </w:p>
        </w:tc>
      </w:tr>
      <w:tr>
        <w:trPr>
          <w:trHeight w:val="160"/>
        </w:trPr>
        <w:tc>
          <w:tcPr>
            <w:tcW w:w="2180" w:type="dxa"/>
            <w:vAlign w:val="bottom"/>
          </w:tcPr>
          <w:p>
            <w:pPr>
              <w:ind w:left="180"/>
              <w:spacing w:after="0"/>
              <w:rPr>
                <w:sz w:val="20"/>
                <w:szCs w:val="20"/>
                <w:color w:val="auto"/>
              </w:rPr>
            </w:pPr>
            <w:r>
              <w:rPr>
                <w:rFonts w:ascii="Arial" w:cs="Arial" w:eastAsia="Arial" w:hAnsi="Arial"/>
                <w:sz w:val="12"/>
                <w:szCs w:val="12"/>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64,671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64,671</w:t>
            </w:r>
          </w:p>
        </w:tc>
        <w:tc>
          <w:tcPr>
            <w:tcW w:w="0" w:type="dxa"/>
            <w:vAlign w:val="bottom"/>
          </w:tcPr>
          <w:p>
            <w:pPr>
              <w:spacing w:after="0"/>
              <w:rPr>
                <w:sz w:val="1"/>
                <w:szCs w:val="1"/>
                <w:color w:val="auto"/>
              </w:rPr>
            </w:pPr>
          </w:p>
        </w:tc>
      </w:tr>
      <w:tr>
        <w:trPr>
          <w:trHeight w:val="168"/>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March 31,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62,781,272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45,658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(264,667)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(219,009)</w:t>
            </w:r>
          </w:p>
        </w:tc>
        <w:tc>
          <w:tcPr>
            <w:tcW w:w="0" w:type="dxa"/>
            <w:vAlign w:val="bottom"/>
          </w:tcPr>
          <w:p>
            <w:pPr>
              <w:spacing w:after="0"/>
              <w:rPr>
                <w:sz w:val="1"/>
                <w:szCs w:val="1"/>
                <w:color w:val="auto"/>
              </w:rPr>
            </w:pPr>
          </w:p>
        </w:tc>
      </w:tr>
      <w:tr>
        <w:trPr>
          <w:trHeight w:val="108"/>
        </w:trPr>
        <w:tc>
          <w:tcPr>
            <w:tcW w:w="2180" w:type="dxa"/>
            <w:vAlign w:val="bottom"/>
          </w:tcPr>
          <w:p>
            <w:pPr>
              <w:ind w:left="180"/>
              <w:spacing w:after="0" w:line="108" w:lineRule="exact"/>
              <w:rPr>
                <w:sz w:val="20"/>
                <w:szCs w:val="20"/>
                <w:color w:val="auto"/>
              </w:rPr>
            </w:pPr>
            <w:r>
              <w:rPr>
                <w:rFonts w:ascii="Arial" w:cs="Arial" w:eastAsia="Arial" w:hAnsi="Arial"/>
                <w:sz w:val="12"/>
                <w:szCs w:val="12"/>
                <w:color w:val="auto"/>
                <w:w w:val="89"/>
              </w:rPr>
              <w:t>Issuance of common stock upon exercise</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9"/>
                <w:szCs w:val="9"/>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9"/>
                <w:szCs w:val="9"/>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9"/>
                <w:szCs w:val="9"/>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39,515</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9"/>
                <w:szCs w:val="9"/>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89"/>
        </w:trPr>
        <w:tc>
          <w:tcPr>
            <w:tcW w:w="2180" w:type="dxa"/>
            <w:vAlign w:val="bottom"/>
            <w:vMerge w:val="restart"/>
          </w:tcPr>
          <w:p>
            <w:pPr>
              <w:ind w:left="320"/>
              <w:spacing w:after="0"/>
              <w:rPr>
                <w:sz w:val="20"/>
                <w:szCs w:val="20"/>
                <w:color w:val="auto"/>
              </w:rPr>
            </w:pPr>
            <w:r>
              <w:rPr>
                <w:rFonts w:ascii="Arial" w:cs="Arial" w:eastAsia="Arial" w:hAnsi="Arial"/>
                <w:sz w:val="12"/>
                <w:szCs w:val="12"/>
                <w:color w:val="auto"/>
              </w:rPr>
              <w:t>of stock options</w:t>
            </w:r>
          </w:p>
        </w:tc>
        <w:tc>
          <w:tcPr>
            <w:tcW w:w="8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1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2,344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2,344</w:t>
            </w:r>
          </w:p>
        </w:tc>
        <w:tc>
          <w:tcPr>
            <w:tcW w:w="0" w:type="dxa"/>
            <w:vAlign w:val="bottom"/>
          </w:tcPr>
          <w:p>
            <w:pPr>
              <w:spacing w:after="0"/>
              <w:rPr>
                <w:sz w:val="1"/>
                <w:szCs w:val="1"/>
                <w:color w:val="auto"/>
              </w:rPr>
            </w:pPr>
          </w:p>
        </w:tc>
      </w:tr>
      <w:tr>
        <w:trPr>
          <w:trHeight w:val="160"/>
        </w:trPr>
        <w:tc>
          <w:tcPr>
            <w:tcW w:w="2180" w:type="dxa"/>
            <w:vAlign w:val="bottom"/>
          </w:tcPr>
          <w:p>
            <w:pPr>
              <w:ind w:left="180"/>
              <w:spacing w:after="0"/>
              <w:rPr>
                <w:sz w:val="20"/>
                <w:szCs w:val="20"/>
                <w:color w:val="auto"/>
              </w:rPr>
            </w:pPr>
            <w:r>
              <w:rPr>
                <w:rFonts w:ascii="Arial" w:cs="Arial" w:eastAsia="Arial" w:hAnsi="Arial"/>
                <w:sz w:val="12"/>
                <w:szCs w:val="12"/>
                <w:color w:val="auto"/>
              </w:rPr>
              <w:t>Share repurchase</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1"/>
              </w:rPr>
              <w:t>(25,601,733)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(22,000)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(22,000)</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2"/>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64,327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64,327</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rPr>
                <w:sz w:val="20"/>
                <w:szCs w:val="20"/>
                <w:color w:val="auto"/>
              </w:rPr>
            </w:pPr>
            <w:r>
              <w:rPr>
                <w:rFonts w:ascii="Arial" w:cs="Arial" w:eastAsia="Arial" w:hAnsi="Arial"/>
                <w:sz w:val="12"/>
                <w:szCs w:val="12"/>
                <w:color w:val="auto"/>
              </w:rPr>
              <w:t>Balance, June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37,219,054</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2"/>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26,013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(200,340)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(174,326)</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24" w:lineRule="exact"/>
        <w:rPr>
          <w:sz w:val="20"/>
          <w:szCs w:val="20"/>
          <w:color w:val="auto"/>
        </w:rPr>
      </w:pPr>
    </w:p>
    <w:p>
      <w:pPr>
        <w:jc w:val="center"/>
        <w:ind w:left="7780"/>
        <w:spacing w:after="0"/>
        <w:rPr>
          <w:sz w:val="20"/>
          <w:szCs w:val="20"/>
          <w:color w:val="auto"/>
        </w:rPr>
      </w:pPr>
      <w:r>
        <w:rPr>
          <w:rFonts w:ascii="Arial" w:cs="Arial" w:eastAsia="Arial" w:hAnsi="Arial"/>
          <w:sz w:val="15"/>
          <w:szCs w:val="15"/>
          <w:b w:val="1"/>
          <w:bCs w:val="1"/>
          <w:color w:val="auto"/>
        </w:rPr>
        <w:t>Six Months Ended</w:t>
      </w:r>
    </w:p>
    <w:p>
      <w:pPr>
        <w:jc w:val="center"/>
        <w:ind w:left="7780"/>
        <w:spacing w:after="0"/>
        <w:rPr>
          <w:sz w:val="20"/>
          <w:szCs w:val="20"/>
          <w:color w:val="auto"/>
        </w:rPr>
      </w:pPr>
      <w:r>
        <w:rPr>
          <w:rFonts w:ascii="Arial" w:cs="Arial" w:eastAsia="Arial" w:hAnsi="Arial"/>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2021</w:t>
            </w:r>
          </w:p>
        </w:tc>
      </w:tr>
      <w:tr>
        <w:trPr>
          <w:trHeight w:val="188"/>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Net (loss) income</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(49,706)</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128,998</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Adjustments to reconcile net (loss) income to net cash used in operating activities: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Depreciation and amortization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578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448</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Amortization of debt discount and issuance costs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3,357</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Amortization of right-of-use asset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661</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Decrease in fair value of warrants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(12,537)</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Decrease in fair value of SAFE notes</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(182,367)</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Impairment of prepaid launch costs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9,450</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Loss on disposal of fixed asset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Stock-based compensation expense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8,112</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Prepaids and other current assets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(10,683)</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Other non-current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(585)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(2,108)</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Accounts payable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2,696</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Accrued expenses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(2,555)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2,454</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Accrued interest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Other current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2,043</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Contract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r>
      <w:tr>
        <w:trPr>
          <w:trHeight w:val="203"/>
        </w:trPr>
        <w:tc>
          <w:tcPr>
            <w:tcW w:w="7800" w:type="dxa"/>
            <w:vAlign w:val="bottom"/>
          </w:tcPr>
          <w:p>
            <w:pPr>
              <w:ind w:left="400"/>
              <w:spacing w:after="0"/>
              <w:rPr>
                <w:sz w:val="20"/>
                <w:szCs w:val="20"/>
                <w:color w:val="auto"/>
              </w:rPr>
            </w:pPr>
            <w:r>
              <w:rPr>
                <w:rFonts w:ascii="Arial" w:cs="Arial" w:eastAsia="Arial" w:hAnsi="Arial"/>
                <w:sz w:val="15"/>
                <w:szCs w:val="15"/>
                <w:color w:val="auto"/>
              </w:rPr>
              <w:t>Lease liability and right of use asset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(626)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09"/>
        </w:trPr>
        <w:tc>
          <w:tcPr>
            <w:tcW w:w="78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Other non-current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operating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(45,943)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(44,077)</w:t>
            </w:r>
          </w:p>
        </w:tc>
      </w:tr>
      <w:tr>
        <w:trPr>
          <w:trHeight w:val="176"/>
        </w:trPr>
        <w:tc>
          <w:tcPr>
            <w:tcW w:w="78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Purchases of property, machinery and equipment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(2,185)</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Proceeds from sale of property, machinery and equipment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Purchases of intangible assets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(2,187)</w:t>
            </w:r>
          </w:p>
        </w:tc>
      </w:tr>
      <w:tr>
        <w:trPr>
          <w:trHeight w:val="176"/>
        </w:trPr>
        <w:tc>
          <w:tcPr>
            <w:tcW w:w="78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4"/>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8"/>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issuance of SAFE notes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30,853</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Proceeds from issuance of loan payable</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25,000</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Proceeds from employee stock purchase plan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Repurchase of Section 16 Officer shares for tax coverage exchange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Payment of loan payable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(3,763)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Payment of debt issuance costs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r>
      <w:tr>
        <w:trPr>
          <w:trHeight w:val="203"/>
        </w:trPr>
        <w:tc>
          <w:tcPr>
            <w:tcW w:w="7800" w:type="dxa"/>
            <w:vAlign w:val="bottom"/>
          </w:tcPr>
          <w:p>
            <w:pPr>
              <w:ind w:left="260"/>
              <w:spacing w:after="0"/>
              <w:rPr>
                <w:sz w:val="20"/>
                <w:szCs w:val="20"/>
                <w:color w:val="auto"/>
              </w:rPr>
            </w:pPr>
            <w:r>
              <w:rPr>
                <w:rFonts w:ascii="Arial" w:cs="Arial" w:eastAsia="Arial" w:hAnsi="Arial"/>
                <w:sz w:val="15"/>
                <w:szCs w:val="15"/>
                <w:color w:val="auto"/>
              </w:rPr>
              <w:t>Payment of warrant issuance costs</w:t>
            </w:r>
          </w:p>
        </w:tc>
        <w:tc>
          <w:tcPr>
            <w:tcW w:w="10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19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provided by financing activities</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(3,277)</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55,713</w:t>
            </w:r>
          </w:p>
        </w:tc>
      </w:tr>
      <w:tr>
        <w:trPr>
          <w:trHeight w:val="176"/>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6"/>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(Decrease) Increase in cash, cash equivalents and restricted cash</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(50,165)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9,449</w:t>
            </w:r>
          </w:p>
        </w:tc>
      </w:tr>
      <w:tr>
        <w:trPr>
          <w:trHeight w:val="203"/>
        </w:trPr>
        <w:tc>
          <w:tcPr>
            <w:tcW w:w="78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Cash, cash equivalents and restricted cash, beginning of period</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160,547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23,520</w:t>
            </w:r>
          </w:p>
        </w:tc>
      </w:tr>
      <w:tr>
        <w:trPr>
          <w:trHeight w:val="199"/>
        </w:trPr>
        <w:tc>
          <w:tcPr>
            <w:tcW w:w="7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Cash, cash equivalents and restricted cash, end of period</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110,382</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32,968</w:t>
            </w:r>
          </w:p>
        </w:tc>
      </w:tr>
      <w:tr>
        <w:trPr>
          <w:trHeight w:val="176"/>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Deferred offering costs in accounts payable and accrued expenses at period end</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370</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offering costs in loans payable at period end</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Operating lease right-of-use assets in exchange for lease obligations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8,501</w:t>
            </w: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Share repurchase liability fair value</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7800" w:type="dxa"/>
            <w:vAlign w:val="bottom"/>
          </w:tcPr>
          <w:p>
            <w:pPr>
              <w:ind w:left="220"/>
              <w:spacing w:after="0"/>
              <w:rPr>
                <w:sz w:val="20"/>
                <w:szCs w:val="20"/>
                <w:color w:val="auto"/>
              </w:rPr>
            </w:pPr>
            <w:r>
              <w:rPr>
                <w:rFonts w:ascii="Arial" w:cs="Arial" w:eastAsia="Arial" w:hAnsi="Arial"/>
                <w:sz w:val="15"/>
                <w:szCs w:val="15"/>
                <w:color w:val="auto"/>
              </w:rPr>
              <w:t>Cash paid for income taxes</w:t>
            </w:r>
          </w:p>
        </w:tc>
        <w:tc>
          <w:tcPr>
            <w:tcW w:w="1060" w:type="dxa"/>
            <w:vAlign w:val="bottom"/>
          </w:tcPr>
          <w:p>
            <w:pPr>
              <w:jc w:val="right"/>
              <w:ind w:right="883"/>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for interest</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Momentus Inc. (together with its consolidated subsidiaries “Momentus” or the “Company”) is a U.S. commercial space company that plans to offer in-space infrastructure services, including in-space transportation, hosted payloads and in-orbit services. Momentus believes it can make new ways of operating in space possible with its planned in-space transfer and service vehicles that will be powered by an innovative water plasma-based propulsion system that is under development.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transfer vehicle (Vigoride 3) in May 2022. The FAA favorable determination follows a license from the Federal Communications Commission (the “FCC”) received on April 28, 2022, and updates to existing licenses from the National Oceanic and Atmospheric Administration (the “NOAA”).</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25, 2022, the Company launched its first demonstration flight of the Vigoride spacecraft (Vigoride 3) to low-earth orbit aboard the SpaceX Transporter-5 mission. In addition to Vigoride, Momentus used a second port on the same SpaceX mission to fly a third-party deployer from a partner company. On May 25, 2022, Momentus used the third-party deployer to place its first customer satellite in orbit.</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26, 2022, upon establishing two-way contact between the Vigoride spacecraft in low-earth orbit and a ground station on Earth, Momentus discovered that the Vigoride spacecraft had experienced certain anomalies after its launch, primarily relating to its deployable solar arrays, which provide power to the spacecraft and its subsystems. Since that time, the Company has been working to address the anomalies, identify root causes and deploy customer satellites.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determined that the Vigoride spacecraft's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 to be working as intended and are providing some power to the spacecraft. The Company has been working closely with the producer of the solar arrays and has identified a mechanical issue as the root cause of the deployable arrays not operating as intended. The Company also believes that it has identified the root cause of the anomalies that it experienced with other spacecraft systems during the low-power state.</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28, 2022, Momentus was able to deploy two customer satellites from Vigoride (of nine total customer satellites onboard Vigoride 3). Since that time, the Company has continued efforts to deploy other customer satellites, but did not confirm any subsequent deployments during the second quarter.</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While Momentus initially established two-way communications with the Vigoride spacecraft, it has not been 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While Momentus has not been able to re-establish two-way communication with the Vigoride spacecraft, it has continued to broadcast commands to the spacecraft from ground stations on Earth, including commands to deploy customer satellites. Additionally, the Vigoride spacecraft is equipped with a mechanism designed to autonomously deploy customer satellites in the event that the spacecraft loses communications with ground stations.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Subsequent to the end of the second quarter of 2022, the Vigoride spacecraft deployed four additional customer satellites including two on July 17, 2022 and two on July 29, 2022. With the Vigoride spacecraft having now deployed six of its nine customer satellites, Momentus has now deployed a total of seven customer satellites in Low Earth Orbit, comprising six satellites from Vigoride 3 and one satellite from the third-party deployer system.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Momentus is continuing efforts to address the anomalies experienced by the Vigoride spacecraft during its inaugural mission (Vigoride 3) and to deploy the three remaining customer satellites, the Company’s level of confidence that it will be able to perform some planned operations of the vehicle on this test and demonstration mission has substantially declined. The Company is working to incorporate improvements identified during the current mission in advance of its planned follow-on missions.</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November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Background and Business Combination</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(the “First Merger Sub”), and Project Marvel Second Merger Sub, LLC, a Delaware limited liability company and a direct, wholly owned subsidiary of SRAC (the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The Business Combination was accounted for as a reverse recapitalization 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("ASC 805") in accordance with accounting principles generally accepted in the United States (“GAAP”). Under this method of accounting, SRAC, who was the legal acquirer, is treated as the “acquired” company for financial reporting purposes and Legacy Momentus is treated as the accounting acquirer. Accordingly, for accounting purposes, the Business Combination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more information.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Pursuant to the Amended and Restated Certificate of Incorporation of the Company, at the Closing, each share of SRAC’s Class B Common Stock, par value $0.0001 per share (the “Class B Common Stock”),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Common Stock, par value $0.00001 per share (“Common Stock”), without any further action by the Company or any stockholder thereof.</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Prior to the Business Combination, SRAC’s units, public shares, and public warrants were listed on the Nasdaq under the symbols “SRACU,” “SRAC,” and “SRACW,” respectively. On August 13, 2021, the Company's Common Stock and public warrants began trading on the Nasdaq, under the symbols “MNTS” and “MNTSW,” respectively.</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On October 7, 2020 and July 15, 2021, SRAC entered into subscription agreements with certain investors (the “PIPE Investors”) to which such investors collectively subscribed for an aggregate of 11,000,000 shares of the Company’s Common Stock at $10.00 per share for aggregate gross proceeds of $110.0 million (the “PIPE Investment”). The PIPE Investors were also granted an equal number of private warrants to purchase the Company’s Common Stock at $11.50 per share. The warrants were recorded as a derivative liability under ASC Topic 815, </w:t>
      </w:r>
      <w:r>
        <w:rPr>
          <w:rFonts w:ascii="Arial" w:cs="Arial" w:eastAsia="Arial" w:hAnsi="Arial"/>
          <w:sz w:val="17"/>
          <w:szCs w:val="17"/>
          <w:i w:val="1"/>
          <w:iCs w:val="1"/>
          <w:color w:val="auto"/>
        </w:rPr>
        <w:t>Derivatives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Hedging</w:t>
      </w:r>
      <w:r>
        <w:rPr>
          <w:rFonts w:ascii="Arial" w:cs="Arial" w:eastAsia="Arial" w:hAnsi="Arial"/>
          <w:sz w:val="17"/>
          <w:szCs w:val="17"/>
          <w:color w:val="auto"/>
        </w:rPr>
        <w:t>, (“ASC 815”) and the warrant liability was initially valued at $30.5 million. See Note 11 for more information. The PIPE Investment was consummated</w:t>
      </w:r>
      <w:r>
        <w:rPr>
          <w:rFonts w:ascii="Arial" w:cs="Arial" w:eastAsia="Arial" w:hAnsi="Arial"/>
          <w:sz w:val="17"/>
          <w:szCs w:val="17"/>
          <w:i w:val="1"/>
          <w:iCs w:val="1"/>
          <w:color w:val="auto"/>
        </w:rPr>
        <w:t xml:space="preserve"> </w:t>
      </w:r>
      <w:r>
        <w:rPr>
          <w:rFonts w:ascii="Arial" w:cs="Arial" w:eastAsia="Arial" w:hAnsi="Arial"/>
          <w:sz w:val="17"/>
          <w:szCs w:val="17"/>
          <w:color w:val="auto"/>
        </w:rPr>
        <w:t>concurrently with the closing of the Business Combination.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should be read in conjunction with the audited consolidated financial statements and notes thereto included in our Annual Report on Form 10-K filed by the Company on March 9, 2022.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accompanying interim unaudited condensed consolidated financial statements have been prepared in accordance with GAAP and pursuant to the rules and regulations of the U.S. Securities and Exchange Commission (the “SEC”). Certain information and footnote disclosures normally included in financial statements prepared in accordance with GAAP have been condensed or omitted pursuant to such rules and regulations. The balance sheet as of December 31, 2021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In the opinion of the Company’s management, the accompanying unaudited interim condensed consolidated financial statements contain all adjustments that are necessary to present fairly the Company’s financial position as of June 30, 2022 and December 31, 2021, the net (loss) income for the three and six months ended June 30, 2022 and 2021, the stockholders’ equity (deficit) for the three and six months ended June 30, 2022 and 2021, and cash flows for the six months ended June 30, 2022 and 2021. Such adjustments are of a normal and recurring nature. The results for the three and six months ended June 30, 2022 are not necessarily indicative of the results for the year ending December 31, 2022, or for any future period. These interim condensed consolidated financial statements should be read in conjunction with the audited financial statements as of and for the years ended December 31, 2021 and 2020, filed with the SEC in our Annual Report on Form 10-K filed by the Company on March 9,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Business Combination was accounted for as a reverse recapitalization in accordance with GAAP. Under this method of accounting, SRAC is treated as the acquired company and Momentus Inc. is treated as the acquirer for financial statement reporting purposes (the “Combined Company”).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Accordingly, for accounting purposes, the financial statements of the Combined Company represent a continuation of the financial statements of Momentus with the acquisition being treated as the equivalent of Momentus issuing stock for the net assets of SRAC, accompanied by a recapitalization. The net assets of SRAC are recorded at historical cost, with no goodwill or other intangible assets recorded.</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One-time direct and incremental transaction costs incurred by the Company were recorded based on the activities to which the costs relate and the structure of the transaction; cost allocated to the issuance of equity were recorded as a reduction of the amount of equity raised, presented in additional paid in capital, while all costs allocated to the liability classified warrants were charged to expense.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Business Combination, outstanding units of Momentus were converted into Common Stock of the Company, par value $0.00001 per share, representing a recapitalization. Momentus is deemed to be the predecessor of the Company, and the consolidated assets and liabilities and results of operations prior to the date of the Closing (the “Closing Date”) are those of Momentus. The shares and corresponding capital amounts and net (loss) income per share available to common stockholders, prior to the Business Combination, have been retroactively restated as shares reflecting the exchange ratio established in the Merger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reclassifications have been made to the prior year’s financial statements to conform to the current year’s presentation. None of the reclassifications have changed the total assets, liabilities, stockholders’ equity (deficit), income, expenses or net losses previously reported.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include the financial statements of all the subsidiaries. All inter-company transactions and balances have been eliminated upon consolidation.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in the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financial statements include, but are not limited to, accounting for useful lives of property, machinery and equipment, net, intangible assets, net, accrued liabilities, income taxes including deferred tax assets and liabilities, impairment valuation, stock-based awards, Simple Agreement for Future Equity (“SAFE”) notes and warrant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a result of the COVID-19 pandemic, the U.S. government and various states implemented quarantine requirements and travel restrictions. The extent of the impact of COVID-19 on the Company’s financial statements will depend on future developments, including the duration of the outbreak, resurgences and emergence of variants, all of which are highly uncertain and cannot be predicted. The potential impact of COVID-19 on the Company’s operations is inherently difficult to predict and could adversely impact the Company’s business, financial condition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Company after the consummation of the Business Combination has total annual gross revenue of $1.07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consist of cash on hand, cash in bank with no restrictions, as well as highly liquid investments which are unrestricted as to withdrawal or use, and which have remaining maturities of three months or less when initially purchased.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Restricted cash primarily represents deposited cash that is restricted by financial institutions for two purposes. $0.4 million is restricted as collateral for a letter of credit issued to the Company’s landlord in accordance with the terms of a lease agreement entered into in December 2020. $0.1 million of this restricted cash is classified as a current asset as it will be returned to the Company one year following the completion of the Business Combination, while the remaining $0.3 million is classified as a non-current asset as it will be returned to the Company upon the occurrence of future events which are expected to occur beyond at least one year from June 30, 2022. $0.9 million is restricted for expenditures related to the National Security Agreement (“NSA”). See Note 12.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Fulfillment and Prepaid Launch Costs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prepay for certain launch costs to third 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of June 30, 2022, and December 31, 2021, the Company had $4.6 million and $3.0 million, respectively, of deferred fulfillment and prepaid launch costs in the accompanying consolidated balance sheets.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 providers, the Company recorded an impairment charge of $8.7 million of prepaid launch costs during the six months ended June 30, 2021. There was an unrelated impairment of $0.8 million in the six months ended June 30, 2021.</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12, 2021, the Company began discussions with the same launch service provider about reestablishing a future launch schedule. As a result of the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 See Note 4.</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transfer vehicle (Vigoride 3) in May 2022. The FAA favorable determination follows a license from the Federal Communications Commission (the “FCC”) received on April 28, 2022, and updates to existing licenses from the National Oceanic and Atmospheric Administration (the “NOAA”).</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25, 2022, the Company launched its first demonstration flight of the Vigoride spacecraft (Vigoride 3) to low-earth orbit aboard the SpaceX Transporter-5 mission. In addition to Vigoride, Momentus used a second port on the same SpaceX mission to fly a third-party deployer from a partner company. On May 25, 2022, Momentus used the third-party deployer to place its first customer satellite in orbit.</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26, 2022, upon establishing two-way contact between the Vigoride spacecraft in low-earth orbit and a ground station on Earth, Momentus discovered that the Vigoride spacecraft had experienced certain anomalies after its launch, primarily relating to its deployable solar arrays, which provide power to the spacecraft and its subsystems. Since that time, the Company has been working to address the anomalies, identify root causes and deploy customer satellites.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determined that the Vigoride spacecraft's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 to be working as intended and are providing some power to the spacecraft. The Company has been working closely with the producer of the solar arrays and has identified a mechanical issue as the root cause of the deployable arrays not operating as intended. The Company also believes that it has identified the root cause of the anomalies that it experienced with other spacecraft systems during the low-power state.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28, 2022, Momentus was able to deploy two customer satellites from Vigoride (of nine total customer satellites onboard Vigoride 3). Since that time, the Company has continued efforts to deploy other customer satellites, but did not confirm any subsequent deployments during the second quarter.</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While Momentus initially established two-way communications with the Vigoride spacecraft, it has not been 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While Momentus has not been able to re-establish two-way communication with the Vigoride spacecraft, it has continued to broadcast commands to the spacecraft from ground stations on Earth, including commands to deploy customer satellites. Additionally, the Vigoride spacecraft is equipped with a mechanism designed to autonomously deploy customer satellites in the event that the spacecraft loses communications with ground stations.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Subsequent to the end of the second quarter of 2022, the Vigoride spacecraft deployed four additional customer satellites including two on July 17, 2022 and two on July 29, 2022. With the Vigoride spacecraft having now deployed six of its nine customer satellites, Momentus has now deployed a total of seven customer satellites in Low Earth Orbit, comprising six satellites from Vigoride 3 and one satellite from the third-party deployer system.</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Momentus is continuing efforts to address the anomalies experienced by the Vigoride spacecraft during its inaugural mission (Vigoride 3) and to deploy the three remaining customer satellites, the Company’s level of confidence that it will be able to perform some planned operations of the vehicle on this test and demonstration mission has substantially declined. The Company is working to incorporate improvements identified during the current mission in advance of its planned follow-on missions.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November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connection with the launch of the Company’s first Vigoride (Vigoride 3) and the third 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$0.6 million allocated to the Vigoride vehicle was amortized to research and development costs, and $0.6 million allocated to the third party deployer, intended as a demonstration of Company’s business model, was amortized to selling, general and administrative costs. As a result of the launch, the Company realized $1.8 million of benefit from the recovery of previously impaired prepaid launch costs.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Machinery and Equipment, net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gridSpan w:val="2"/>
          </w:tcPr>
          <w:p>
            <w:pPr>
              <w:ind w:left="20"/>
              <w:spacing w:after="0"/>
              <w:rPr>
                <w:sz w:val="20"/>
                <w:szCs w:val="20"/>
                <w:color w:val="auto"/>
              </w:rPr>
            </w:pPr>
            <w:r>
              <w:rPr>
                <w:rFonts w:ascii="Arial" w:cs="Arial" w:eastAsia="Arial" w:hAnsi="Arial"/>
                <w:sz w:val="15"/>
                <w:szCs w:val="15"/>
                <w:b w:val="1"/>
                <w:bCs w:val="1"/>
                <w:color w:val="auto"/>
              </w:rPr>
              <w:t>Fixed Assets</w:t>
            </w:r>
          </w:p>
        </w:tc>
        <w:tc>
          <w:tcPr>
            <w:tcW w:w="8260" w:type="dxa"/>
            <w:vAlign w:val="bottom"/>
          </w:tcPr>
          <w:p>
            <w:pPr>
              <w:ind w:left="20"/>
              <w:spacing w:after="0"/>
              <w:rPr>
                <w:sz w:val="20"/>
                <w:szCs w:val="20"/>
                <w:color w:val="auto"/>
              </w:rPr>
            </w:pPr>
            <w:r>
              <w:rPr>
                <w:rFonts w:ascii="Arial" w:cs="Arial" w:eastAsia="Arial" w:hAnsi="Arial"/>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years</w:t>
            </w:r>
          </w:p>
        </w:tc>
      </w:tr>
      <w:tr>
        <w:trPr>
          <w:trHeight w:val="238"/>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8260" w:type="dxa"/>
            <w:vAlign w:val="bottom"/>
          </w:tcPr>
          <w:p>
            <w:pPr>
              <w:ind w:left="20"/>
              <w:spacing w:after="0"/>
              <w:rPr>
                <w:sz w:val="20"/>
                <w:szCs w:val="20"/>
                <w:color w:val="auto"/>
              </w:rPr>
            </w:pPr>
            <w:r>
              <w:rPr>
                <w:rFonts w:ascii="Arial" w:cs="Arial" w:eastAsia="Arial" w:hAnsi="Arial"/>
                <w:sz w:val="17"/>
                <w:szCs w:val="17"/>
                <w:color w:val="auto"/>
              </w:rPr>
              <w:t>Five years</w:t>
            </w:r>
          </w:p>
        </w:tc>
      </w:tr>
      <w:tr>
        <w:trPr>
          <w:trHeight w:val="252"/>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Lesser of estimated useful life or remaining lease term (one year to seven years)</w:t>
            </w: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7"/>
                <w:szCs w:val="17"/>
                <w:color w:val="auto"/>
              </w:rPr>
              <w:t>Machinery and equipment</w:t>
            </w:r>
          </w:p>
        </w:tc>
        <w:tc>
          <w:tcPr>
            <w:tcW w:w="8260" w:type="dxa"/>
            <w:vAlign w:val="bottom"/>
          </w:tcPr>
          <w:p>
            <w:pPr>
              <w:ind w:left="20"/>
              <w:spacing w:after="0"/>
              <w:rPr>
                <w:sz w:val="20"/>
                <w:szCs w:val="20"/>
                <w:color w:val="auto"/>
              </w:rPr>
            </w:pPr>
            <w:r>
              <w:rPr>
                <w:rFonts w:ascii="Arial" w:cs="Arial" w:eastAsia="Arial" w:hAnsi="Arial"/>
                <w:sz w:val="17"/>
                <w:szCs w:val="17"/>
                <w:color w:val="auto"/>
              </w:rPr>
              <w:t>Seven years</w:t>
            </w:r>
          </w:p>
        </w:tc>
      </w:tr>
      <w:tr>
        <w:trPr>
          <w:trHeight w:val="851"/>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60" w:type="dxa"/>
            <w:vAlign w:val="bottom"/>
          </w:tcPr>
          <w:p>
            <w:pPr>
              <w:ind w:left="2560"/>
              <w:spacing w:after="0"/>
              <w:rPr>
                <w:sz w:val="20"/>
                <w:szCs w:val="20"/>
                <w:color w:val="auto"/>
              </w:rPr>
            </w:pPr>
            <w:r>
              <w:rPr>
                <w:rFonts w:ascii="Arial" w:cs="Arial" w:eastAsia="Arial" w:hAnsi="Arial"/>
                <w:sz w:val="17"/>
                <w:szCs w:val="17"/>
                <w:color w:val="auto"/>
              </w:rPr>
              <w:t>14</w:t>
            </w:r>
          </w:p>
        </w:tc>
      </w:tr>
      <w:tr>
        <w:trPr>
          <w:trHeight w:val="110"/>
        </w:trPr>
        <w:tc>
          <w:tcPr>
            <w:tcW w:w="2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Costs of maintenance or repairs that do not extend the lives of the respective assets are charged to expenses as incurred.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Intangible assets consist of patents and cloud computing implementation costs (in accordance with ASU 2018-15) and are reported at cost less accumulated amortization and accumulated impairment loss, if any. Amortization is recognized on a straight-line basis over 10 years for patents, and 3 years for cloud computing implementation costs, which is the estimated useful lives of the intangible assets.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Offering costs consist of legal, accounting, underwriting fees and other costs incurred that were directly related to the Business Combination. Upon completion of the Business Combination, all deferred offering costs were netted with proceeds from the Business Combination, with costs relating to the issuance of equity recorded as a reduction of additional paid in capital, while all costs related to the liability classified warrants were charged to expense. See Note 3 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We estimate loss contingencies in accordance with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which states that a loss contingency shall be accrued by a charge to income if both of the following conditions are met: (a) information available before the consolidated financial statements are issued or are available to be issued indicates that it is probable that a liability had been incurred at the date of the consolidated financial statements and (b) the amount of loss can be reasonably estimated. We regularly evaluate current information available to us to determine whether such accruals should be adjusted and whether new accruals are required. Refer to Note 12.</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enters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the Company’s performance obligation or when the customer cancels the contract.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May 25, 2022 flight of the Vigoride spacecraft and the third-party deployer from a partner company, the Company completed one of the intended performance obligations, resulting in $50 thousand of recognized revenue, which was previously recorded in contract liabilities. The remaining customer payloads were negatively impacted by the Vigoride anomalies and as a result did not receive the anticipated level of service. As a result, the Company offered concessions to these customers, the value of which was unresolved as of June 30, 2022. Due to this unresolved variable consideration, the Company recorded the related customer deposits of $133 thousand as deferred revenues within current contract liabilities.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 year ended December 31, 2021, the Company recognized revenue related to customer cancelled contracts of $0.3 million, which were previously recorded as a contract liability. The Company also recorded $(135) thousand as a reduction of cost of revenue which represents the reversal of a contingency recorded during the prior year for loss contracts, partially offset by costs incurred related to one of the cancelled contracts. During the year ended December 31, 2021, in conjunction with the isolated refunds described below, the Company signed amendments with those customers considered in the contingency, such that the services will no longer be free of charge.</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June 30, 2022, and December 31, 2021, the Company had collected $1.7 million and $1.6 million, respectively, in customer deposits related to signed contracts with customers, including firm orders and options (some of which have already been exercised by customers). These deposits are recorded as current and non-current contract liabilities in the Company’s consolidated balance sheets. Included in the collected amount as of June 30, 2022 are $1.2 million of non-current deposits.</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case basis as necessary to preserve and foster future business relationships and customer goodwill. As a result of the Company’s inability to complete any launches in 2021 (refer to Note 4 for additional information), the Company issued customer refunds of $1.4 million during the year ended December 31, 2021.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75" w:lineRule="exact"/>
        <w:rPr>
          <w:sz w:val="20"/>
          <w:szCs w:val="20"/>
          <w:color w:val="auto"/>
        </w:rPr>
      </w:pPr>
    </w:p>
    <w:p>
      <w:pPr>
        <w:ind w:left="460" w:hanging="14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observable inputs such as quoted prices in active markets;</w:t>
      </w:r>
    </w:p>
    <w:p>
      <w:pPr>
        <w:spacing w:after="0" w:line="139" w:lineRule="exact"/>
        <w:rPr>
          <w:rFonts w:ascii="Arial" w:cs="Arial" w:eastAsia="Arial" w:hAnsi="Arial"/>
          <w:sz w:val="17"/>
          <w:szCs w:val="17"/>
          <w:color w:val="auto"/>
        </w:rPr>
      </w:pPr>
    </w:p>
    <w:p>
      <w:pPr>
        <w:ind w:left="460" w:hanging="14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inputs other than the quoted prices in active markets that are observable either directly or indirectly; and</w:t>
      </w:r>
    </w:p>
    <w:p>
      <w:pPr>
        <w:spacing w:after="0" w:line="152" w:lineRule="exact"/>
        <w:rPr>
          <w:rFonts w:ascii="Arial" w:cs="Arial" w:eastAsia="Arial" w:hAnsi="Arial"/>
          <w:sz w:val="17"/>
          <w:szCs w:val="17"/>
          <w:color w:val="auto"/>
        </w:rPr>
      </w:pPr>
    </w:p>
    <w:p>
      <w:pPr>
        <w:ind w:left="460" w:hanging="14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in which there is little or no market data, which requires that the Company develop its own assumptions.</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six months and fiscal year ended June 30, 2022 and December 31,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SAFE note liabilities, prior to conversion, were marked-to-market liabilities pursuant to ASC 480 and are classified within Level 3 of the fair value hierarchy as the Company is using a backsolve method within the Black Scholes Option Pricing model, which allowed the Company to solve for the implied value of the business based on the terms of the SAFE investments. Significant unobservable inputs included volatility and expected term. Volatility is based upon on the actual historical volatility of a group of comparable publicly traded companies observed over a historical period equal to the expected remaining life of the SAFE investments. The expected term was based on the anticipated time until the SAFE investments would have a conversion event. Upon conversion, the SAFE notes were valued based on the closing price of Company’s Common Stock on the Closing Date.</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warrants are recorded as a derivative liability pursuant to ASC 815 and are classified within Level 3 of the fair value hierarchy as the Company is using the Black Scholes Option Pricing model. Significant unobservable inputs include stock price, volatility and expected term.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Common Stock on the Closing Date, as the expected term and volatility were immaterial to the pricing model.</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performance awards under the equity incentive plans are recorded as contingent liabilities pursuant to ASC 480, measured at fair value. The performance awards are classified within Level 3 of the hierarchy as the fair value is dependent on management assumptions about the likelihood of non-market outcomes (see Note 11).</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share repurchase agreement with the Co-Founders is recorded as contingent liabilities pursuant to ASC 480, measured at fair value. The share repurchase agreement is classified within Level 3 of the hierarchy as the fair value is dependent on management assumptions about the likelihood of non-market outcomes (see Note 11). There were no transfers between levels of input during the three and six months ended June 30, 2022 and 2021.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private warrants and stock purchase warrants are recorded as derivative liabilities pursuant to ASC 815 and are classified within Level 3 of the fair value hierarchy as the Company is using the Black Scholes Option Pricing model to calculate fair value. See Note 11. Significant unobservable inputs, prior to the Company’s stock being publicly listed, included stock price, volatility and expected term. At the end of each reporting period, changes in fair value during the period are recognized as a components of other income (expense), net within the consolidated statements of operations. The Company will continue to adjust the warrant liabilities for changes in fair value until the earlier of a) the exercise or expiration of the warrants or b) the redemption of the warrants, at which time the warrants will be reclassified to additional paid-in capital.</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warrants issued by Momentus Inc. prior to the Business Combination were exercised in connection with the Business Combination and as a result, the Company performed a fair value measurement of those warrants on the Closing Date and recorded the change in the instruments’ fair values prior to converting them to equity. The warrants assumed by the Company as a result of the Business Combination remain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 Notes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issued SAFE notes to investors during the three months ended March 31, 2021 and the years ended December 31, 2020 and 2019, which were converted to shares of Common Stock in connection with the Business Combination. Prior to conversion, the Company determined that the SAFE notes were not a legal form of debt (i.e., no creditors’ rights). The SAFE notes included a provision allowing for the investors to receive a portion of the proceeds upon a change of control equal to the greater of their investment amount or the amount payable based upon a number of shares of Common Stock equal to the investment amount divided by the liquidity price, the occurrence of which is outside the control of the Company. This provision required that the SAFE notes be classified as marked-to-market liabilities pursuant to ASC 480. See Note 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Basic and Diluted (Loss) Income Per Share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(loss) income per share is provided in accordance with FASB ASC 260-10, “Earnings per Share”. Basic net (loss) income per share is computed by dividing losses by the weighted average number of common shares outstanding during the period. Diluted (loss) income per share gives effect to all dilutive potential common shares outstanding during the period. Diluted loss per share excludes all potential common shares and SAFE notes if their effect is anti-dilutive. See Note 11.</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three and six months ended June 30, 2022 and 2021 there were immaterial impairments of long-lived assets. See Note 5 and Note 6.</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stock incentive plan under which equity awards are granted to employees, directors, and consultants. All stock-based payments are recognized in the consolidated financial statements based on their respective grant date fair values.</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 month expected term to conform with the six month ESPP offering period.</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equity awards is expensed over the related service period which is typically the vesting period, and expense is only recognized for awards that are expected to vest. The Company accounts for forfeitures as they occur.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401(k) plan that it offers to its full-time employees. The Company did not contribute to the plan for the six months ended June 30, 2022 and 2021.</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Once the Company has achieved technological feasibility, the Company will capitalize the costs to construct any additional components of the vehicle systems.</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should be charged to expense.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leases real estate facilities under non-cancelable operating leases with various expiration dates through February 2028. The Company determines if an arrangement contains a lease at inception based on whether there is an identified property, plant or equipment and whether the Company controls the use of the identified asset throughout the period of use.</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adopted the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on January 1, 2020. The Company elected the package of practical expedients for transition under which the Company did not reassess its prior conclusions about lease identification, lease classification and initial direct costs. Additionally, the Company elected the hindsight practical expedient for transition under which conclusions around lease term and impairment will not be reassessed.</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Operating leases are included in the accompanying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measured using the enacted tax rate expected to apply to taxable income in the years in which the differences are expected to be reversed.</w:t>
      </w:r>
    </w:p>
    <w:p>
      <w:pPr>
        <w:spacing w:after="0" w:line="14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required to evaluate the tax positions taken in the course of preparing its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Risk</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are not organized around specific services or geographic regions. We currently operate in one service line providing in-space transportation services.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chief operating decision maker uses condensed financial information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which simplifies the guidance on the issuer’s accounting for convertible debt instruments by removing the separation models for (1) convertible debt with a cash conversion feature and (2) convertible instruments with a beneficial conversion feature. As a result, entities will not separately present in equity an embedded conversion feature in such debt. Instead, they will account for a convertible debt instrument wholly as debt, unless certain other conditions are met. The elimination of these models will reduce reported interest expense and increase reported net income for entities that have issued a convertible instrument that was within the scope of those models before the adoption of ASU 2020-06. Also, ASU 2020-06 requires the application of the if-converted method for calculating diluted earnings per share and the treasury stock method will be no longer available. The provisions of ASU 2020-06 are applicable for fiscal years beginning after December 15, 2021, with early adoption permitted no earlier than fiscal years beginning after December 15, 2020. The Company adopted this standard 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January 1, 2022. There was no impact to the Company's condensed consolidated financial statements on the date of adoption.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which simplified the accounting for income taxes by removing certain exceptions to the general principles in income taxes. The amendments also improve consistent application of and simplify GAAP for other areas of Topic 740 by clarifying and amending existing guidance. The Company adopted this standard on January 1, 2021. The adoption of this standard did not have a material impact on the Company’s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Reverse Recapitalization</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discussed in Note 1, "</w:t>
      </w:r>
      <w:r>
        <w:rPr>
          <w:rFonts w:ascii="Arial" w:cs="Arial" w:eastAsia="Arial" w:hAnsi="Arial"/>
          <w:sz w:val="17"/>
          <w:szCs w:val="17"/>
          <w:i w:val="1"/>
          <w:iCs w:val="1"/>
          <w:color w:val="auto"/>
        </w:rPr>
        <w:t>Nature of Operations,</w:t>
      </w:r>
      <w:r>
        <w:rPr>
          <w:rFonts w:ascii="Arial" w:cs="Arial" w:eastAsia="Arial" w:hAnsi="Arial"/>
          <w:sz w:val="17"/>
          <w:szCs w:val="17"/>
          <w:color w:val="auto"/>
        </w:rPr>
        <w:t>" on the Closing Date, SRAC completed the acquisition of Momentus Inc. and acquired 100% of Momentus Inc.’s shares and Momentus Inc. received gross proceeds of $247.3 million, which included $110.0 million in proceeds from the PIPE Investment, and $137.3 million in proceeds from issuance of Common Stock upon the closing of the Business Combination.</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Proceeds from the issuance of Common Stock comprised of $172.5 million of public investment in SRAC, reduced by redemptions of $35.6 million. SRAC had additional stockholder deficit of $8.5 million, inclusive of $0.4 million of additional cash in trust from operations, which reduced the total proceeds to $238.8 million.</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Merger was accounted for as a reverse recapitalization under ASC 805, with Momentus Inc. as the accounting acquirer and SRAC as the acquired company for accounting purposes.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 Accordingly, all historical financial information presented in these unaudited condensed consolidated financial statements represents the accounts of Momentus Inc. and its wholly owned subsidiary. Net assets were stated at historical cost consistent with the treatment of the transaction as a reverse recapitalization of Momentus Inc.</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One-time direct and incremental transaction costs incurred by the Company were recorded based on the activities to which the costs relate and the structure of the transaction. Costs of $27.8 million allocated to the issuance of equity were recorded as a reduction of equity raised, presented in additional paid in capital, while costs of $4.8 million allocated to the liability classified warrants were charged to expense. On the Closing Date, each holder of Momentus Inc. preferred and common stock received approximately 0.2467416 shares of the Company’s Common Stock, par value $0.00001 per share. See Note 11 for additional details of the Company's stockholders' equity (deficit) prior to and subsequent to the Merger.</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equity awards of Momentus Inc. were assumed by the Company and converted into comparable equity awards that are settled or exercisable for shares of the Company’s Common Stock. As a result, each outstanding stock option was converted into an option to purchase shares of the Company’s Common Stock based on an exchange ratio of 0.2467416, and each outstanding restricted stock award was converted into restricted stock awards of the Company that, upon vesting, may be settled for shares of the Company’s Common Stock based on an exchange ratio of 0.2467416.</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private warrants of Momentus Inc. common stock were also converted into warrants to purchase shares of the Company’s Common Stock based on an exchange ratio of 0.2467416.</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public and private warrant of SRAC that was unexercised at the time of the Merger was assumed by the Company and represents the right to purchase one share of the Company’s Common Stock upon exercise of such warrant. See Note 11 for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Lock-up Agreements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conjunction with the Closing, certain insider stockholders executed lock-up agreements, pursuant to which such stockholders agree not to transfer any shares of Common Stock for a period of six months after the Closing or, if earlier, the first date the closing price of the Common Stock equals or exceeds $12.00 per share for any 20 trading days within any 30-trading day period following the Closing.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PIPE Investment</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October 7, 2020 and July 15, 2021, SRAC entered into subscription agreements with the PIPE Investors to which such investors collectively subscribed for an aggregate of 11,000,000 shares of the Company’s Common Stock at $10.00 per share for aggregate gross proceeds of $110.0 million. The PIPE Investors were also granted an equal number of private warrants to purchase the Company’s Common Stock at $11.50 per share. The warrants were recorded as a derivative liability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and the warrant liability was initially valued at $30.5 million. See Note 11. The PIPE Investment was consummated concurrently with the closing of the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Prepaids and Other Current Assets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Prepaids and other current assets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37"/>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vMerge w:val="continue"/>
          </w:tcPr>
          <w:p>
            <w:pPr>
              <w:spacing w:after="0"/>
              <w:rPr>
                <w:sz w:val="17"/>
                <w:szCs w:val="17"/>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rPr>
              <w:t>2022</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launch costs, current</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Prepaid research and development</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3,813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4,870</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 and other assets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2,640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4,562</w:t>
            </w:r>
          </w:p>
        </w:tc>
        <w:tc>
          <w:tcPr>
            <w:tcW w:w="0" w:type="dxa"/>
            <w:vAlign w:val="bottom"/>
          </w:tcPr>
          <w:p>
            <w:pPr>
              <w:spacing w:after="0"/>
              <w:rPr>
                <w:sz w:val="1"/>
                <w:szCs w:val="1"/>
                <w:color w:val="auto"/>
              </w:rPr>
            </w:pPr>
          </w:p>
        </w:tc>
      </w:tr>
      <w:tr>
        <w:trPr>
          <w:trHeight w:val="211"/>
        </w:trPr>
        <w:tc>
          <w:tcPr>
            <w:tcW w:w="8040" w:type="dxa"/>
            <w:vAlign w:val="bottom"/>
          </w:tcPr>
          <w:p>
            <w:pPr>
              <w:ind w:left="22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tcPr>
          <w:p>
            <w:pPr>
              <w:jc w:val="right"/>
              <w:ind w:right="89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7,517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9,431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2022 and December 31, 2021, the non-current portion of prepaid launch costs recorded in other non-current assets was $3.6 million and $3.0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FAA Application</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May 10, 2021, the Company received a letter from the FAA denying the Company’s application for a payload review for the then-planned June 2021 launch. According to the letter, during an interagency consultation, the FAA was informed that the launch of the Company’s payload posed national security concerns associated with the Company’s then-current corporate structure. The letter further stated that the FAA understood that the Company was undergoing a process that might resolve the national security concerns, and that the FAA could reconsider a payload application when that process was completed.</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a result of the FAA application denial,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were non-recoverable as this was the third time the payload was rescheduled. As a result of the notification from one of its launch service providers, the Company recorded an impairment charge of $8.7 million of prepaid launch costs during the six months ended June 30, 2021. There was an unrelated impairment of $0.8 million for the three and six months ended June 30, 2021.</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12, 2021, the Company began discussions with the same launch service provider about reestablishing a future launch schedule. As a result of such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transfer vehicle (Vigoride 3) in May 2022. The FAA favorable determination follows a license from the Federal Communications Commission (the “FCC”) received on April 28, 2022, and updates to existing licenses from the National Oceanic and Atmospheric Administration (the “NOAA”).</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 future missions remain subject to the receipt of licenses and government approvals, and successful completion of current efforts to get the system ready for flight. Refer to “</w:t>
      </w:r>
      <w:r>
        <w:rPr>
          <w:rFonts w:ascii="Arial" w:cs="Arial" w:eastAsia="Arial" w:hAnsi="Arial"/>
          <w:sz w:val="17"/>
          <w:szCs w:val="17"/>
          <w:i w:val="1"/>
          <w:iCs w:val="1"/>
          <w:color w:val="auto"/>
        </w:rPr>
        <w:t>Risk Factors — We may not receive all required governmental licenses and approvals,” and</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 — We are dependent on the successful</w:t>
      </w:r>
      <w:r>
        <w:rPr>
          <w:rFonts w:ascii="Arial" w:cs="Arial" w:eastAsia="Arial" w:hAnsi="Arial"/>
          <w:sz w:val="17"/>
          <w:szCs w:val="17"/>
          <w:color w:val="auto"/>
        </w:rPr>
        <w:t xml:space="preserve"> </w:t>
      </w:r>
      <w:r>
        <w:rPr>
          <w:rFonts w:ascii="Arial" w:cs="Arial" w:eastAsia="Arial" w:hAnsi="Arial"/>
          <w:sz w:val="17"/>
          <w:szCs w:val="17"/>
          <w:i w:val="1"/>
          <w:iCs w:val="1"/>
          <w:color w:val="auto"/>
        </w:rPr>
        <w:t>development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10-K filed with the SEC on March 9, 2022.</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connection with the launch of the Company’s first Vigoride (Vigoride 3) and the third 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$0.6 million allocated to the Vigoride vehicle was amortized to research and development costs, and $0.6 million allocated to the third party deployer, intended as a demonstration of Company’s business model, was amortized to selling, general and administrative costs. As a result of the launch, the Company realized $1.8 million of benefit from the recovery of previously impaired prepaid launch costs.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Property, Machinery and Equipment, net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Property, machinery and equipment, net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14"/>
                <w:szCs w:val="14"/>
                <w:color w:val="auto"/>
              </w:rPr>
            </w:pPr>
          </w:p>
        </w:tc>
        <w:tc>
          <w:tcPr>
            <w:tcW w:w="1400" w:type="dxa"/>
            <w:vAlign w:val="bottom"/>
          </w:tcPr>
          <w:p>
            <w:pPr>
              <w:jc w:val="right"/>
              <w:ind w:right="27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78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2,693</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3,332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in-progress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1"/>
        </w:trPr>
        <w:tc>
          <w:tcPr>
            <w:tcW w:w="7820" w:type="dxa"/>
            <w:vAlign w:val="bottom"/>
          </w:tcPr>
          <w:p>
            <w:pPr>
              <w:ind w:left="220"/>
              <w:spacing w:after="0"/>
              <w:rPr>
                <w:sz w:val="20"/>
                <w:szCs w:val="20"/>
                <w:color w:val="auto"/>
              </w:rPr>
            </w:pPr>
            <w:r>
              <w:rPr>
                <w:rFonts w:ascii="Arial" w:cs="Arial" w:eastAsia="Arial" w:hAnsi="Arial"/>
                <w:sz w:val="17"/>
                <w:szCs w:val="17"/>
                <w:color w:val="auto"/>
              </w:rPr>
              <w:t>Property, machinery and equipment, gross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6,656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0" w:type="dxa"/>
            <w:vAlign w:val="bottom"/>
          </w:tcPr>
          <w:p>
            <w:pPr>
              <w:spacing w:after="0"/>
              <w:rPr>
                <w:sz w:val="1"/>
                <w:szCs w:val="1"/>
                <w:color w:val="auto"/>
              </w:rPr>
            </w:pPr>
          </w:p>
        </w:tc>
      </w:tr>
      <w:tr>
        <w:trPr>
          <w:trHeight w:val="211"/>
        </w:trPr>
        <w:tc>
          <w:tcPr>
            <w:tcW w:w="7820" w:type="dxa"/>
            <w:vAlign w:val="bottom"/>
          </w:tcPr>
          <w:p>
            <w:pPr>
              <w:ind w:left="220"/>
              <w:spacing w:after="0"/>
              <w:rPr>
                <w:sz w:val="20"/>
                <w:szCs w:val="20"/>
                <w:color w:val="auto"/>
              </w:rPr>
            </w:pPr>
            <w:r>
              <w:rPr>
                <w:rFonts w:ascii="Arial" w:cs="Arial" w:eastAsia="Arial" w:hAnsi="Arial"/>
                <w:sz w:val="17"/>
                <w:szCs w:val="17"/>
                <w:color w:val="auto"/>
              </w:rPr>
              <w:t>Property, machinery and equipment, net</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Depreciation expense related to property, machinery and equipment was $0.2 million and $0.5 million for the three and six months ended June 30, 2022, respectively, and $0.2 million and $0.4 million for the three and six months ended June 30, 2021, respectively. The Company had immaterial disposals of furniture and machinery during the three and six months ended June 30, 2022.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Intangible Assets, net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June 30,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Accumulated</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2"/>
              </w:rPr>
              <w:t>amortization period</w:t>
            </w: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8"/>
              </w:rPr>
              <w:t>Gross Value</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Net Value</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Patents/Intellectual Property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6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7.2</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Capitalized cloud implementation costs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164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92"/>
              </w:rPr>
              <w:t>2.6</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December 31,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Accumulated</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2"/>
              </w:rPr>
              <w:t>amortization period</w:t>
            </w: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98"/>
              </w:rPr>
              <w:t>Gross Value</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Net Value</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Patents/Intellectual Property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64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7.5</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Capitalized cloud implementation costs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64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92"/>
              </w:rPr>
              <w:t>2.6</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related to intangible assets was $44 thousand and $82 thousand for the three and six months ended June 30, 2022, respectively, and $12 thousand and $22 thousand for the three and six months ended June 30, 2021, respectively.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20" w:type="dxa"/>
            <w:vAlign w:val="bottom"/>
          </w:tcPr>
          <w:p>
            <w:pPr>
              <w:spacing w:after="0"/>
              <w:rPr>
                <w:sz w:val="20"/>
                <w:szCs w:val="20"/>
                <w:color w:val="auto"/>
              </w:rPr>
            </w:pPr>
            <w:r>
              <w:rPr>
                <w:rFonts w:ascii="Arial" w:cs="Arial" w:eastAsia="Arial" w:hAnsi="Arial"/>
                <w:sz w:val="17"/>
                <w:szCs w:val="17"/>
                <w:color w:val="auto"/>
              </w:rPr>
              <w:t>As of June 30, 2022, the future estimated amortization expense related to intangible assets is as follows:</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75"/>
        </w:trPr>
        <w:tc>
          <w:tcPr>
            <w:tcW w:w="92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18"/>
        </w:trPr>
        <w:tc>
          <w:tcPr>
            <w:tcW w:w="9220" w:type="dxa"/>
            <w:vAlign w:val="bottom"/>
          </w:tcPr>
          <w:p>
            <w:pPr>
              <w:ind w:left="20"/>
              <w:spacing w:after="0"/>
              <w:rPr>
                <w:sz w:val="20"/>
                <w:szCs w:val="20"/>
                <w:color w:val="auto"/>
              </w:rPr>
            </w:pPr>
            <w:r>
              <w:rPr>
                <w:rFonts w:ascii="Arial" w:cs="Arial" w:eastAsia="Arial" w:hAnsi="Arial"/>
                <w:sz w:val="17"/>
                <w:szCs w:val="17"/>
                <w:color w:val="auto"/>
              </w:rPr>
              <w:t>2023</w:t>
            </w:r>
          </w:p>
        </w:tc>
        <w:tc>
          <w:tcPr>
            <w:tcW w:w="9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18"/>
        </w:trPr>
        <w:tc>
          <w:tcPr>
            <w:tcW w:w="9220" w:type="dxa"/>
            <w:vAlign w:val="bottom"/>
          </w:tcPr>
          <w:p>
            <w:pPr>
              <w:ind w:left="20"/>
              <w:spacing w:after="0"/>
              <w:rPr>
                <w:sz w:val="20"/>
                <w:szCs w:val="20"/>
                <w:color w:val="auto"/>
              </w:rPr>
            </w:pPr>
            <w:r>
              <w:rPr>
                <w:rFonts w:ascii="Arial" w:cs="Arial" w:eastAsia="Arial" w:hAnsi="Arial"/>
                <w:sz w:val="17"/>
                <w:szCs w:val="17"/>
                <w:color w:val="auto"/>
              </w:rPr>
              <w:t>2025</w:t>
            </w:r>
          </w:p>
        </w:tc>
        <w:tc>
          <w:tcPr>
            <w:tcW w:w="9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37"/>
        </w:trPr>
        <w:tc>
          <w:tcPr>
            <w:tcW w:w="9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intangible asset impairments during both the three and six months ended June 30, 2022, and 2021.</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Leases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under non-cancellable operating leases with terms expiring from November 2022 through February 2028. The leases require monthly lease payments that are subject to annual increase throughout the lease term.</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2021, the Company commenced a lease at a new location in San Jose, California. The lease expires in February 2028. The Company is obligated to pay approximately $11 million over the term of the lease. Prior to December 31, 2021, the Company modified two minor leases to extend access until April 2022 to aid the full transition to the San Jose facility. The Company has one additional minor lease expiring in November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20"/>
                <w:szCs w:val="20"/>
                <w:color w:val="auto"/>
              </w:rPr>
            </w:pPr>
            <w:r>
              <w:rPr>
                <w:rFonts w:ascii="Arial" w:cs="Arial" w:eastAsia="Arial" w:hAnsi="Arial"/>
                <w:sz w:val="17"/>
                <w:szCs w:val="17"/>
                <w:color w:val="auto"/>
              </w:rPr>
              <w:t>The components of operating lease expense were as follows:</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4740" w:type="dxa"/>
            <w:vAlign w:val="bottom"/>
          </w:tcPr>
          <w:p>
            <w:pPr>
              <w:spacing w:after="0"/>
              <w:rPr>
                <w:sz w:val="16"/>
                <w:szCs w:val="16"/>
                <w:color w:val="auto"/>
              </w:rPr>
            </w:pPr>
          </w:p>
        </w:tc>
        <w:tc>
          <w:tcPr>
            <w:tcW w:w="276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Three Months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834"/>
              <w:spacing w:after="0"/>
              <w:rPr>
                <w:sz w:val="20"/>
                <w:szCs w:val="20"/>
                <w:color w:val="auto"/>
              </w:rPr>
            </w:pPr>
            <w:r>
              <w:rPr>
                <w:rFonts w:ascii="Arial" w:cs="Arial" w:eastAsia="Arial" w:hAnsi="Arial"/>
                <w:sz w:val="17"/>
                <w:szCs w:val="17"/>
                <w:b w:val="1"/>
                <w:bCs w:val="1"/>
                <w:color w:val="auto"/>
              </w:rPr>
              <w:t>Six Months Ended</w:t>
            </w:r>
          </w:p>
        </w:tc>
      </w:tr>
      <w:tr>
        <w:trPr>
          <w:trHeight w:val="231"/>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7"/>
                <w:szCs w:val="17"/>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13"/>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2021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2021</w:t>
            </w:r>
          </w:p>
        </w:tc>
      </w:tr>
      <w:tr>
        <w:trPr>
          <w:trHeight w:val="211"/>
        </w:trPr>
        <w:tc>
          <w:tcPr>
            <w:tcW w:w="4740" w:type="dxa"/>
            <w:vAlign w:val="bottom"/>
          </w:tcPr>
          <w:p>
            <w:pPr>
              <w:ind w:left="20"/>
              <w:spacing w:after="0"/>
              <w:rPr>
                <w:sz w:val="20"/>
                <w:szCs w:val="20"/>
                <w:color w:val="auto"/>
              </w:rPr>
            </w:pPr>
            <w:r>
              <w:rPr>
                <w:rFonts w:ascii="Arial" w:cs="Arial" w:eastAsia="Arial" w:hAnsi="Arial"/>
                <w:sz w:val="17"/>
                <w:szCs w:val="17"/>
                <w:color w:val="auto"/>
              </w:rPr>
              <w:t>Operating lease cost</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844</w:t>
            </w:r>
          </w:p>
        </w:tc>
        <w:tc>
          <w:tcPr>
            <w:tcW w:w="80" w:type="dxa"/>
            <w:vAlign w:val="bottom"/>
          </w:tcPr>
          <w:p>
            <w:pPr>
              <w:spacing w:after="0"/>
              <w:rPr>
                <w:sz w:val="18"/>
                <w:szCs w:val="18"/>
                <w:color w:val="auto"/>
              </w:rPr>
            </w:pPr>
          </w:p>
        </w:tc>
        <w:tc>
          <w:tcPr>
            <w:tcW w:w="44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871</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expense</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expense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32"/>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expense</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200" w:type="dxa"/>
            <w:vAlign w:val="bottom"/>
            <w:gridSpan w:val="2"/>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expense consists of the Company’s proportionate share of operating expenses, property taxes, and insurance.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the weighted-average remaining lease term was 5.6 years and the weighted-average discount rate was 5.6%.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7. Leases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40" w:type="dxa"/>
            <w:vAlign w:val="bottom"/>
          </w:tcPr>
          <w:p>
            <w:pPr>
              <w:spacing w:after="0"/>
              <w:rPr>
                <w:sz w:val="20"/>
                <w:szCs w:val="20"/>
                <w:color w:val="auto"/>
              </w:rPr>
            </w:pPr>
            <w:r>
              <w:rPr>
                <w:rFonts w:ascii="Arial" w:cs="Arial" w:eastAsia="Arial" w:hAnsi="Arial"/>
                <w:sz w:val="17"/>
                <w:szCs w:val="17"/>
                <w:color w:val="auto"/>
              </w:rPr>
              <w:t>As of June 30, 2022, the maturities of the Company’s operating lease liabilities were as follows: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0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2023</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1,533</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2025</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1,674</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payments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9,218</w:t>
            </w:r>
          </w:p>
        </w:tc>
        <w:tc>
          <w:tcPr>
            <w:tcW w:w="0" w:type="dxa"/>
            <w:vAlign w:val="bottom"/>
          </w:tcPr>
          <w:p>
            <w:pPr>
              <w:spacing w:after="0"/>
              <w:rPr>
                <w:sz w:val="1"/>
                <w:szCs w:val="1"/>
                <w:color w:val="auto"/>
              </w:rPr>
            </w:pPr>
          </w:p>
        </w:tc>
      </w:tr>
      <w:tr>
        <w:trPr>
          <w:trHeight w:val="21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Present value of lease liabilities</w:t>
            </w:r>
          </w:p>
        </w:tc>
        <w:tc>
          <w:tcPr>
            <w:tcW w:w="10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Note 8. Accrued Expenses</w:t>
            </w: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80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040" w:type="dxa"/>
            <w:vAlign w:val="bottom"/>
          </w:tcPr>
          <w:p>
            <w:pPr>
              <w:spacing w:after="0"/>
              <w:rPr>
                <w:sz w:val="20"/>
                <w:szCs w:val="20"/>
                <w:color w:val="auto"/>
              </w:rPr>
            </w:pPr>
            <w:r>
              <w:rPr>
                <w:rFonts w:ascii="Arial" w:cs="Arial" w:eastAsia="Arial" w:hAnsi="Arial"/>
                <w:sz w:val="17"/>
                <w:szCs w:val="17"/>
                <w:color w:val="auto"/>
              </w:rPr>
              <w:t>Accrued expenses consisted of the following: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5"/>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vMerge w:val="continue"/>
          </w:tcPr>
          <w:p>
            <w:pPr>
              <w:spacing w:after="0"/>
              <w:rPr>
                <w:sz w:val="17"/>
                <w:szCs w:val="17"/>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and other professional services</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3,541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4,121</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Compensation expense</w:t>
            </w:r>
          </w:p>
        </w:tc>
        <w:tc>
          <w:tcPr>
            <w:tcW w:w="10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1,722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3,862</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projects</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1,242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Other current expense</w:t>
            </w:r>
          </w:p>
        </w:tc>
        <w:tc>
          <w:tcPr>
            <w:tcW w:w="10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363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tax expense</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11"/>
        </w:trPr>
        <w:tc>
          <w:tcPr>
            <w:tcW w:w="8040" w:type="dxa"/>
            <w:vAlign w:val="bottom"/>
          </w:tcPr>
          <w:p>
            <w:pPr>
              <w:ind w:left="220"/>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tcPr>
          <w:p>
            <w:pPr>
              <w:jc w:val="right"/>
              <w:ind w:right="89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9"/>
              </w:rPr>
              <w:t>7,031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SAFE Notes</w:t>
      </w:r>
    </w:p>
    <w:p>
      <w:pPr>
        <w:spacing w:after="0" w:line="15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issued SAFE notes to investors. During the six months ended June 30, 2021, the Company issued SAFE notes to investors in exchange for aggregate proceeds of $30.9 million. On August 12, 2021, as a result of the Business Combination, all of the Company’s outstanding SAFE notes, representing principal of $78 million and a fair value of $136 million on the conversion date, converted into 12,403,469 shares of Common Stock of the Combined Company.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Prior to conversion, the Company determined that the SAFE notes were not a legal form of debt (i.e., no creditors’ rights). The SAFE notes included a provision allowing for cash redemption upon the occurrence of a change of control, the occurrence of which was outside the control of the Company. The provision required the SAFE notes be classified as marked-to-market liabilities pursuant to ASC 480. The income (loss) reported from the decrease (increase) in the estimated fair value of the SAFE notes was $100.8 million and $182.4 million for the three and six months ended June 30, 2021, respectively. These amounts are included in other income (expense).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Loan Payable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February 22, 2021, the Company entered into a Term Loan and Security Agreement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by the June 30, 2021 deadline. The repayment terms of the Term Loan provide for interest-only payments beginning March 1, 2021 through February 28, 2022.</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10. Loan Payable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The warrant’s original estimated fair value of $15.6 million was recorded as a derivative liability under ASC 815 with the offset recorded as a debt discount. On August 12, 2021 the lender exercised the warrant. See Note 11. Additionally, the Company incurred debt issuance costs of $0.1 million, which were recorded as a direct deduction from the carrying amount of the Term Loan.</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allocated the proceeds from the Term Loan agreement to the note and warrants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result of the exercised extended repayment schedule, the unamortized discount and issuance costs were recast over the updated term of the loan and resulted in a recalculated effective interest rate of 28.2%. Interest expense amortization was $0.7 million and $1.5 million for the three and six months ended June 30, 2022, respectively, and $2.6 million and $3.4 million for the three and six months ended June 30, 2021, respectively.</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June 30, 2022, the Company’s total loan payable consisted of gross Term Loan payable of $21.2 million and accrued interest of $0.1 million, offset by unamortized debt discount and issuance costs of $2.6 million. The Term Loan principal has future scheduled maturities for the remainder of 2022 of $5.9 million, as well as $13.0 million and $2.3 million for 2023 and 2024,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June 29, 2021, the Company and SRAC amended the Merger Agreement which, among other things, provided for the issuance by the Company of two second lien notes (the “Promissory Notes”). The Promissory Notes, in the amount of $1.5 million each, were held by the Company’s outside counsel and SRAC, and were for certain legal fees and expenses incurred by SRAC and the Company in relation to the Merger Agreement. As a result of the Business Combination, the amount due to SRAC became an intercompany transaction which was eliminated from the combined entity’s consolidated balance sheets. During the year ended December 31, 2021, the Company signed an agreement with its outside counsel and made a payment which settled the Promissory Notes as well as all outstanding payables. The agreement resulted in a reduction of $2.6 million in the amount due for expenses incurred during the year, which was recorded as a reduction to legal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Stockholders’ Equity (Deficit) and Stock-based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and Preferred Stock</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terms of the Second Amended and Restated Certificate of Incorporation, the Company is authorized and has available a total of 270,000,000 shares of stock, consisting of (i) 250,000,000 shares of Common Stock, par value $0.00001 per share, and (ii) 20,000,000 shares of preferred stock, par value $0.00001 per share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At the Closing of the Business Combination, the Company had 79,772,262 shares of Common Stock outstanding and no shares of Preferred Stock outstanding.</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Company’s Common Stock outstanding immediately after the Business Combination: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tcPr>
          <w:p>
            <w:pPr>
              <w:spacing w:after="0"/>
              <w:rPr>
                <w:sz w:val="19"/>
                <w:szCs w:val="19"/>
                <w:color w:val="auto"/>
              </w:rPr>
            </w:pPr>
          </w:p>
        </w:tc>
        <w:tc>
          <w:tcPr>
            <w:tcW w:w="1520" w:type="dxa"/>
            <w:vAlign w:val="bottom"/>
            <w:gridSpan w:val="2"/>
          </w:tcPr>
          <w:p>
            <w:pPr>
              <w:ind w:left="460"/>
              <w:spacing w:after="0"/>
              <w:rPr>
                <w:sz w:val="20"/>
                <w:szCs w:val="20"/>
                <w:color w:val="auto"/>
              </w:rPr>
            </w:pPr>
            <w:r>
              <w:rPr>
                <w:rFonts w:ascii="Arial" w:cs="Arial" w:eastAsia="Arial" w:hAnsi="Arial"/>
                <w:sz w:val="17"/>
                <w:szCs w:val="17"/>
                <w:b w:val="1"/>
                <w:bCs w:val="1"/>
                <w:color w:val="auto"/>
              </w:rPr>
              <w:t>Shares</w:t>
            </w:r>
          </w:p>
        </w:tc>
        <w:tc>
          <w:tcPr>
            <w:tcW w:w="1360" w:type="dxa"/>
            <w:vAlign w:val="bottom"/>
          </w:tcPr>
          <w:p>
            <w:pPr>
              <w:jc w:val="right"/>
              <w:ind w:right="414"/>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r>
      <w:tr>
        <w:trPr>
          <w:trHeight w:val="213"/>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Momentus Space, LLC unit holders</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50,419,505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Public stockholders</w:t>
            </w:r>
          </w:p>
        </w:tc>
        <w:tc>
          <w:tcPr>
            <w:tcW w:w="1420" w:type="dxa"/>
            <w:vAlign w:val="bottom"/>
          </w:tcPr>
          <w:p>
            <w:pPr>
              <w:jc w:val="right"/>
              <w:spacing w:after="0"/>
              <w:rPr>
                <w:sz w:val="20"/>
                <w:szCs w:val="20"/>
                <w:color w:val="auto"/>
              </w:rPr>
            </w:pPr>
            <w:r>
              <w:rPr>
                <w:rFonts w:ascii="Arial" w:cs="Arial" w:eastAsia="Arial" w:hAnsi="Arial"/>
                <w:sz w:val="17"/>
                <w:szCs w:val="17"/>
                <w:color w:val="auto"/>
              </w:rPr>
              <w:t>13,695,257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SRAC and its affiliates</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4,657,500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PIPE Investors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11,000,000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79,772,262</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Co-Founder Divestment and Share Repurchase</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accordance with the NSA and pursuant to certain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resulting in an estimated liability of $5.8 million expected to be paid to the Co-Founders with a corresponding offset to additional paid in capital, as of June 30, 2022.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Purchase Warrants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February 2021, the Company entered into the Term Loan. In conjunction with the Term Loan, warrants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remaining 20% of the warrants were forfeited on June 30, 2021. The warrant’s original estimated fair value of $15.6 million was recorded as a derivative liability under ASC 815 with the offset recorded as a debt discount. The Company recorded the decrease in the estimated fair value of the warrant of $(4.1) million and $(11.1) million for three and six months ended June 30, 2021, respectively, within other income (expense) in the accompanying consolidated income statements. The warrants were exercised by the lender immediately prior to the Business Combination. The loan remains outstanding as of June 30, 2022.</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Company entered into an equipment financing agreement to fund the acquisition of specific and eligible equipment (the “Equipment Loan”). In conjunction with the Equipment Loan, the Company issued stock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purchase warrants to the lender, which allowed for the purchase of 191,108 shares of Common Stock in a subsequent round of financing. These warrants were also accounted for as a derivative liability and the decrease in the estimated fair value of the warrant of $(0.4) million and $(1.5) million for the three and six months ended June 30, 2021, respectively, was recorded within other income (expense) in the accompanying consolidated income statements. The warrants were exercised by the lender immediately prior to the Business Combination.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and Private Warrants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June 30, 2022, the Company had public and private warrants outstanding to purchase 8,625,000 and 11,272,500 of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Company had private warrants outstanding to purchase 308,569 shares of Common Stock, with an exercise price of $0.20 per share, unrelated to the Business Combination, which were exercised on a net basis for 278,146 shares during the six months ended June 30, 2022.</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private warrants assumed in connection with the Business Combination were accounted for as a derivative liability and the decrease in estimated fair value of the warrants of $(2.3) million and $(1.8) million for the three and six months ended June 30, 2022, respectively, was recorded within other expense. The public warrants and the legacy outstanding private warrants were recorded as equity.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Sponsor Earnout Shares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 result of the Business Combination, the Company modified the terms of 1,437,500 shares of Common Stock held by SRAC’s sponsor (the “Sponsor Earnout Shares”), such that all such shares will be forfeited if the share price of Common Stock does not reach a volume-weighted average closing sale price of $12.50, two thirds of such shares will be forfeited if the share price of Common Stock does not reach a volume-weighted average closing sale price of $15.00, and one third of such shares will be forfeited if the share price of Common Stock does not reach a volume-weighted average closing sale price of $17.50, in each case, prior to the fifth anniversary of the Business Combination. Certain events which change the number of outstanding shares of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1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Sponsor Earnout Shares are recorded within equity. Due to the contingently forfeitable nature of the shares, the Sponsor Earnout Shares are excluded from basic EPS calculations, but are considered potentially dilutive shares of the purposes of diluted EPS (refer to “</w:t>
      </w:r>
      <w:r>
        <w:rPr>
          <w:rFonts w:ascii="Arial" w:cs="Arial" w:eastAsia="Arial" w:hAnsi="Arial"/>
          <w:sz w:val="16"/>
          <w:szCs w:val="16"/>
          <w:i w:val="1"/>
          <w:iCs w:val="1"/>
          <w:color w:val="auto"/>
        </w:rPr>
        <w:t>Income (Loss) Per Share”</w:t>
      </w:r>
      <w:r>
        <w:rPr>
          <w:rFonts w:ascii="Arial" w:cs="Arial" w:eastAsia="Arial" w:hAnsi="Arial"/>
          <w:sz w:val="16"/>
          <w:szCs w:val="16"/>
          <w:color w:val="auto"/>
        </w:rPr>
        <w:t xml:space="preserve"> below).</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Plans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 Stock Plans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and March 2020, the Board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connection with the Closing, the Company adopted the 2021 Equity Incentive Plan (the “2021 Plan”), under which 5,982,922 shares of Common Stock were initially reserved for issuance. The 2021 Plan allows for the issuance of incentive stock options (“ISOs”), non-qualified stock options (“NSOs”), restricted stock awards (“RSAs”), stock appreciation rights (“SARs”), restricted stock units (“RSUs”), and performance awards. The Board of Directors determines the period over which grants become exercisable. The 2021 Plan became effective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lessor of (i) three percent (3.0%) of the outstanding shares on the last day of the immediately preceding fiscal year and (ii) such number of Shares determined by the Board. During the six months ended June 30, 2022, the shares available for grant under the 2021 Plan increased by 2,436,353 and 255,017 due to the evergreen provision and forfeitures from the Initial Plan and the 2018 Plan, respectively. As of June 30, 2022, there were 1,363,167 shares remaining available for grant. Grant activity under the 2021 Plan is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the Closing, the Company adopted the Employee Stock Purchase Plan (the “2021 ESPP Plan”), under which 1,595,445 shares of Common Stock were initially reserved for issuance. The Plan provides a means by which eligible employees of the Company may be given an opportunity to purchase shares of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lessor of (i) half a percent (0.5%) of the outstanding shares on the last day of the calendar month prior to the date of such automatic increase and (ii) 1,595,445 shares. The 2021 ESPP Plan became effective immediately following the Closing. During the six months ended June 30, 2022, the shares available for issuance under the 2021 ESPP Plan increased by 406,059 due to the evergreen provision. During the six months ended June 30, 2022, 77,162 shares were issued under the 2021 ESPP Plan. The Company has an outstanding liability pertaining to the ESPP of $0.1 million as of June 30, 2022, included in accrued expenses, for employee contributions to the 2021 ESPP Plan, pending issuance at the end of the offering period.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Inducement Equity Plan</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February 2022, the Company adopted the 2022 Inducement Equity Plan (the “2022 Plan”), under which 4,000,000 shares of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 As of June 30, 2022 only RSU grants have been made under the 2022 Plan and there were 2,276,253 shares remaining available for grant. Grant activity under the 2022 Plan is described below.</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Activity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summary of options activity, under the 2018 Plan and the 2021 Plans, for the six months ended June 30,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Weighted- Average</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Weighted- Average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Remaining</w:t>
            </w:r>
          </w:p>
        </w:tc>
        <w:tc>
          <w:tcPr>
            <w:tcW w:w="1320" w:type="dxa"/>
            <w:vAlign w:val="bottom"/>
            <w:gridSpan w:val="2"/>
            <w:vMerge w:val="restart"/>
          </w:tcPr>
          <w:p>
            <w:pPr>
              <w:jc w:val="right"/>
              <w:ind w:right="5"/>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8"/>
        </w:trPr>
        <w:tc>
          <w:tcPr>
            <w:tcW w:w="562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 except share-based data)</w:t>
            </w:r>
          </w:p>
        </w:tc>
        <w:tc>
          <w:tcPr>
            <w:tcW w:w="13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Total 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88"/>
              </w:rPr>
              <w:t>Exercise Price Per</w:t>
            </w:r>
          </w:p>
        </w:tc>
        <w:tc>
          <w:tcPr>
            <w:tcW w:w="150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1"/>
              </w:rPr>
              <w:t>Contractual Term (in</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7"/>
              </w:rPr>
              <w:t>Share</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years)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December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4,043,492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0.27</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5"/>
                <w:szCs w:val="15"/>
                <w:color w:val="auto"/>
              </w:rPr>
              <w:t>Granted</w:t>
            </w:r>
          </w:p>
        </w:tc>
        <w:tc>
          <w:tcPr>
            <w:tcW w:w="1300" w:type="dxa"/>
            <w:vAlign w:val="bottom"/>
          </w:tcPr>
          <w:p>
            <w:pPr>
              <w:jc w:val="right"/>
              <w:spacing w:after="0"/>
              <w:rPr>
                <w:sz w:val="20"/>
                <w:szCs w:val="20"/>
                <w:color w:val="auto"/>
              </w:rPr>
            </w:pPr>
            <w:r>
              <w:rPr>
                <w:rFonts w:ascii="Arial" w:cs="Arial" w:eastAsia="Arial" w:hAnsi="Arial"/>
                <w:sz w:val="15"/>
                <w:szCs w:val="15"/>
                <w:color w:val="auto"/>
              </w:rPr>
              <w:t>1,064,862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2.54</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 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0.27</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Forfeitures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(255,017)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right"/>
              <w:ind w:right="5"/>
              <w:spacing w:after="0"/>
              <w:rPr>
                <w:sz w:val="20"/>
                <w:szCs w:val="20"/>
                <w:color w:val="auto"/>
              </w:rPr>
            </w:pPr>
            <w:r>
              <w:rPr>
                <w:rFonts w:ascii="Arial" w:cs="Arial" w:eastAsia="Arial" w:hAnsi="Arial"/>
                <w:sz w:val="15"/>
                <w:szCs w:val="15"/>
                <w:color w:val="auto"/>
              </w:rPr>
              <w:t>0.27</w:t>
            </w: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as of June 30,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3,384,786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0.98</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6"/>
              </w:rPr>
              <w:t>7.3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20" w:type="dxa"/>
            <w:vAlign w:val="bottom"/>
          </w:tcPr>
          <w:p>
            <w:pPr>
              <w:ind w:left="20"/>
              <w:spacing w:after="0"/>
              <w:rPr>
                <w:sz w:val="20"/>
                <w:szCs w:val="20"/>
                <w:color w:val="auto"/>
              </w:rPr>
            </w:pPr>
            <w:r>
              <w:rPr>
                <w:rFonts w:ascii="Arial" w:cs="Arial" w:eastAsia="Arial" w:hAnsi="Arial"/>
                <w:sz w:val="15"/>
                <w:szCs w:val="15"/>
                <w:color w:val="auto"/>
              </w:rPr>
              <w:t>Exercisable as of June 30, 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1,641,510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0.38</w:t>
            </w:r>
          </w:p>
        </w:tc>
        <w:tc>
          <w:tcPr>
            <w:tcW w:w="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86"/>
              </w:rPr>
              <w:t>5.8</w:t>
            </w:r>
          </w:p>
        </w:tc>
        <w:tc>
          <w:tcPr>
            <w:tcW w:w="80" w:type="dxa"/>
            <w:vAlign w:val="bottom"/>
          </w:tcPr>
          <w:p>
            <w:pPr>
              <w:spacing w:after="0"/>
              <w:rPr>
                <w:sz w:val="15"/>
                <w:szCs w:val="15"/>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2,956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Vested and expected to vest as of June 30,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3,384,786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0.98</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6"/>
              </w:rPr>
              <w:t>7.3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2022, there was a total of $1.8 million in unrecognized compensation cost related to unvested options, which is expected to be recognized over a weighted-average period of 2.1 years.</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intrinsic value of options exercised during the three and six months ended June 30, 2022, was $3.7 million and $4.1 million, respectively, and during the three and six months ended June 30, 2021 was $0.5 million and $5.3 million,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under the Black-Scholes-Merton Option Pricing model and weighted average fair value of options on the grant date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tcPr>
          <w:p>
            <w:pPr>
              <w:spacing w:after="0"/>
              <w:rPr>
                <w:sz w:val="17"/>
                <w:szCs w:val="17"/>
                <w:color w:val="auto"/>
              </w:rPr>
            </w:pPr>
          </w:p>
        </w:tc>
        <w:tc>
          <w:tcPr>
            <w:tcW w:w="4100" w:type="dxa"/>
            <w:vAlign w:val="bottom"/>
            <w:tcBorders>
              <w:bottom w:val="single" w:sz="8" w:color="auto"/>
            </w:tcBorders>
            <w:gridSpan w:val="3"/>
          </w:tcPr>
          <w:p>
            <w:pPr>
              <w:ind w:left="1140"/>
              <w:spacing w:after="0"/>
              <w:rPr>
                <w:sz w:val="20"/>
                <w:szCs w:val="20"/>
                <w:color w:val="auto"/>
              </w:rPr>
            </w:pPr>
            <w:r>
              <w:rPr>
                <w:rFonts w:ascii="Arial" w:cs="Arial" w:eastAsia="Arial" w:hAnsi="Arial"/>
                <w:sz w:val="15"/>
                <w:szCs w:val="15"/>
                <w:b w:val="1"/>
                <w:bCs w:val="1"/>
                <w:color w:val="auto"/>
              </w:rPr>
              <w:t>Six Months Ended June 30,</w:t>
            </w:r>
          </w:p>
        </w:tc>
      </w:tr>
      <w:tr>
        <w:trPr>
          <w:trHeight w:val="200"/>
        </w:trPr>
        <w:tc>
          <w:tcPr>
            <w:tcW w:w="714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2022</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ind w:left="840"/>
              <w:spacing w:after="0"/>
              <w:rPr>
                <w:sz w:val="20"/>
                <w:szCs w:val="20"/>
                <w:color w:val="auto"/>
              </w:rPr>
            </w:pPr>
            <w:r>
              <w:rPr>
                <w:rFonts w:ascii="Arial" w:cs="Arial" w:eastAsia="Arial" w:hAnsi="Arial"/>
                <w:sz w:val="15"/>
                <w:szCs w:val="15"/>
                <w:b w:val="1"/>
                <w:bCs w:val="1"/>
                <w:color w:val="auto"/>
              </w:rPr>
              <w:t>2021</w:t>
            </w:r>
          </w:p>
        </w:tc>
      </w:tr>
      <w:tr>
        <w:trPr>
          <w:trHeight w:val="214"/>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2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5.8</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N/A</w:t>
            </w: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2000" w:type="dxa"/>
            <w:vAlign w:val="bottom"/>
          </w:tcPr>
          <w:p>
            <w:pPr>
              <w:jc w:val="center"/>
              <w:spacing w:after="0"/>
              <w:rPr>
                <w:sz w:val="20"/>
                <w:szCs w:val="20"/>
                <w:color w:val="auto"/>
              </w:rPr>
            </w:pPr>
            <w:r>
              <w:rPr>
                <w:rFonts w:ascii="Arial" w:cs="Arial" w:eastAsia="Arial" w:hAnsi="Arial"/>
                <w:sz w:val="17"/>
                <w:szCs w:val="17"/>
                <w:color w:val="auto"/>
                <w:w w:val="91"/>
              </w:rPr>
              <w:t>2.35%</w:t>
            </w:r>
          </w:p>
        </w:tc>
        <w:tc>
          <w:tcPr>
            <w:tcW w:w="100" w:type="dxa"/>
            <w:vAlign w:val="bottom"/>
          </w:tcPr>
          <w:p>
            <w:pPr>
              <w:spacing w:after="0"/>
              <w:rPr>
                <w:sz w:val="18"/>
                <w:szCs w:val="18"/>
                <w:color w:val="auto"/>
              </w:rPr>
            </w:pPr>
          </w:p>
        </w:tc>
        <w:tc>
          <w:tcPr>
            <w:tcW w:w="2000" w:type="dxa"/>
            <w:vAlign w:val="bottom"/>
          </w:tcPr>
          <w:p>
            <w:pPr>
              <w:ind w:left="860"/>
              <w:spacing w:after="0"/>
              <w:rPr>
                <w:sz w:val="20"/>
                <w:szCs w:val="20"/>
                <w:color w:val="auto"/>
              </w:rPr>
            </w:pPr>
            <w:r>
              <w:rPr>
                <w:rFonts w:ascii="Arial" w:cs="Arial" w:eastAsia="Arial" w:hAnsi="Arial"/>
                <w:sz w:val="17"/>
                <w:szCs w:val="17"/>
                <w:color w:val="auto"/>
              </w:rPr>
              <w:t>N/A</w:t>
            </w: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2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61.90%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N/A</w:t>
            </w: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000" w:type="dxa"/>
            <w:vAlign w:val="bottom"/>
          </w:tcPr>
          <w:p>
            <w:pPr>
              <w:jc w:val="center"/>
              <w:spacing w:after="0"/>
              <w:rPr>
                <w:sz w:val="20"/>
                <w:szCs w:val="20"/>
                <w:color w:val="auto"/>
              </w:rPr>
            </w:pPr>
            <w:r>
              <w:rPr>
                <w:rFonts w:ascii="Arial" w:cs="Arial" w:eastAsia="Arial" w:hAnsi="Arial"/>
                <w:sz w:val="17"/>
                <w:szCs w:val="17"/>
                <w:color w:val="auto"/>
                <w:w w:val="91"/>
              </w:rPr>
              <w:t>0.00%</w:t>
            </w:r>
          </w:p>
        </w:tc>
        <w:tc>
          <w:tcPr>
            <w:tcW w:w="100" w:type="dxa"/>
            <w:vAlign w:val="bottom"/>
          </w:tcPr>
          <w:p>
            <w:pPr>
              <w:spacing w:after="0"/>
              <w:rPr>
                <w:sz w:val="18"/>
                <w:szCs w:val="18"/>
                <w:color w:val="auto"/>
              </w:rPr>
            </w:pPr>
          </w:p>
        </w:tc>
        <w:tc>
          <w:tcPr>
            <w:tcW w:w="2000" w:type="dxa"/>
            <w:vAlign w:val="bottom"/>
          </w:tcPr>
          <w:p>
            <w:pPr>
              <w:ind w:left="860"/>
              <w:spacing w:after="0"/>
              <w:rPr>
                <w:sz w:val="20"/>
                <w:szCs w:val="20"/>
                <w:color w:val="auto"/>
              </w:rPr>
            </w:pPr>
            <w:r>
              <w:rPr>
                <w:rFonts w:ascii="Arial" w:cs="Arial" w:eastAsia="Arial" w:hAnsi="Arial"/>
                <w:sz w:val="17"/>
                <w:szCs w:val="17"/>
                <w:color w:val="auto"/>
              </w:rPr>
              <w:t>N/A</w:t>
            </w: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on grant date</w:t>
            </w:r>
          </w:p>
        </w:tc>
        <w:tc>
          <w:tcPr>
            <w:tcW w:w="2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$1.46</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N/A</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and Restricted Stock Award Activity</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the summary of RSU and RSA activity, under the Initial Plan, the 2018 Plan, the 2021 Plan, and the 2022 Plan, for the six months ended June 30, 2022. RSAs were an immaterial portion of activity for the period:</w:t>
      </w:r>
    </w:p>
    <w:p>
      <w:pPr>
        <w:spacing w:after="0" w:line="125" w:lineRule="exact"/>
        <w:rPr>
          <w:sz w:val="20"/>
          <w:szCs w:val="20"/>
          <w:color w:val="auto"/>
        </w:rPr>
      </w:pPr>
    </w:p>
    <w:p>
      <w:pPr>
        <w:ind w:left="9140"/>
        <w:spacing w:after="0"/>
        <w:rPr>
          <w:sz w:val="20"/>
          <w:szCs w:val="20"/>
          <w:color w:val="auto"/>
        </w:rPr>
      </w:pPr>
      <w:r>
        <w:rPr>
          <w:rFonts w:ascii="Arial" w:cs="Arial" w:eastAsia="Arial" w:hAnsi="Arial"/>
          <w:sz w:val="17"/>
          <w:szCs w:val="17"/>
          <w:b w:val="1"/>
          <w:bCs w:val="1"/>
          <w:color w:val="auto"/>
        </w:rPr>
        <w:t>Weighted Average Grant</w:t>
      </w:r>
    </w:p>
    <w:p>
      <w:pPr>
        <w:ind w:left="9100"/>
        <w:spacing w:after="0" w:line="221" w:lineRule="auto"/>
        <w:rPr>
          <w:sz w:val="20"/>
          <w:szCs w:val="20"/>
          <w:color w:val="auto"/>
        </w:rPr>
      </w:pPr>
      <w:r>
        <w:rPr>
          <w:rFonts w:ascii="Arial" w:cs="Arial" w:eastAsia="Arial" w:hAnsi="Arial"/>
          <w:sz w:val="17"/>
          <w:szCs w:val="17"/>
          <w:b w:val="1"/>
          <w:bCs w:val="1"/>
          <w:color w:val="auto"/>
        </w:rPr>
        <w:t>Date Fair Value (i.e. share</w:t>
      </w:r>
    </w:p>
    <w:p>
      <w:pPr>
        <w:ind w:left="7600"/>
        <w:spacing w:after="0"/>
        <w:tabs>
          <w:tab w:leader="none" w:pos="9820" w:val="left"/>
        </w:tabs>
        <w:rPr>
          <w:sz w:val="20"/>
          <w:szCs w:val="20"/>
          <w:color w:val="auto"/>
        </w:rPr>
      </w:pPr>
      <w:r>
        <w:rPr>
          <w:rFonts w:ascii="Arial" w:cs="Arial" w:eastAsia="Arial" w:hAnsi="Arial"/>
          <w:sz w:val="17"/>
          <w:szCs w:val="17"/>
          <w:b w:val="1"/>
          <w:bCs w:val="1"/>
          <w:color w:val="auto"/>
        </w:rPr>
        <w:t>Shares</w:t>
      </w:r>
      <w:r>
        <w:rPr>
          <w:sz w:val="20"/>
          <w:szCs w:val="20"/>
          <w:color w:val="auto"/>
        </w:rPr>
        <w:tab/>
      </w:r>
      <w:r>
        <w:rPr>
          <w:rFonts w:ascii="Arial" w:cs="Arial" w:eastAsia="Arial" w:hAnsi="Arial"/>
          <w:sz w:val="17"/>
          <w:szCs w:val="17"/>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89140" cy="147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Outstanding as of December 31, 2021</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Granted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Vested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Forfeited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Outstanding as of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2,812,110</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10.87</w:t>
            </w:r>
          </w:p>
        </w:tc>
      </w:tr>
      <w:tr>
        <w:trPr>
          <w:trHeight w:val="217"/>
        </w:trPr>
        <w:tc>
          <w:tcPr>
            <w:tcW w:w="2200" w:type="dxa"/>
            <w:vAlign w:val="bottom"/>
          </w:tcPr>
          <w:p>
            <w:pPr>
              <w:jc w:val="right"/>
              <w:spacing w:after="0"/>
              <w:rPr>
                <w:sz w:val="20"/>
                <w:szCs w:val="20"/>
                <w:color w:val="auto"/>
              </w:rPr>
            </w:pPr>
            <w:r>
              <w:rPr>
                <w:rFonts w:ascii="Arial" w:cs="Arial" w:eastAsia="Arial" w:hAnsi="Arial"/>
                <w:sz w:val="17"/>
                <w:szCs w:val="17"/>
                <w:color w:val="auto"/>
              </w:rPr>
              <w:t>5,825,877</w:t>
            </w:r>
          </w:p>
        </w:tc>
        <w:tc>
          <w:tcPr>
            <w:tcW w:w="9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19"/>
        </w:trPr>
        <w:tc>
          <w:tcPr>
            <w:tcW w:w="2200" w:type="dxa"/>
            <w:vAlign w:val="bottom"/>
          </w:tcPr>
          <w:p>
            <w:pPr>
              <w:jc w:val="right"/>
              <w:spacing w:after="0"/>
              <w:rPr>
                <w:sz w:val="20"/>
                <w:szCs w:val="20"/>
                <w:color w:val="auto"/>
              </w:rPr>
            </w:pPr>
            <w:r>
              <w:rPr>
                <w:rFonts w:ascii="Arial" w:cs="Arial" w:eastAsia="Arial" w:hAnsi="Arial"/>
                <w:sz w:val="17"/>
                <w:szCs w:val="17"/>
                <w:color w:val="auto"/>
              </w:rPr>
              <w:t>(276,520)</w:t>
            </w:r>
          </w:p>
        </w:tc>
        <w:tc>
          <w:tcPr>
            <w:tcW w:w="9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9.82</w:t>
            </w:r>
          </w:p>
        </w:tc>
      </w:tr>
      <w:tr>
        <w:trPr>
          <w:trHeight w:val="220"/>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(928,933)</w:t>
            </w: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r>
      <w:tr>
        <w:trPr>
          <w:trHeight w:val="212"/>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7,432,534</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w:t>
            </w: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-457835</wp:posOffset>
            </wp:positionV>
            <wp:extent cx="7089140"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-179705</wp:posOffset>
            </wp:positionV>
            <wp:extent cx="7089140" cy="163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00"/>
          </w:cols>
          <w:pgMar w:left="320" w:top="333" w:right="339" w:bottom="1440" w:gutter="0" w:footer="0" w:header="0"/>
          <w:type w:val="continuous"/>
        </w:sectPr>
      </w:pPr>
    </w:p>
    <w:p>
      <w:pPr>
        <w:spacing w:after="0" w:line="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June 30, 2022, there was a total of $31.1 million in unrecognized compensation cost related to unvested RSUs, which is expected to be recognized over a weighted-average period of 1.7 years. Outstanding unvested and expected to vest RSUs had an intrinsic value of $16.1 million.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stock-based compensation under the Initial Plan, the 2018 Plan, the 2021 Plan, and the 2022 Plan by expense type: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5"/>
                <w:szCs w:val="15"/>
                <w:b w:val="1"/>
                <w:bCs w:val="1"/>
                <w:color w:val="auto"/>
              </w:rPr>
              <w:t>Six Months Ended June 30,</w:t>
            </w:r>
          </w:p>
        </w:tc>
      </w:tr>
      <w:tr>
        <w:trPr>
          <w:trHeight w:val="20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2,521</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7,978</w:t>
            </w:r>
          </w:p>
        </w:tc>
      </w:tr>
      <w:tr>
        <w:trPr>
          <w:trHeight w:val="237"/>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stock-based compensation under the Initial Plan, the 2018 Plan, the 2021 Plan, and the 2022 Plan by award type: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6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 June 30,</w:t>
            </w:r>
          </w:p>
        </w:tc>
        <w:tc>
          <w:tcPr>
            <w:tcW w:w="360" w:type="dxa"/>
            <w:vAlign w:val="bottom"/>
          </w:tcPr>
          <w:p>
            <w:pPr>
              <w:spacing w:after="0"/>
              <w:rPr>
                <w:sz w:val="17"/>
                <w:szCs w:val="17"/>
                <w:color w:val="auto"/>
              </w:rPr>
            </w:pPr>
          </w:p>
        </w:tc>
        <w:tc>
          <w:tcPr>
            <w:tcW w:w="2840" w:type="dxa"/>
            <w:vAlign w:val="bottom"/>
            <w:gridSpan w:val="4"/>
          </w:tcPr>
          <w:p>
            <w:pPr>
              <w:jc w:val="right"/>
              <w:ind w:right="616"/>
              <w:spacing w:after="0"/>
              <w:rPr>
                <w:sz w:val="20"/>
                <w:szCs w:val="20"/>
                <w:color w:val="auto"/>
              </w:rPr>
            </w:pPr>
            <w:r>
              <w:rPr>
                <w:rFonts w:ascii="Arial" w:cs="Arial" w:eastAsia="Arial" w:hAnsi="Arial"/>
                <w:sz w:val="15"/>
                <w:szCs w:val="15"/>
                <w:b w:val="1"/>
                <w:bCs w:val="1"/>
                <w:color w:val="auto"/>
              </w:rPr>
              <w:t>Six Months Ended June 30,</w:t>
            </w:r>
          </w:p>
        </w:tc>
      </w:tr>
      <w:tr>
        <w:trPr>
          <w:trHeight w:val="20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2021</w:t>
            </w: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8,112</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RSUs &amp; RSAs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ESPP</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Performance Awards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Awards</w:t>
      </w:r>
    </w:p>
    <w:p>
      <w:pPr>
        <w:spacing w:after="0" w:line="15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Performance awards under the 2021 Plan are accounted for as liability-classified awards, as the obligations are typically a fixed monetary amount which is settled on a future date in a variable number of shares of the Company’s Common Stock. The variable number of potentially settled shares is not limited. Performance awards are measured at their fair value based on management’s estimates of potential outcomes of the performance. Successful completion of performance awards was determined to be not probable as of June 30, 2022, therefore no shares correspond to outstanding performance awards if they were settled on June 30, 2022.</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Modifications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August 31, 2021, in connection with the resignation of one of the Company’s former officers, the Company modified the former officer’s outstanding awards, which resulted in the vesting of options for 273,571 shares. The modified option awards have an exercise price of $0.28 per share, expected term of 6.25 years, a risk-free rate of 0.86%, expected volatility of 97% and no expected dividends. This Type III modification resulted in a remeasured fair value of $10.91 per share. The incremental compensation related to the accelerated options totaled $2.9 million.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22, 2021, in connection with the resignation of one of the Company’s former directors, the Company modified the former director’s outstanding award, which resulted in the vesting of options for 205,618 shares. The modified option award has an exercise price of $0.28 per share, expected term of one year, a risk-free rate of 0.04%, expected volatility of 65% and no expected dividends. This Type III modification resulted in a remeasured fair value of $10.78 per share. The incremental compensation related to the accelerated options totaled $2.2 million.</w:t>
      </w:r>
    </w:p>
    <w:p>
      <w:pPr>
        <w:spacing w:after="0" w:line="11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On January 25, 2021, in connection with the resignation of the Company’s former Chief Executive Officer (“CEO”), Mikhail Kokorich, the Company modified his outstanding awards, which resulted in the vesting of options for 261,070 shares. The modified option awards have exercise prices ranging from $0.04 to $0.28 per share, an expected term of one year, a risk-free interest rate of 0.10%, an expected volatility of 78% and no expected dividends. This Type III modification resulted in a remeasured fair values ranging from $20.67 to $20.91 per share. The incremental compensation related to the accelerated options totaled $5.4 million.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(Loss) Per Share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diluted net (loss) income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60"/>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16"/>
                <w:szCs w:val="16"/>
                <w:color w:val="auto"/>
              </w:rPr>
            </w:pPr>
          </w:p>
        </w:tc>
        <w:tc>
          <w:tcPr>
            <w:tcW w:w="2840" w:type="dxa"/>
            <w:vAlign w:val="bottom"/>
            <w:gridSpan w:val="4"/>
          </w:tcPr>
          <w:p>
            <w:pPr>
              <w:jc w:val="right"/>
              <w:ind w:right="834"/>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7"/>
                <w:szCs w:val="17"/>
                <w:b w:val="1"/>
                <w:bCs w:val="1"/>
                <w:color w:val="auto"/>
              </w:rPr>
              <w:t>Diluted Net (Loss) Income Per Share</w:t>
            </w: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 except share-based data)</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Net (loss) income</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(22,872)</w:t>
            </w:r>
          </w:p>
        </w:tc>
        <w:tc>
          <w:tcPr>
            <w:tcW w:w="8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64,327</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(49,706)</w:t>
            </w:r>
          </w:p>
        </w:tc>
        <w:tc>
          <w:tcPr>
            <w:tcW w:w="8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128,998</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120"/>
              <w:spacing w:after="0"/>
              <w:rPr>
                <w:sz w:val="20"/>
                <w:szCs w:val="20"/>
                <w:color w:val="auto"/>
              </w:rPr>
            </w:pPr>
            <w:r>
              <w:rPr>
                <w:rFonts w:ascii="Arial" w:cs="Arial" w:eastAsia="Arial" w:hAnsi="Arial"/>
                <w:sz w:val="17"/>
                <w:szCs w:val="17"/>
                <w:color w:val="auto"/>
              </w:rPr>
              <w:t>Decrease in fair value of SAFE notes</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(100,803)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(182,367)</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Decrease in fair value of warrants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(12,529)</w:t>
            </w: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8" w:lineRule="exact"/>
              <w:rPr>
                <w:sz w:val="20"/>
                <w:szCs w:val="20"/>
                <w:color w:val="auto"/>
              </w:rPr>
            </w:pPr>
            <w:r>
              <w:rPr>
                <w:rFonts w:ascii="Arial" w:cs="Arial" w:eastAsia="Arial" w:hAnsi="Arial"/>
                <w:sz w:val="17"/>
                <w:szCs w:val="17"/>
                <w:color w:val="auto"/>
                <w:w w:val="94"/>
              </w:rPr>
              <w:t>Net loss allocated to common stockholders for diluted net loss per</w:t>
            </w:r>
          </w:p>
        </w:tc>
        <w:tc>
          <w:tcPr>
            <w:tcW w:w="36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(22,872)</w:t>
            </w:r>
          </w:p>
        </w:tc>
        <w:tc>
          <w:tcPr>
            <w:tcW w:w="80" w:type="dxa"/>
            <w:vAlign w:val="bottom"/>
          </w:tcPr>
          <w:p>
            <w:pPr>
              <w:spacing w:after="0"/>
              <w:rPr>
                <w:sz w:val="12"/>
                <w:szCs w:val="12"/>
                <w:color w:val="auto"/>
              </w:rPr>
            </w:pPr>
          </w:p>
        </w:tc>
        <w:tc>
          <w:tcPr>
            <w:tcW w:w="44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(40,924)</w:t>
            </w:r>
          </w:p>
        </w:tc>
        <w:tc>
          <w:tcPr>
            <w:tcW w:w="100" w:type="dxa"/>
            <w:vAlign w:val="bottom"/>
          </w:tcPr>
          <w:p>
            <w:pPr>
              <w:spacing w:after="0"/>
              <w:rPr>
                <w:sz w:val="12"/>
                <w:szCs w:val="12"/>
                <w:color w:val="auto"/>
              </w:rPr>
            </w:pPr>
          </w:p>
        </w:tc>
        <w:tc>
          <w:tcPr>
            <w:tcW w:w="36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(49,706)</w:t>
            </w:r>
          </w:p>
        </w:tc>
        <w:tc>
          <w:tcPr>
            <w:tcW w:w="80" w:type="dxa"/>
            <w:vAlign w:val="bottom"/>
          </w:tcPr>
          <w:p>
            <w:pPr>
              <w:spacing w:after="0"/>
              <w:rPr>
                <w:sz w:val="12"/>
                <w:szCs w:val="12"/>
                <w:color w:val="auto"/>
              </w:rPr>
            </w:pPr>
          </w:p>
        </w:tc>
        <w:tc>
          <w:tcPr>
            <w:tcW w:w="44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(65,898)</w:t>
            </w: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Arial" w:cs="Arial" w:eastAsia="Arial" w:hAnsi="Arial"/>
                <w:sz w:val="17"/>
                <w:szCs w:val="17"/>
                <w:color w:val="auto"/>
              </w:rPr>
              <w:t>share</w:t>
            </w:r>
          </w:p>
        </w:tc>
        <w:tc>
          <w:tcPr>
            <w:tcW w:w="36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Denominator:</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20"/>
              <w:spacing w:after="0" w:line="168" w:lineRule="exact"/>
              <w:rPr>
                <w:sz w:val="20"/>
                <w:szCs w:val="20"/>
                <w:color w:val="auto"/>
              </w:rPr>
            </w:pPr>
            <w:r>
              <w:rPr>
                <w:rFonts w:ascii="Arial" w:cs="Arial" w:eastAsia="Arial" w:hAnsi="Arial"/>
                <w:sz w:val="17"/>
                <w:szCs w:val="17"/>
                <w:color w:val="auto"/>
                <w:w w:val="91"/>
              </w:rPr>
              <w:t>Denominator for basic net loss per share - weighted average shares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740" w:type="dxa"/>
            <w:vAlign w:val="bottom"/>
          </w:tcPr>
          <w:p>
            <w:pPr>
              <w:ind w:left="20"/>
              <w:spacing w:after="0"/>
              <w:rPr>
                <w:sz w:val="20"/>
                <w:szCs w:val="20"/>
                <w:color w:val="auto"/>
              </w:rPr>
            </w:pPr>
            <w:r>
              <w:rPr>
                <w:rFonts w:ascii="Arial" w:cs="Arial" w:eastAsia="Arial" w:hAnsi="Arial"/>
                <w:sz w:val="17"/>
                <w:szCs w:val="17"/>
                <w:color w:val="auto"/>
              </w:rPr>
              <w:t>outstanding</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81,319,533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51,474,305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80,642,670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54,620,299</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Dilutive options and unvested stock units outstanding</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5,091,392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5,135,631</w:t>
            </w:r>
          </w:p>
        </w:tc>
        <w:tc>
          <w:tcPr>
            <w:tcW w:w="0" w:type="dxa"/>
            <w:vAlign w:val="bottom"/>
          </w:tcPr>
          <w:p>
            <w:pPr>
              <w:spacing w:after="0"/>
              <w:rPr>
                <w:sz w:val="1"/>
                <w:szCs w:val="1"/>
                <w:color w:val="auto"/>
              </w:rPr>
            </w:pPr>
          </w:p>
        </w:tc>
      </w:tr>
      <w:tr>
        <w:trPr>
          <w:trHeight w:val="218"/>
        </w:trPr>
        <w:tc>
          <w:tcPr>
            <w:tcW w:w="4740" w:type="dxa"/>
            <w:vAlign w:val="bottom"/>
          </w:tcPr>
          <w:p>
            <w:pPr>
              <w:ind w:left="120"/>
              <w:spacing w:after="0"/>
              <w:rPr>
                <w:sz w:val="20"/>
                <w:szCs w:val="20"/>
                <w:color w:val="auto"/>
              </w:rPr>
            </w:pPr>
            <w:r>
              <w:rPr>
                <w:rFonts w:ascii="Arial" w:cs="Arial" w:eastAsia="Arial" w:hAnsi="Arial"/>
                <w:sz w:val="17"/>
                <w:szCs w:val="17"/>
                <w:color w:val="auto"/>
              </w:rPr>
              <w:t>Dilutive warrants outstanding</w:t>
            </w: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620,531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625,000</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Dilutive SAFE notes outstanding (shares not reserved)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12,466,995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12,466,995</w:t>
            </w:r>
          </w:p>
        </w:tc>
        <w:tc>
          <w:tcPr>
            <w:tcW w:w="0" w:type="dxa"/>
            <w:vAlign w:val="bottom"/>
          </w:tcPr>
          <w:p>
            <w:pPr>
              <w:spacing w:after="0"/>
              <w:rPr>
                <w:sz w:val="1"/>
                <w:szCs w:val="1"/>
                <w:color w:val="auto"/>
              </w:rPr>
            </w:pPr>
          </w:p>
        </w:tc>
      </w:tr>
      <w:tr>
        <w:trPr>
          <w:trHeight w:val="148"/>
        </w:trPr>
        <w:tc>
          <w:tcPr>
            <w:tcW w:w="4740" w:type="dxa"/>
            <w:vAlign w:val="bottom"/>
          </w:tcPr>
          <w:p>
            <w:pPr>
              <w:ind w:left="20"/>
              <w:spacing w:after="0" w:line="148" w:lineRule="exact"/>
              <w:rPr>
                <w:sz w:val="20"/>
                <w:szCs w:val="20"/>
                <w:color w:val="auto"/>
              </w:rPr>
            </w:pPr>
            <w:r>
              <w:rPr>
                <w:rFonts w:ascii="Arial" w:cs="Arial" w:eastAsia="Arial" w:hAnsi="Arial"/>
                <w:sz w:val="17"/>
                <w:szCs w:val="17"/>
                <w:color w:val="auto"/>
              </w:rPr>
              <w:t>Denominator for diluted net loss per share - adjusted weighted</w:t>
            </w: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81,319,533</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69,653,223</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80,642,670</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72,847,925</w:t>
            </w:r>
          </w:p>
        </w:tc>
        <w:tc>
          <w:tcPr>
            <w:tcW w:w="0" w:type="dxa"/>
            <w:vAlign w:val="bottom"/>
          </w:tcPr>
          <w:p>
            <w:pPr>
              <w:spacing w:after="0"/>
              <w:rPr>
                <w:sz w:val="1"/>
                <w:szCs w:val="1"/>
                <w:color w:val="auto"/>
              </w:rPr>
            </w:pPr>
          </w:p>
        </w:tc>
      </w:tr>
      <w:tr>
        <w:trPr>
          <w:trHeight w:val="206"/>
        </w:trPr>
        <w:tc>
          <w:tcPr>
            <w:tcW w:w="4740" w:type="dxa"/>
            <w:vAlign w:val="bottom"/>
          </w:tcPr>
          <w:p>
            <w:pPr>
              <w:ind w:left="20"/>
              <w:spacing w:after="0"/>
              <w:rPr>
                <w:sz w:val="20"/>
                <w:szCs w:val="20"/>
                <w:color w:val="auto"/>
              </w:rPr>
            </w:pPr>
            <w:r>
              <w:rPr>
                <w:rFonts w:ascii="Arial" w:cs="Arial" w:eastAsia="Arial" w:hAnsi="Arial"/>
                <w:sz w:val="17"/>
                <w:szCs w:val="17"/>
                <w:color w:val="auto"/>
              </w:rPr>
              <w:t>average shares outstanding</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Net (loss) income per share - basic</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(0.28)</w:t>
            </w:r>
          </w:p>
        </w:tc>
        <w:tc>
          <w:tcPr>
            <w:tcW w:w="8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(0.62)</w:t>
            </w:r>
          </w:p>
        </w:tc>
        <w:tc>
          <w:tcPr>
            <w:tcW w:w="8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4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 diluted</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Net (loss) income per share is provided in accordance with ASC 260-10,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earnings per share is computed by dividing net (loss) income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the Company incurred a net loss for the three and six months ended June 30, 2022, the inclusion of certain options, unvested stock units, warrants, and contingent Sponsor Earnout Shares in the calculation of diluted earnings per share would be anti-dilutive, and, accordingly, were excluded from the diluted loss per share calculation. As the Company had net income for the three and six months ended June 30, 2021, there were no exclusions from the diluted income per share calculation.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potential common shares that were excluded as their effect is anti-dilutive: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740" w:type="dxa"/>
            <w:vAlign w:val="bottom"/>
            <w:gridSpan w:val="4"/>
          </w:tcPr>
          <w:p>
            <w:pPr>
              <w:jc w:val="center"/>
              <w:ind w:left="374"/>
              <w:spacing w:after="0"/>
              <w:rPr>
                <w:sz w:val="20"/>
                <w:szCs w:val="20"/>
                <w:color w:val="auto"/>
              </w:rPr>
            </w:pPr>
            <w:r>
              <w:rPr>
                <w:rFonts w:ascii="Arial" w:cs="Arial" w:eastAsia="Arial" w:hAnsi="Arial"/>
                <w:sz w:val="17"/>
                <w:szCs w:val="17"/>
                <w:b w:val="1"/>
                <w:bCs w:val="1"/>
                <w:color w:val="auto"/>
                <w:w w:val="92"/>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2"/>
              </w:rPr>
              <w:t>Six Months Ended</w:t>
            </w:r>
          </w:p>
        </w:tc>
      </w:tr>
      <w:tr>
        <w:trPr>
          <w:trHeight w:val="224"/>
        </w:trPr>
        <w:tc>
          <w:tcPr>
            <w:tcW w:w="474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3"/>
          </w:tcPr>
          <w:p>
            <w:pPr>
              <w:jc w:val="center"/>
              <w:ind w:left="1034"/>
              <w:spacing w:after="0"/>
              <w:rPr>
                <w:sz w:val="20"/>
                <w:szCs w:val="20"/>
                <w:color w:val="auto"/>
              </w:rPr>
            </w:pPr>
            <w:r>
              <w:rPr>
                <w:rFonts w:ascii="Arial" w:cs="Arial" w:eastAsia="Arial" w:hAnsi="Arial"/>
                <w:sz w:val="17"/>
                <w:szCs w:val="17"/>
                <w:b w:val="1"/>
                <w:bCs w:val="1"/>
                <w:color w:val="auto"/>
                <w:w w:val="88"/>
              </w:rPr>
              <w:t>June 30,</w:t>
            </w: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3"/>
          </w:tcPr>
          <w:p>
            <w:pPr>
              <w:jc w:val="center"/>
              <w:ind w:left="1034"/>
              <w:spacing w:after="0"/>
              <w:rPr>
                <w:sz w:val="20"/>
                <w:szCs w:val="20"/>
                <w:color w:val="auto"/>
              </w:rPr>
            </w:pPr>
            <w:r>
              <w:rPr>
                <w:rFonts w:ascii="Arial" w:cs="Arial" w:eastAsia="Arial" w:hAnsi="Arial"/>
                <w:sz w:val="17"/>
                <w:szCs w:val="17"/>
                <w:b w:val="1"/>
                <w:bCs w:val="1"/>
                <w:color w:val="auto"/>
                <w:w w:val="88"/>
              </w:rPr>
              <w:t>June 30,</w:t>
            </w:r>
          </w:p>
        </w:tc>
        <w:tc>
          <w:tcPr>
            <w:tcW w:w="1120" w:type="dxa"/>
            <w:vAlign w:val="bottom"/>
            <w:tcBorders>
              <w:bottom w:val="single" w:sz="8" w:color="auto"/>
            </w:tcBorders>
          </w:tcPr>
          <w:p>
            <w:pPr>
              <w:spacing w:after="0"/>
              <w:rPr>
                <w:sz w:val="19"/>
                <w:szCs w:val="19"/>
                <w:color w:val="auto"/>
              </w:rPr>
            </w:pPr>
          </w:p>
        </w:tc>
      </w:tr>
      <w:tr>
        <w:trPr>
          <w:trHeight w:val="213"/>
        </w:trPr>
        <w:tc>
          <w:tcPr>
            <w:tcW w:w="47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2021</w:t>
            </w:r>
          </w:p>
        </w:tc>
      </w:tr>
      <w:tr>
        <w:trPr>
          <w:trHeight w:val="211"/>
        </w:trPr>
        <w:tc>
          <w:tcPr>
            <w:tcW w:w="4740" w:type="dxa"/>
            <w:vAlign w:val="bottom"/>
          </w:tcPr>
          <w:p>
            <w:pPr>
              <w:ind w:left="20"/>
              <w:spacing w:after="0"/>
              <w:rPr>
                <w:sz w:val="20"/>
                <w:szCs w:val="20"/>
                <w:color w:val="auto"/>
              </w:rPr>
            </w:pPr>
            <w:r>
              <w:rPr>
                <w:rFonts w:ascii="Arial" w:cs="Arial" w:eastAsia="Arial" w:hAnsi="Arial"/>
                <w:sz w:val="17"/>
                <w:szCs w:val="17"/>
                <w:color w:val="auto"/>
              </w:rPr>
              <w:t>Options and unvested stock units outstanding</w:t>
            </w:r>
          </w:p>
        </w:tc>
        <w:tc>
          <w:tcPr>
            <w:tcW w:w="1560" w:type="dxa"/>
            <w:vAlign w:val="bottom"/>
          </w:tcPr>
          <w:p>
            <w:pPr>
              <w:jc w:val="right"/>
              <w:spacing w:after="0"/>
              <w:rPr>
                <w:sz w:val="20"/>
                <w:szCs w:val="20"/>
                <w:color w:val="auto"/>
              </w:rPr>
            </w:pPr>
            <w:r>
              <w:rPr>
                <w:rFonts w:ascii="Arial" w:cs="Arial" w:eastAsia="Arial" w:hAnsi="Arial"/>
                <w:sz w:val="17"/>
                <w:szCs w:val="17"/>
                <w:color w:val="auto"/>
              </w:rPr>
              <w:t>6,109,403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7"/>
                <w:szCs w:val="17"/>
                <w:color w:val="auto"/>
              </w:rPr>
              <w:t>N/A</w:t>
            </w:r>
          </w:p>
        </w:tc>
        <w:tc>
          <w:tcPr>
            <w:tcW w:w="1560" w:type="dxa"/>
            <w:vAlign w:val="bottom"/>
          </w:tcPr>
          <w:p>
            <w:pPr>
              <w:jc w:val="right"/>
              <w:spacing w:after="0"/>
              <w:rPr>
                <w:sz w:val="20"/>
                <w:szCs w:val="20"/>
                <w:color w:val="auto"/>
              </w:rPr>
            </w:pPr>
            <w:r>
              <w:rPr>
                <w:rFonts w:ascii="Arial" w:cs="Arial" w:eastAsia="Arial" w:hAnsi="Arial"/>
                <w:sz w:val="17"/>
                <w:szCs w:val="17"/>
                <w:color w:val="auto"/>
              </w:rPr>
              <w:t>6,000,378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ind w:left="820"/>
              <w:spacing w:after="0"/>
              <w:rPr>
                <w:sz w:val="20"/>
                <w:szCs w:val="20"/>
                <w:color w:val="auto"/>
              </w:rPr>
            </w:pPr>
            <w:r>
              <w:rPr>
                <w:rFonts w:ascii="Arial" w:cs="Arial" w:eastAsia="Arial" w:hAnsi="Arial"/>
                <w:sz w:val="17"/>
                <w:szCs w:val="17"/>
                <w:color w:val="auto"/>
                <w:w w:val="98"/>
              </w:rPr>
              <w:t>N/A</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19,897,500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N/A</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20,023,655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8"/>
              </w:rPr>
              <w:t>N/A</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Sponsor Earnout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1,437,500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98"/>
              </w:rPr>
              <w:t>N/A</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1,437,500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w w:val="98"/>
              </w:rPr>
              <w:t>N/A</w:t>
            </w:r>
          </w:p>
        </w:tc>
      </w:tr>
      <w:tr>
        <w:trPr>
          <w:trHeight w:val="232"/>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27,444,403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N/A</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27,461,533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8"/>
              </w:rPr>
              <w:t>N/A</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22"/>
        </w:trPr>
        <w:tc>
          <w:tcPr>
            <w:tcW w:w="4740" w:type="dxa"/>
            <w:vAlign w:val="bottom"/>
          </w:tcPr>
          <w:p>
            <w:pPr>
              <w:spacing w:after="0"/>
              <w:rPr>
                <w:sz w:val="24"/>
                <w:szCs w:val="24"/>
                <w:color w:val="auto"/>
              </w:rPr>
            </w:pPr>
          </w:p>
        </w:tc>
        <w:tc>
          <w:tcPr>
            <w:tcW w:w="1560" w:type="dxa"/>
            <w:vAlign w:val="bottom"/>
          </w:tcPr>
          <w:p>
            <w:pPr>
              <w:jc w:val="right"/>
              <w:ind w:right="51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47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Obligations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Momentus enters into purchase obligations in the normal course of business. These obligations include purchase orders and agreements to purchase goods or services that are enforceable, legally binding, and have significant terms and minimum purchases stipulated. As of June 30, 2022, the Company’s future unconditional purchase obligations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2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10,444</w:t>
            </w:r>
          </w:p>
        </w:tc>
      </w:tr>
      <w:tr>
        <w:trPr>
          <w:trHeight w:val="218"/>
        </w:trPr>
        <w:tc>
          <w:tcPr>
            <w:tcW w:w="9220" w:type="dxa"/>
            <w:vAlign w:val="bottom"/>
          </w:tcPr>
          <w:p>
            <w:pPr>
              <w:ind w:left="20"/>
              <w:spacing w:after="0"/>
              <w:rPr>
                <w:sz w:val="20"/>
                <w:szCs w:val="20"/>
                <w:color w:val="auto"/>
              </w:rPr>
            </w:pPr>
            <w:r>
              <w:rPr>
                <w:rFonts w:ascii="Arial" w:cs="Arial" w:eastAsia="Arial" w:hAnsi="Arial"/>
                <w:sz w:val="17"/>
                <w:szCs w:val="17"/>
                <w:color w:val="auto"/>
              </w:rPr>
              <w:t>2023</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11,900</w:t>
            </w:r>
          </w:p>
        </w:tc>
      </w:tr>
      <w:tr>
        <w:trPr>
          <w:trHeight w:val="220"/>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9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22,944</w:t>
            </w: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Class Actions</w:t>
      </w:r>
    </w:p>
    <w:p>
      <w:pPr>
        <w:spacing w:after="0" w:line="15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Arial" w:cs="Arial" w:eastAsia="Arial" w:hAnsi="Arial"/>
          <w:sz w:val="15"/>
          <w:szCs w:val="15"/>
          <w:i w:val="1"/>
          <w:iCs w:val="1"/>
          <w:color w:val="auto"/>
        </w:rPr>
        <w:t>Jensen v. Stable Road Acquisition Corp</w:t>
      </w:r>
      <w:r>
        <w:rPr>
          <w:rFonts w:ascii="Arial" w:cs="Arial" w:eastAsia="Arial" w:hAnsi="Arial"/>
          <w:sz w:val="15"/>
          <w:szCs w:val="15"/>
          <w:color w:val="auto"/>
        </w:rPr>
        <w:t xml:space="preserve">., </w:t>
      </w:r>
      <w:r>
        <w:rPr>
          <w:rFonts w:ascii="Arial" w:cs="Arial" w:eastAsia="Arial" w:hAnsi="Arial"/>
          <w:sz w:val="15"/>
          <w:szCs w:val="15"/>
          <w:i w:val="1"/>
          <w:iCs w:val="1"/>
          <w:color w:val="auto"/>
        </w:rPr>
        <w:t>et al</w:t>
      </w:r>
      <w:r>
        <w:rPr>
          <w:rFonts w:ascii="Arial" w:cs="Arial" w:eastAsia="Arial" w:hAnsi="Arial"/>
          <w:sz w:val="15"/>
          <w:szCs w:val="15"/>
          <w:color w:val="auto"/>
        </w:rPr>
        <w:t>., No. 2:21-cv-05744 (the "</w:t>
      </w:r>
      <w:r>
        <w:rPr>
          <w:rFonts w:ascii="Arial" w:cs="Arial" w:eastAsia="Arial" w:hAnsi="Arial"/>
          <w:sz w:val="15"/>
          <w:szCs w:val="15"/>
          <w:i w:val="1"/>
          <w:iCs w:val="1"/>
          <w:color w:val="auto"/>
        </w:rPr>
        <w:t>Jensen</w:t>
      </w:r>
      <w:r>
        <w:rPr>
          <w:rFonts w:ascii="Arial" w:cs="Arial" w:eastAsia="Arial" w:hAnsi="Arial"/>
          <w:sz w:val="15"/>
          <w:szCs w:val="15"/>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On July 22, 2021 and August 4, 2021, purported stockholders of SRAC filed putative class action complaints against SRAC, SRC-NI Holdings, LLC, Brian Kabot, James Norris, Momentus, and Mikhail Kokorich in the United States District Court for the Central District of California, in cases captioned </w:t>
      </w:r>
      <w:r>
        <w:rPr>
          <w:rFonts w:ascii="Arial" w:cs="Arial" w:eastAsia="Arial" w:hAnsi="Arial"/>
          <w:sz w:val="17"/>
          <w:szCs w:val="17"/>
          <w:i w:val="1"/>
          <w:iCs w:val="1"/>
          <w:color w:val="auto"/>
        </w:rPr>
        <w:t>Hall v. Stable Road</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 Corp</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2:21-cv-05943 (the "</w:t>
      </w:r>
      <w:r>
        <w:rPr>
          <w:rFonts w:ascii="Arial" w:cs="Arial" w:eastAsia="Arial" w:hAnsi="Arial"/>
          <w:sz w:val="17"/>
          <w:szCs w:val="17"/>
          <w:i w:val="1"/>
          <w:iCs w:val="1"/>
          <w:color w:val="auto"/>
        </w:rPr>
        <w:t xml:space="preserve">Hall </w:t>
      </w:r>
      <w:r>
        <w:rPr>
          <w:rFonts w:ascii="Arial" w:cs="Arial" w:eastAsia="Arial" w:hAnsi="Arial"/>
          <w:sz w:val="17"/>
          <w:szCs w:val="17"/>
          <w:color w:val="auto"/>
        </w:rPr>
        <w:t>class action") and</w:t>
      </w:r>
      <w:r>
        <w:rPr>
          <w:rFonts w:ascii="Arial" w:cs="Arial" w:eastAsia="Arial" w:hAnsi="Arial"/>
          <w:sz w:val="17"/>
          <w:szCs w:val="17"/>
          <w:i w:val="1"/>
          <w:iCs w:val="1"/>
          <w:color w:val="auto"/>
        </w:rPr>
        <w:t xml:space="preserve"> Depoy v. Stable Road Acquisition Corp</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2:21-cv-06287 (the "</w:t>
      </w:r>
      <w:r>
        <w:rPr>
          <w:rFonts w:ascii="Arial" w:cs="Arial" w:eastAsia="Arial" w:hAnsi="Arial"/>
          <w:sz w:val="17"/>
          <w:szCs w:val="17"/>
          <w:i w:val="1"/>
          <w:iCs w:val="1"/>
          <w:color w:val="auto"/>
        </w:rPr>
        <w:t xml:space="preserve">Depoy </w:t>
      </w:r>
      <w:r>
        <w:rPr>
          <w:rFonts w:ascii="Arial" w:cs="Arial" w:eastAsia="Arial" w:hAnsi="Arial"/>
          <w:sz w:val="17"/>
          <w:szCs w:val="17"/>
          <w:color w:val="auto"/>
        </w:rPr>
        <w:t>class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action"). The allegations in the </w:t>
      </w:r>
      <w:r>
        <w:rPr>
          <w:rFonts w:ascii="Arial" w:cs="Arial" w:eastAsia="Arial" w:hAnsi="Arial"/>
          <w:sz w:val="17"/>
          <w:szCs w:val="17"/>
          <w:i w:val="1"/>
          <w:iCs w:val="1"/>
          <w:color w:val="auto"/>
        </w:rPr>
        <w:t>Hall</w:t>
      </w:r>
      <w:r>
        <w:rPr>
          <w:rFonts w:ascii="Arial" w:cs="Arial" w:eastAsia="Arial" w:hAnsi="Arial"/>
          <w:sz w:val="17"/>
          <w:szCs w:val="17"/>
          <w:color w:val="auto"/>
        </w:rPr>
        <w:t xml:space="preserve"> and </w:t>
      </w:r>
      <w:r>
        <w:rPr>
          <w:rFonts w:ascii="Arial" w:cs="Arial" w:eastAsia="Arial" w:hAnsi="Arial"/>
          <w:sz w:val="17"/>
          <w:szCs w:val="17"/>
          <w:i w:val="1"/>
          <w:iCs w:val="1"/>
          <w:color w:val="auto"/>
        </w:rPr>
        <w:t>Depoy</w:t>
      </w:r>
      <w:r>
        <w:rPr>
          <w:rFonts w:ascii="Arial" w:cs="Arial" w:eastAsia="Arial" w:hAnsi="Arial"/>
          <w:sz w:val="17"/>
          <w:szCs w:val="17"/>
          <w:color w:val="auto"/>
        </w:rPr>
        <w:t xml:space="preserve"> class actions are substantially the same as the allegations in the </w:t>
      </w:r>
      <w:r>
        <w:rPr>
          <w:rFonts w:ascii="Arial" w:cs="Arial" w:eastAsia="Arial" w:hAnsi="Arial"/>
          <w:sz w:val="17"/>
          <w:szCs w:val="17"/>
          <w:i w:val="1"/>
          <w:iCs w:val="1"/>
          <w:color w:val="auto"/>
        </w:rPr>
        <w:t>Jensen</w:t>
      </w:r>
      <w:r>
        <w:rPr>
          <w:rFonts w:ascii="Arial" w:cs="Arial" w:eastAsia="Arial" w:hAnsi="Arial"/>
          <w:sz w:val="17"/>
          <w:szCs w:val="17"/>
          <w:color w:val="auto"/>
        </w:rPr>
        <w:t xml:space="preserve"> class action (collectively, referred to as the "Securities Class Actions") and the purported class period is identical. On October 20, 2021, the Securities Class Actions were consolidated in the first filed matter. Other, similar suits may follow.</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November 12, 2021, Lead Plaintiff Hartmut Haenisch filed an Amended Consolidated Class Action Complaint (the “Amended Complaint”) against SRAC, Sponsor, Brian Kabot, Juan Manuel Quiroga, James Norris, James Hofmockel (the "Stable Road Defendants"), Momentus, Dawn Harms, Fred Kennedy (the "Momentus Defendants"), and Mikhail Kokorich. Ms. Harms and Mr. Kennedy, and others, were added as defendants in the Amended Complaint. The Amended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February 14, 2022, the Momentus Defendants filed their motions to dismiss and the Stable Road Defendants filed their motion to dismiss the Amended Complaint. Mr. Kokorich has not been served, nor appeared, in the litigation. On July 13, 2022, the Court issued its ruling on the motions to dismiss, granting the Stable Road Defendants' motion as to Count 1 as against Defendants Quiroga, Norris and Hofmockel, granting the motion, granting the Momentus Defendants' motions as to Count III as against Defendants Harms and Kennedy, and denying the motions on all other counts. The remaining Defendants are required to answer all remaining counts on or before August 2, 2022, and a case management conference has been scheduled for August 22, 2022. Momentus disputes the allegations in the Amended Complaint and intends to vigorously defend the litigation.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These securities class actions and other such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 Settlement and CFIUS Review</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On January 24, 2021, the Company received a subpoena from the Division of Enforcement of the U.S. Securities and Exchange Commission ("Division of Enforcement") requesting documents regarding the Registration Statement on Form S-4 and Amendment No. 1 thereto (the "Registration Statement") filed by SRAC in connection with the Business Combination. The Company entered into a settlement with the SEC on July 8, 2021. As a result of the settlement, in accordance with ASC Topic 450, </w:t>
      </w:r>
      <w:r>
        <w:rPr>
          <w:rFonts w:ascii="Arial" w:cs="Arial" w:eastAsia="Arial" w:hAnsi="Arial"/>
          <w:sz w:val="16"/>
          <w:szCs w:val="16"/>
          <w:i w:val="1"/>
          <w:iCs w:val="1"/>
          <w:color w:val="auto"/>
        </w:rPr>
        <w:t>Contingencies</w:t>
      </w:r>
      <w:r>
        <w:rPr>
          <w:rFonts w:ascii="Arial" w:cs="Arial" w:eastAsia="Arial" w:hAnsi="Arial"/>
          <w:sz w:val="16"/>
          <w:szCs w:val="16"/>
          <w:color w:val="auto"/>
        </w:rPr>
        <w:t>, (“ASC 450”) the Company paid a fine of $2 million and recorded a liability of $5 million within other current liabilities, due one year from the settlement date. The Company paid the remaining $5 million liability on July 8, 2022.</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February 2021, the Company and Mr. Kokorich, with support from SRAC, submitted a joint notice to the CFIUS for review of the historical acquisition of interests in the Company by Mr. Kokorich, his wife, and entities that they control in response to concerns of the U.S. Department of Defense regarding the Company’s foreign ownership and control. On June 8, 2021,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a National Security Agreement (the "NSA").</w:t>
      </w:r>
    </w:p>
    <w:p>
      <w:pPr>
        <w:spacing w:after="0" w:line="9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accordance with the NSA and pursuant to certain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119"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(see Note 11).</w:t>
      </w:r>
    </w:p>
    <w:p>
      <w:pPr>
        <w:spacing w:after="0" w:line="4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agreements with launch providers, resulting in an estimated liability of $5.8 million expected to be paid to the Co-Founders with a corresponding offset to additional paid in capital, as of June 30, 2022.</w:t>
      </w:r>
    </w:p>
    <w:p>
      <w:pPr>
        <w:spacing w:after="0" w:line="8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NSA establishes various requirements and restrictions on the Company to protect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incurred legal expenses related to these matters of approximately $0.5 million and $1.3 million during the three and six months ended June 30, 2022, respectively, and $3.5 million and $7.4 million during the three and six months ended June 30, 2021, respectively, and expects to continue to incur legal expenses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Section 220 Litigation</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June 16, 2022, Plaintiff and Momentus shareholder James Burk filed a verified complaint against Momentus in the Delaware Court of Chancery, Case. No. 2022-0519, to inspect the books and records of Momentus pursuant to Section 220 of the Delaware General Corporation Law. Plaintiff seeks production of books and records relating to the management of Momentus and its disclosures to potential investors in connection with the August 2021 de-SPAC merger of the Company. The matter is currently stayed pending the Company's production of certain documents to satisfy Plaintiff's requests for inspection. Plaintiff has demanded an order compelling the Company to comply with Plaintiff's production demands and granting Plaintiff an award of attorney's fees in connection with its prosecution of the matter. The Company from time to time responds to books and records requests properly submitted pursuant to applicable Delaware law. Momentus disputes the allegations and intends to vigorously defend the litigation.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Derivative Litigation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June 20, 2022, a shareholder derivative action was filed by Brian Lindsey, on behalf of Momentus, in the US District Court for the Central District of California, Case No. 2:22-cv-04212, against Momentus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and intend to file a motion to dismiss the derivative action. Momentus disputes the allegations and intends to vigorously defend the litigation.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SAFE Note Litigation</w:t>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On July 20, 2022, The Larian Living Trust ("TLLT") filed an action against Momentus in New Castle County Superior Court, Delaware, in the Complex Commercial Litigation Division, Case No. N22C-07-133 EMD CCLD. TLLT pleads claims for fraudulent inducement and breach of contract arising from two investment contracts pursuant to which TLLT alleges it invested $4 million in Momentus. TLLT alleges that a "liquidity event" occurred when Momentus closed the de-SPAC merger in August of 2021, such that it was entitled to the greater of its $4 million investment or its “Conversion Amount” of Momentus shares, which was a total of 724,995 shares of Momentus stock. TLLT further alleges that Momentus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Momentus disputes the allegations and intends to vigorously defend the litigation.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Litigation and Related Matters</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3051F2"/>
        </w:rPr>
        <w:t>Tables of Contents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Company because of judgment, defense and settlement costs, diversion of management resources and other factors.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Income Taxes</w:t>
      </w:r>
    </w:p>
    <w:p>
      <w:pPr>
        <w:spacing w:after="0" w:line="14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Company’s effective tax rate for the three and six months ended June 30, 2022 and 2021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MOMENTUS’ MANAGEMENT’S DISCUSSION AND ANALYSIS OF FINANCIAL CONDITION AND RESULTS OF OPERATIONS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This discussion and analysis should also be read together with our financial information for the period ended and as of June 30, 2022.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March 9, 2022, and “Cautionary Statement Regarding Forward-Looking Statements” elsewhere in this Form 10-Q, our actual results may differ materially from those anticipated in these forward-looking statements.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Momentus plans to offer transportation and infrastructure services to help enable the commercialization of space. Satellite operators are our principal customers and target customers. Services that we plan to provide include “last mile” satellite transportation, payload-hosting, on-orbit satellite refueling, on-orbit inspection, on-orbit satellite maintenance, de-orbiting, debris removal, and other satellite-to-satellite service offerings.</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transportation service offering will focus on delivering our customers’ satellites to precision orbits of their choosing. To accomplish this, we plan to create a hub-and-spoke transportation network in partnership with leading launch service providers, such as SpaceX. Under this model, our customers’ satellites would “ride share” from Earth to space on a midsized or large rocket. Our Orbital Transfer Vehicles (“OTVs”) would then provide “last mile” transportation services from the rocket’s drop-off orbit to a custom orbit of the satellite operator’s choosing. We believe our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“last mile” transportation.</w:t>
      </w:r>
    </w:p>
    <w:p>
      <w:pPr>
        <w:spacing w:after="0" w:line="10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Since our founding in 2017, we have been working to develop, test and enhance our vehicles and supporting technologies, particularly our water plasma propulsion technology. We have signed contracts for approximately $55 million in backlog (potential revenue), as of July 31, 2022. These agreements contain firm orders as well as options, allowing customers to opt-in to launches on shorter notice without requiring a separate agreement. The breadth of these signed contracts spans across 22 companies in 16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 Refer to “</w:t>
      </w:r>
      <w:r>
        <w:rPr>
          <w:rFonts w:ascii="Arial" w:cs="Arial" w:eastAsia="Arial" w:hAnsi="Arial"/>
          <w:sz w:val="15"/>
          <w:szCs w:val="15"/>
          <w:i w:val="1"/>
          <w:iCs w:val="1"/>
          <w:color w:val="auto"/>
        </w:rPr>
        <w:t>Risk Factors — We may not be able to convert our orders in backlog into revenue,”</w:t>
      </w:r>
      <w:r>
        <w:rPr>
          <w:rFonts w:ascii="Arial" w:cs="Arial" w:eastAsia="Arial" w:hAnsi="Arial"/>
          <w:sz w:val="15"/>
          <w:szCs w:val="15"/>
          <w:color w:val="auto"/>
        </w:rPr>
        <w:t xml:space="preserve"> under Part II, Item 1A: "</w:t>
      </w:r>
      <w:r>
        <w:rPr>
          <w:rFonts w:ascii="Arial" w:cs="Arial" w:eastAsia="Arial" w:hAnsi="Arial"/>
          <w:sz w:val="15"/>
          <w:szCs w:val="15"/>
          <w:i w:val="1"/>
          <w:iCs w:val="1"/>
          <w:color w:val="auto"/>
        </w:rPr>
        <w:t>Risk Factors</w:t>
      </w:r>
      <w:r>
        <w:rPr>
          <w:rFonts w:ascii="Arial" w:cs="Arial" w:eastAsia="Arial" w:hAnsi="Arial"/>
          <w:sz w:val="15"/>
          <w:szCs w:val="15"/>
          <w:color w:val="auto"/>
        </w:rPr>
        <w:t>," in this Form 10-Q and under Part I, Item 1A in our Annual Report on Form 10-K filed with the SEC on March 9, 2022.</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25, 2022, the Company launched its first demonstration flight of the Vigoride spacecraft (Vigoride 3) to low-earth orbit aboard the SpaceX Transporter-5 mission. In addition to Vigoride, Momentus used a second port on the same SpaceX mission to fly a third-party deployer from a partner company. On May 25, 2022, Momentus used the third-party deployer to place its first customer satellite in orbit.</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26, 2022, upon establishing two-way contact between the Vigoride spacecraft in low-earth orbit and a ground station on Earth, Momentus discovered that the Vigoride spacecraft had experienced certain anomalies after its launch, primarily relating to its deployable solar arrays, which provide power to the spacecraft and its subsystems. Since that time, the Company has been working to address the anomalies, identify root causes and deploy customer satellites.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determined that the Vigoride spacecraft's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 to be working as intended and are providing some power to the spacecraft. The Company has been working closely with the producer of the solar arrays and has identified a mechanical issue as the root cause of the deployable arrays not operating as intended. The Company also believes that it has identified the root cause of the anomalies that it experienced with other spacecraft systems during the low-power state.</w:t>
      </w:r>
    </w:p>
    <w:p>
      <w:pPr>
        <w:spacing w:after="0" w:line="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28, 2022, Momentus was able to deploy two customer satellites from Vigoride (of nine total customer satellites onboard Vigoride 3). Since that time, the Company has continued efforts to deploy other customer satellites, but did not confirm any subsequent deployments during the second quarter.</w:t>
      </w:r>
    </w:p>
    <w:p>
      <w:pPr>
        <w:spacing w:after="0" w:line="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While Momentus initially established two-way communications with the Vigoride spacecraft, it has not been 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While Momentus has not been able to re-establish two-way communication with the Vigoride spacecraft, it has continued to broadcast commands to the spacecraft from ground stations on Earth, including commands to deploy customer satellites. Additionally, the Vigoride spacecraft is equipped with a mechanism designed to autonomously deploy customer satellites in the event that the spacecraft loses communications with ground stations.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Subsequent to the end of the second quarter of 2022, the Vigoride spacecraft deployed four additional customer satellites including two on July 17, 2022 and two on July 29, 2022. With the Vigoride spacecraft having now deployed six of its nine customer satellites, Momentus has now deployed a total of seven customer satellites in Low Earth Orbit, comprising six satellites from Vigoride 3 and one satellite from the third-party deployer system.</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Momentus is continuing efforts to address the anomalies experienced by the Vigoride spacecraft during its inaugural mission (Vigoride 3) and to deploy the three remaining customer satellites, the Company’s level of confidence that it will be able to perform some planned operations of the vehicle on this test and demonstration mission has substantially declined. The Company is working to incorporate improvements identified during the current mission in advance of its planned follow-on missions.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November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services are made possible by the space industry’s rapid technological developments over the past two decades, driven predominantly by significant decreases in launch costs, as well as the advent of smaller, lower-cost satellites. This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anticipate there could be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Beyond transportation, we anticipate that growth of the satellite constellations market may drive demand for our Hosted Payload, on-orbit satellite refueling, on-orbit inspection, on-orbit satellite maintenance, de-orbiting, debris removal, and other satellite-to-satellite service offerings, if we are successful in executing on our business plan,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including fully developing and validating our technology in space. Satellite constellations have relatively short lifespans and, in our view, will require maintenance, de-orbiting, and other general servicing with higher frequency.</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technology underlying our anticipated service offerings is still in the process of being developed, and has not been fully tested or validated in space. Our ability to execute on our business plan is dependent on the successful development and commercialization of the technologies described in this Form 10-Q. Although we believe our water plasma propulsion technology will be a key differentiator of our product offerings, we have to date only conducted one test of this technology in space. Although we believe our test unit generated plasma in space and validated the theoretical basis of our technology, we have yet to experimentally confirm the unit’s ability to generate thrust in space, which is crucial to our ability to conduct actual spacecraft maneuvers in orbit. Until we can accomplish this, the technology will remain in the experimental stages. Moreover, even if the unit generates thrust, there can be no assurance that it can be operated in a manner that is sufficiently reliable and efficient to permit full commercialization of the technology. Our statements and beliefs about the viability of our technology are primarily based on theoretical analyses and experimentally observed results during ground testing and our single test of this technology in space. Development of space technologies is extremely complex, time consuming, and expensive, and there can be no assurance that our predicted theoretical and ground-based results will translate into operational space vehicles that operate within the parameters we expect, or at all. This Quarterly Report on Form 10-Q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 Refer to “</w:t>
      </w:r>
      <w:r>
        <w:rPr>
          <w:rFonts w:ascii="Arial" w:cs="Arial" w:eastAsia="Arial" w:hAnsi="Arial"/>
          <w:sz w:val="16"/>
          <w:szCs w:val="16"/>
          <w:i w:val="1"/>
          <w:iCs w:val="1"/>
          <w:color w:val="auto"/>
        </w:rPr>
        <w:t>Risk Factors —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key component of our business model is the delivery of satellites using our vehicles from low-earth orbit to other orbits. The technology for this maneuver is still in the development stage...” </w:t>
      </w:r>
      <w:r>
        <w:rPr>
          <w:rFonts w:ascii="Arial" w:cs="Arial" w:eastAsia="Arial" w:hAnsi="Arial"/>
          <w:sz w:val="16"/>
          <w:szCs w:val="16"/>
          <w:color w:val="auto"/>
        </w:rPr>
        <w:t>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Form 10-Q and under Part I, Item 1A in our Annual Report on Form 10-K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 on March 9, 2022.</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Overview</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When our technology is fully developed and validated in the future, we currently plan to provide the following infrastructure services to the space economy:</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Space Transportation. </w:t>
      </w:r>
      <w:r>
        <w:rPr>
          <w:rFonts w:ascii="Arial" w:cs="Arial" w:eastAsia="Arial" w:hAnsi="Arial"/>
          <w:sz w:val="17"/>
          <w:szCs w:val="17"/>
          <w:color w:val="auto"/>
        </w:rPr>
        <w:t>We are designing a space transportation service based on a hub-and-spoke model, which combines ride share launch on a medium or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rocket with last-mile delivery using one of our OTVs. Under this model, our customers will deliver their payload to us a few months prior to launch for integration onto our vehicle. Once we have integrated our customers’ payloads, we will then ship our vehicle, holding the customer payload fixture, to the launch site, where it will be integrated onto the rocket. The rocket will then transport our vehicle to the drop-off orbit. After separation from the rocket, our vehicle will transport our customers’ payloads to their chosen final orbit.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designing our water plasma thrusters to enable our vehicle to efficiently transport each customer payload to its respective orbit. We believe our hub-and-spoke model has the potential to expand our customers’ deployment options relative to what they could achieve with ride share launch alone, while reducing their costs relative to what they could achieve with a dedicated small launch vehicle.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Initially, after delivering our customer payloads to their final orbits, our vehicles will de-orbit. However, our plan is to develop the capability for our vehicles to be reusable, such that, upon delivery of the payload, they will be capable of remaining in space to conduct additional missions.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Hosted Payload</w:t>
      </w:r>
      <w:r>
        <w:rPr>
          <w:rFonts w:ascii="Arial" w:cs="Arial" w:eastAsia="Arial" w:hAnsi="Arial"/>
          <w:sz w:val="17"/>
          <w:szCs w:val="17"/>
          <w:color w:val="auto"/>
        </w:rPr>
        <w:t>. We are designing our transfer vehicles for modularity and ease of integration with customer payloads, and with a full suite of capabilities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will need on orbit. Under our Hosted Payload model, our vehicle, after transporting a customer payload to a specific orbit, would stay connected to the payload for the duration of its mission to provide continuous power, orbit maintenance, orientation, and communications to support telemetry, commanding, and downlinking of payload data. Our objective is to offer a higher degree of modularity which we believe has the potential to significantly increase orbital accessibility and/or lower manufacturing costs for a wide range of satellite operators.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In-Orbit Servicing</w:t>
      </w:r>
      <w:r>
        <w:rPr>
          <w:rFonts w:ascii="Arial" w:cs="Arial" w:eastAsia="Arial" w:hAnsi="Arial"/>
          <w:sz w:val="16"/>
          <w:szCs w:val="16"/>
          <w:color w:val="auto"/>
        </w:rPr>
        <w:t>. We view in-orbit servicing of satellites as a quickly growing business opportunity. As the number of satellites in space increases, so does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 to be serviced. We plan to design Momentus’ future reusable vehicles to be capable of performing in-orbit servicing and are pursuing development activities that support this objective. Although we are still in very preliminary stages for developing this technology, our aim is to equip</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future vehicles with robotic arms and the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our performance and future success depend to a substantial extent on our ability to capitalize on the following opportunities, which in turn is subject to significant risks and challenges, including those discussed below and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 with the SEC on March 9,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In-Space Transport and Service Vehicles and Related Technology Development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research and development objectives focus on the development of our existing and future in-space transfer and service vehicles and related water plasma propulsion technology.</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Vigoride is the first vehicle that Momentus is developing. Once fully developed, tested and validated in space, we expect Vigoride will be sufficient to meet our initial operating plan of offering in-space transportation in low-earth orbit to small satellites. Vigoride is intended to transport up to 750 kg of customer payload in low-earth orbit, although our payload capacity will likely be lower in most common configurations. We have set the delta-v and host power objectives for Vigoride at 2 km/sec and 1 kW, respectively, which we believe we can achieve a few years into our product roadmap.</w:t>
      </w:r>
    </w:p>
    <w:p>
      <w:pPr>
        <w:spacing w:after="0" w:line="10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Beyond our inaugural launch in May 2022, we have entered into launch services agreements with SpaceX that secure space for Vigoride on launch vehicles that SpaceX currently targets operating in the second half of 2022 and in 2023. We believe these early missions will allow us to further validate Vigoride’s capabilities. While securing space on the manifest is an important step,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6"/>
          <w:szCs w:val="16"/>
          <w:i w:val="1"/>
          <w:iCs w:val="1"/>
          <w:color w:val="auto"/>
        </w:rPr>
        <w:t>Risk Factors — We may not receive all required governmental licenses and approvals,” and</w:t>
      </w:r>
      <w:r>
        <w:rPr>
          <w:rFonts w:ascii="Arial" w:cs="Arial" w:eastAsia="Arial" w:hAnsi="Arial"/>
          <w:sz w:val="16"/>
          <w:szCs w:val="16"/>
          <w:color w:val="auto"/>
        </w:rPr>
        <w:t xml:space="preserv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 We are dependent on the successful development of our satellite vehicles and related technology,” </w:t>
      </w:r>
      <w:r>
        <w:rPr>
          <w:rFonts w:ascii="Arial" w:cs="Arial" w:eastAsia="Arial" w:hAnsi="Arial"/>
          <w:sz w:val="16"/>
          <w:szCs w:val="16"/>
          <w:color w:val="auto"/>
        </w:rPr>
        <w:t>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Form</w:t>
      </w:r>
      <w:r>
        <w:rPr>
          <w:rFonts w:ascii="Arial" w:cs="Arial" w:eastAsia="Arial" w:hAnsi="Arial"/>
          <w:sz w:val="16"/>
          <w:szCs w:val="16"/>
          <w:i w:val="1"/>
          <w:iCs w:val="1"/>
          <w:color w:val="auto"/>
        </w:rPr>
        <w:t xml:space="preserve"> </w:t>
      </w:r>
      <w:r>
        <w:rPr>
          <w:rFonts w:ascii="Arial" w:cs="Arial" w:eastAsia="Arial" w:hAnsi="Arial"/>
          <w:sz w:val="16"/>
          <w:szCs w:val="16"/>
          <w:color w:val="auto"/>
        </w:rPr>
        <w:t>10-Q and under Part I, Item 1A in our Annual Report on Form 10-K filed with the SEC on March 9, 2022.</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Early Vigoride vehicles will not be reusable, meaning that we will de-orbit them following delivery of their customer payloads. However, around the middle of this decade, we plan to make our vehicles capable of reuse such that, upon delivery of their payloads, they will be able to remain in space to conduct follow-on missions. Establishing reusable vehicles will require significant additional research and technological developments. We believe our choice of water as a propellant will help with the creation of reusable vehicles because water can be stored without special conditions, other than ensuring lines and tanks do not freeze or become obstructed with ice, for an indefinite amount of time and pumped easily. Additionally, water is safe and non-hazardous relative to commonly used propellants such as cryogenic components and hypergolic toxic fuels for chemical propulsion, or highly pressurized noble gases (such as xenon or krypton) for electrical propulsion. We believe that if we are able to achieve reusability, it will allow us to lower manufacturing and launch costs on a per-ride basis and achieve higher margins and returns for our investors while also reducing our environmental impact.</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Beyond Vigoride, we envision bringing two progressively larger vehicles to market, which we call Ardoride and Fervoride. These vehicles will be similar to our Vigoride vehicle, but with larger structures, larger solar arrays, and more powerful propulsion systems in order to carry progressively larger payloads progressively further from Earth.</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successful development of our vehicles with water plasma propulsion technology involves uncertainties, including:</w:t>
      </w:r>
    </w:p>
    <w:p>
      <w:pPr>
        <w:spacing w:after="0" w:line="88"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timing in finalizing systems design and specifications;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successful completion of test programs and demonstration missions;</w:t>
      </w:r>
    </w:p>
    <w:p>
      <w:pPr>
        <w:spacing w:after="0" w:line="7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whether we will receive and the timing of receipt of licenses and government approvals that will allow us to fly our vehicles in space and gather valuable data that will assist in further development of our vehicles;</w:t>
      </w:r>
    </w:p>
    <w:p>
      <w:pPr>
        <w:spacing w:after="0" w:line="35"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meeting stated technological objectives and goals for the design on time, on budget and within target cost objectives;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88" w:lineRule="exact"/>
        <w:rPr>
          <w:sz w:val="20"/>
          <w:szCs w:val="20"/>
          <w:color w:val="auto"/>
        </w:rPr>
      </w:pPr>
    </w:p>
    <w:p>
      <w:pPr>
        <w:ind w:left="6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obtain additional applicable approvals, licenses or certifications from regulatory agencies and maintaining current approvals, licenses or certifications;</w:t>
      </w:r>
    </w:p>
    <w:p>
      <w:pPr>
        <w:spacing w:after="0" w:line="3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secure slots on our launch providers’ manifests;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performance of our manufacturing facility despite risks that disrupt productions, such as natural disasters;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performance of our third-party contractors that support our research and development activities;</w:t>
      </w:r>
    </w:p>
    <w:p>
      <w:pPr>
        <w:spacing w:after="0" w:line="88"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performance of a limited number of suppliers for certain raw materials and supplied components and their willingness to do business with us;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protect our intellectual property critical to the design and function of our orbital transfer vehicles;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continue funding and maintaining our current research and development activities;</w:t>
      </w:r>
    </w:p>
    <w:p>
      <w:pPr>
        <w:spacing w:after="0" w:line="88"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the COVID-19 pandemic on us, our customers, suppliers and distributors, and the global economy; and</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comply with the terms of the NSA and any related compliance measures instituted by the Security Director.</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change in the outcome of any of these variables could delay the development of our vehicles which in turn could impact our business and results of operations. Refer to “</w:t>
      </w:r>
      <w:r>
        <w:rPr>
          <w:rFonts w:ascii="Arial" w:cs="Arial" w:eastAsia="Arial" w:hAnsi="Arial"/>
          <w:sz w:val="17"/>
          <w:szCs w:val="17"/>
          <w:i w:val="1"/>
          <w:iCs w:val="1"/>
          <w:color w:val="auto"/>
        </w:rPr>
        <w:t>Risk Factors,</w:t>
      </w:r>
      <w:r>
        <w:rPr>
          <w:rFonts w:ascii="Arial" w:cs="Arial" w:eastAsia="Arial" w:hAnsi="Arial"/>
          <w:sz w:val="17"/>
          <w:szCs w:val="17"/>
          <w:color w:val="auto"/>
        </w:rPr>
        <w:t>”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 with the SEC on March 9, 2022.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and Successive Launches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water plasma propulsion technology (that we are developing) is based on the use of microwave electrothermal or “MET,” thrusters, which we believe could ultimately provide safe, affordable, reliable, and regular in-space services, including Space Transportation, Hosted Payload, and In-Orbit Servicing. To accomplish this, we currently intend to:</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Develop our commercial program for in-space transportation</w:t>
      </w:r>
      <w:r>
        <w:rPr>
          <w:rFonts w:ascii="Arial" w:cs="Arial" w:eastAsia="Arial" w:hAnsi="Arial"/>
          <w:sz w:val="17"/>
          <w:szCs w:val="17"/>
          <w:color w:val="auto"/>
        </w:rPr>
        <w:t>. We conducted our inaugural demonstration mission with our Vigoride vehicle (Vigoride 3) in</w:t>
      </w:r>
      <w:r>
        <w:rPr>
          <w:rFonts w:ascii="Arial" w:cs="Arial" w:eastAsia="Arial" w:hAnsi="Arial"/>
          <w:sz w:val="17"/>
          <w:szCs w:val="17"/>
          <w:b w:val="1"/>
          <w:bCs w:val="1"/>
          <w:color w:val="auto"/>
        </w:rPr>
        <w:t xml:space="preserve"> </w:t>
      </w:r>
      <w:r>
        <w:rPr>
          <w:rFonts w:ascii="Arial" w:cs="Arial" w:eastAsia="Arial" w:hAnsi="Arial"/>
          <w:sz w:val="17"/>
          <w:szCs w:val="17"/>
          <w:color w:val="auto"/>
        </w:rPr>
        <w:t>May 2022. We currently plan to fly our second Vigoride vehicle on a SpaceX Transporter flight as early as November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 We may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 with the SEC</w:t>
      </w:r>
      <w:r>
        <w:rPr>
          <w:rFonts w:ascii="Arial" w:cs="Arial" w:eastAsia="Arial" w:hAnsi="Arial"/>
          <w:sz w:val="17"/>
          <w:szCs w:val="17"/>
          <w:i w:val="1"/>
          <w:iCs w:val="1"/>
          <w:color w:val="auto"/>
        </w:rPr>
        <w:t xml:space="preserve"> </w:t>
      </w:r>
      <w:r>
        <w:rPr>
          <w:rFonts w:ascii="Arial" w:cs="Arial" w:eastAsia="Arial" w:hAnsi="Arial"/>
          <w:sz w:val="17"/>
          <w:szCs w:val="17"/>
          <w:color w:val="auto"/>
        </w:rPr>
        <w:t>on March 9, 2022.</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Launch our commercial program for Hosted Payload</w:t>
      </w:r>
      <w:r>
        <w:rPr>
          <w:rFonts w:ascii="Arial" w:cs="Arial" w:eastAsia="Arial" w:hAnsi="Arial"/>
          <w:sz w:val="17"/>
          <w:szCs w:val="17"/>
          <w:color w:val="auto"/>
        </w:rPr>
        <w:t>. If in the future our vehicles are operationalized for their intended in-space transport uses, we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a modular approach to satellite systems through our hosted payload model. For missions that require significant power for the payload and/or specific orbits, our objective is for Momentus to be able to provide a unique combination of a low-cost service model, in-orbit flexibility, and high electrical power generation.</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Launch our commercial program for In-Orbit Servicing</w:t>
      </w:r>
      <w:r>
        <w:rPr>
          <w:rFonts w:ascii="Arial" w:cs="Arial" w:eastAsia="Arial" w:hAnsi="Arial"/>
          <w:sz w:val="16"/>
          <w:szCs w:val="16"/>
          <w:color w:val="auto"/>
        </w:rPr>
        <w:t>. If we develop reusability for our vehicles as currently contemplated, we believe we will be 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success of our in-space infrastructure services business will depend on our ability to successfully and regularly deliver customer satellites into custom orbits. Our early missions, particularly those in 2022 and 2023, including our inaugural mission (Vigoride 3) in May 2022, are intended to be demonstration missions. The primary goals of our planned demonstration missions are to test Vigoride on orbit and learn from any issues that we encounter. The lessons learned from demonstration missions will help inform changes we can make to our Vigoride vehicle as we seek to ultimately certify a design for production. Depending on the nature of issues we encounter, our schedule for future launches and other planned activities could be adversely affected. There can be no assurance that we will not experience operational or process failures and other problems during our future demonstration missions or on any future mission. Any failures or setbacks, particularly those that we experienced on our inaugural mission (Vigoride 3) and those that we may encounter on other early missions, could harm our reputation and have a material adverse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effect on our business, financial condition and results of operation. Refer to “</w:t>
      </w:r>
      <w:r>
        <w:rPr>
          <w:rFonts w:ascii="Arial" w:cs="Arial" w:eastAsia="Arial" w:hAnsi="Arial"/>
          <w:sz w:val="17"/>
          <w:szCs w:val="17"/>
          <w:i w:val="1"/>
          <w:iCs w:val="1"/>
          <w:color w:val="auto"/>
        </w:rPr>
        <w:t>Risk Factors — We are dependent on the successful development of our satellite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have received significant interest from a range of satellite operators, satellite manufacturers, satellite aggregators, launch service providers, and others. As of June 30, 2022, we had collected approximately $1.7 million in customer deposits related to future launches. While our standard contracts do not contain refunds or recourse provisions that enable our customers to recover any non-refundable deposits that have been paid, we issued refunds totaling $1.4 million to customers during the year ended December 31, 2021 due to cancelled launches for 2021 in order to foster future business relationships and customer goodwill.</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Because our technologies have not yet been fully tested, our service offering to our customers on our demonstration missions will be limited. To reflect this, we expect to provide discounts to customers on these demonstration missions relative to the price we intend to eventually charge for our transportation services. During our demonstration missions, we plan to demonstrate Vigoride’s ability to deploy satellites. Once all customer payloads have been released, we plan to perform certain maneuvers and technology demonstrations to validate our technology and establish the potential commercial viability of our strategy. This approach limits risk for us as well as for our customers.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signed contracts for approximately $55 million in backlog (potential revenue), as of July 31, 2022. These agreements contain firm orders as well as options, allowing customers to opt-in to launches on shorter notice without requiring a separate agreement. The breadth of these signed contracts spans across 22 companies in 16 countries. 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backlog is subject to meaningful customer concentration risk. As of July 31, 2022, approximately 70% of the total dollar value of our backlog related to three launch services providers and aggregators of launch services capacity, and their affiliates. The top ten customers in our backlog represent approximately 98% of the total dollar value of our backlog.</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Impact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has affected our business in the past, including our timeline for our formerly planned launch in April 2020, and has the potential to further impact our business in the future, including our plans for future launches and our ability to secure contracts with customers.</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November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"Risk Factors,"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non-operations personnel began working from home in March 2020 as we reduced our in-person operations to prioritize the safety of our employees. We have begun to gradually bring essential personnel back to the office, while adhering to Centers for Disease Control and Prevention, federal, state and local protective standards. Subject to local regulations and the effectiveness of vaccination initiatives, we intend to gradually bring all employees back</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office; until then, we will continue to support our employees working from home. While remote working arrangements have affected our manufacturing and development timelines, the overall impact of this arrangement has not materially adversely affected the timeline of future launches.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2020, to strengthen our liquidity position, we received a Paycheck Protection Program loan (the “PPP Loan”) in the amount of $1.0 million under the Coronavirus Aid, Relief, and Economic Security Act (the “CARES Act”); however, in September 2020, we repaid the PPP Loan in full.</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Notwithstanding the foregoing, the impact of the COVID-19 pandemic on the Company’s business, results of operations and overall financial performance will ultimately depend on future developments, including the duration of the pandemic, possible recurrent outbreaks, the appearance of variants and the effectiveness of vaccines and other mitigation measures against variants, all of which are highly uncertain and cannot be predicted. See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 with the SEC on March 9, 2022, for additional discussion of the potential impact of the COVID-19 pandemic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Consummation of Business Combination</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Business Combination is accounted for as a reverse recapitalization in accordance with GAAP. Under this method of accounting, SRAC is treated as the “acquired” company for financial reporting purposes. We are deemed the accounting predecessor of the combined business, and Momentus Inc., as the parent company of the combined business, is the successor SEC registrant, meaning that our consolidated financial statements for previous periods are disclosed in the registrant’s future periodic reports filed with the SEC.</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Business Combination will have a significant impact on our future reported financial position and results as a consequence of the reverse recapitalization. The most significant changes in Momentus’ future reported financial position and results are an increase in cash of $247.3 million, offset by additional transaction costs for the Business Combination. See Note 3.</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result of the Business Combination, we became the successor to an SEC-registered and Nasdaq-listed company, which will require us to hire additional personnel and implement procedures and processes to address public company regulatory requirements and customary practices. We have begun to incur additional recurring expenses as a public company for, among other things, directors’ and officers’ liability insurance, director fees, and additional internal and external accounting, legal and administrative resources.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and Security Agreement</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February 22, 2021, the Company entered into the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needed by the June 30, 2021 deadline. Under the terms of the loan, if certain operating cash ratios are not met, the lender is granted a lien on the Company’s intellectual property while the loan is outstanding. Prior to the Business Combination, the lien was granted but was subsequently released as a result of the proceeds from the Business Combination. The repayment terms of the Term Loan provide for interest-only payments beginning March 1, 2021 through February 28, 2022.</w:t>
      </w:r>
    </w:p>
    <w:p>
      <w:pPr>
        <w:spacing w:after="0" w:line="1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original terms of the loan, the principal amount was due and payable on March 1, 2022, however, during January 2022, the Company exercised its option to pay back the Term Loan over 24 months. The extended payment term resulted in a recast schedule with a lower effective interest rate. See Note 10.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On August 12, 2021 the lender exercised the warrant; see Note 11 for discussion on the valuation and conversion of the warrants.</w:t>
      </w:r>
    </w:p>
    <w:p>
      <w:pPr>
        <w:spacing w:after="0" w:line="100" w:lineRule="exact"/>
        <w:rPr>
          <w:sz w:val="20"/>
          <w:szCs w:val="20"/>
          <w:color w:val="auto"/>
        </w:rPr>
      </w:pPr>
    </w:p>
    <w:p>
      <w:pPr>
        <w:ind w:right="400"/>
        <w:spacing w:after="0" w:line="427" w:lineRule="auto"/>
        <w:rPr>
          <w:sz w:val="20"/>
          <w:szCs w:val="20"/>
          <w:color w:val="auto"/>
        </w:rPr>
      </w:pPr>
      <w:r>
        <w:rPr>
          <w:rFonts w:ascii="Arial" w:cs="Arial" w:eastAsia="Arial" w:hAnsi="Arial"/>
          <w:sz w:val="17"/>
          <w:szCs w:val="17"/>
          <w:color w:val="auto"/>
        </w:rPr>
        <w:t xml:space="preserve">In addition, the lender will have certain rights to participate in future private equity offerings (including convertible notes or bridge financings) of Momentus. </w:t>
      </w:r>
      <w:r>
        <w:rPr>
          <w:rFonts w:ascii="Arial" w:cs="Arial" w:eastAsia="Arial" w:hAnsi="Arial"/>
          <w:sz w:val="17"/>
          <w:szCs w:val="17"/>
          <w:b w:val="1"/>
          <w:bCs w:val="1"/>
          <w:color w:val="auto"/>
        </w:rPr>
        <w:t>SEC Settlement and CFIUS Review</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incurred significant expenses in connection with the CFIUS review described below and have incurred and expect to incur significant expenses in connection with the implementation of the NSA described below. We have also incurred significant expenses related to the SEC settlement discussed below. As of June 30, 2022, the Company had incurred legal expenses of approximately $8.8 million related to these matters.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 Settlement</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July 13, 2021, the Company agreed to a settlement with the SEC on a “neither admit nor deny” basis, in anticipation of cease-and-desist proceedings relating to certain violations of antifraud provisions of the federal securities laws alleged by the SEC. As a result of the settlement, the Company agreed to a civil penalty of $7.0 million, $2.0 million of which was paid immediately and $5.0 million of which is payable within one year of the settlement order. The Company paid the remaining $5 million liability on July 8, 2022.</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CFIUS Review and NSA</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February 2021, Momentus and its co-founder Mikhail Kokorich, with support from SRAC, submitted a joint notice to CFIUS for review of the historical acquisitions of interests in Momentus by Mr. Kokorich, his wife, and entities that they control in response to concerns of the U.S. Department of Defense (the “DoD”) regarding Momentus’ foreign ownership and control. On June 8, 2021, the Company entered into a National Security Agreement with Mr. Kokorich, on behalf of himself and Nortrone Finance S.A. (an entity controlled by Mr. Kokorich), Lev Khasis and Olga Khasis, each in their respective individual capacities and on behalf of Brainyspace LLC (an entity controlled by Olga Khasis), and the U.S. government, represented by the DoD and the U.S. Department of the Treasury (the “NSA”). In accordance with the NSA, Mr. Kokorich, Nortrone Finance S.A., Lev Khasis and his wife Olga Khasis, and Brainyspace LLC divested all the equity interests in Momentus owned or beneficially owned by them by selling such equity interests to the Company on June 8, 2021 (see below “</w:t>
      </w:r>
      <w:r>
        <w:rPr>
          <w:rFonts w:ascii="Arial" w:cs="Arial" w:eastAsia="Arial" w:hAnsi="Arial"/>
          <w:sz w:val="16"/>
          <w:szCs w:val="16"/>
          <w:i w:val="1"/>
          <w:iCs w:val="1"/>
          <w:color w:val="auto"/>
        </w:rPr>
        <w:t>Co-Founder</w:t>
      </w:r>
      <w:r>
        <w:rPr>
          <w:rFonts w:ascii="Arial" w:cs="Arial" w:eastAsia="Arial" w:hAnsi="Arial"/>
          <w:sz w:val="16"/>
          <w:szCs w:val="16"/>
          <w:color w:val="auto"/>
        </w:rPr>
        <w:t xml:space="preserve"> </w:t>
      </w:r>
      <w:r>
        <w:rPr>
          <w:rFonts w:ascii="Arial" w:cs="Arial" w:eastAsia="Arial" w:hAnsi="Arial"/>
          <w:sz w:val="16"/>
          <w:szCs w:val="16"/>
          <w:i w:val="1"/>
          <w:iCs w:val="1"/>
          <w:color w:val="auto"/>
        </w:rPr>
        <w:t>Divestment</w:t>
      </w:r>
      <w:r>
        <w:rPr>
          <w:rFonts w:ascii="Arial" w:cs="Arial" w:eastAsia="Arial" w:hAnsi="Arial"/>
          <w:sz w:val="16"/>
          <w:szCs w:val="16"/>
          <w:color w:val="auto"/>
        </w:rPr>
        <w:t>”). The NSA also establishes various requirements and restrictions on the Company in order to protect national security, certain of which may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and adversely affect our operating results due to uncertainty associated with and the cost of compliance with security measures, and limitations on our control over certain U.S. facilities, contracts, personnel, vendor selection 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Co-Founder Divestment</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accordance with the NSA and pursuant to certain Repurchase Agreements entered into with the Company, effective as of June 8, 2021, each of Mr. Kokorich, Nortrone Finance S.A. and Brainyspace LLC (collectively “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of the investors’ NSA compliance, all of the escrowed divestment proceeds were released to the Co-Founders as of March 1, 2022 in accordance with the NSA.</w:t>
      </w:r>
    </w:p>
    <w:p>
      <w:pPr>
        <w:spacing w:after="0" w:line="16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 (see Note 11).</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resulting in an estimated liability of $5.8 million expected to be paid to the Co-Founders with a corresponding offset to additional paid in capital, as of June 30, 2022.</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payment came from proceeds of the Business Combination and PIPE Investment and therefore reduce the proceeds available to Momentus to fund its operations and capital expenditures going forward.</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part of the Repurchase Agreements, both Messrs. Kokorich and Khasis agreed to a broad waiver and release of all claims (broadly defined) against the Company. The Company has maintained that this release is effective as to various advancement or indemnification claims either individual may have against the Company. Both Messrs. Kokorich and Khasis have, through counsel, disagreed with the Company's position. Absent a negotiated resolution, there is a chance that the parties may litigate the matter. The total cumulative potential exposure for the disputes with both Messrs. Kokorich and Khasis is presently unknown but exceeds $1 million. We express no opinion on the probable outcome of these matters.</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Risk Factors — We may require substantial additional funding to finance our operations, but adequate additional financing may not be available when we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need it, on acceptable terms or at all,” </w:t>
      </w:r>
      <w:r>
        <w:rPr>
          <w:rFonts w:ascii="Arial" w:cs="Arial" w:eastAsia="Arial" w:hAnsi="Arial"/>
          <w:sz w:val="17"/>
          <w:szCs w:val="17"/>
          <w:color w:val="auto"/>
        </w:rPr>
        <w:t>in our Annual Report on Form 10-K filed by the Company on March 9, 2022.</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transfer vehicle (Vigoride 3) in May 2022. The FAA favorable determination follows a license from the Federal Communications Commission (the “FCC”) received on April 28, 2022, and updates to existing licenses from the National Oceanic and Atmospheric Administration (the “NOAA”).</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May 25, 2022, the Company launched its first demonstration flight of the Vigoride spacecraft (Vigoride 3) to low-earth orbit aboard the SpaceX Transporter-5 mission. In addition to Vigoride, Momentus used a second port on the same SpaceX mission to fly a third-party deployer from a partner company. On May 25, 2022, Momentus used the third-party deployer to place its first customer satellite in orbit.</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26, 2022, upon establishing two-way contact between the Vigoride spacecraft in low-earth orbit and a ground station on Earth, Momentus discovered that the Vigoride spacecraft had experienced certain anomalies after its launch, primarily relating to its deployable solar arrays, which provide power to the spacecraft and its subsystems. Since that time, the Company has been working to address the anomalies, identify root causes and deploy customer satellites.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determined that the Vigoride spacecraft's deployable solar arrays, which are produced by a third party, and are folded and stowed during launch, did not operate as intended once in orbit. This resulted in low power and communications issues with the spacecraft. Meanwhile, the spacecraft's fixed, body-mounted solar panels appear to be working as intended and are providing some power to the spacecraft. The Company has been working closely with the producer of the solar arrays and has identified a mechanical issue as the root cause of the deployable arrays not operating as intended. The Company also believes that it has identified the root cause of the anomalies that it experienced with other spacecraft systems during the low-power state.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28, 2022, Momentus was able to deploy two customer satellites from Vigoride (of nine total customer satellites onboard Vigoride 3). Since that time, the Company has continued efforts to deploy other customer satellites, but did not confirm any subsequent deployments during the second quarter.</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While Momentus initially established two-way communications with the Vigoride spacecraft, it has not been able to continue such two-way communication given the spacecraft's low-power state. Momentus has been using an unplanned frequency to work through the anomalies and applied for a 30-day Special Temporary Authority (“STA”) from the FCC to properly comply with the FCC’s radio frequency transmission requirements. On June 9, 2022 the Company received approval of a 30-day STA from the FCC as requested, which the FCC extended for an additional 30 days on July 13.</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While Momentus has not been able to re-establish two-way communication with the Vigoride spacecraft, it has continued to broadcast commands to the spacecraft from ground stations on Earth, including commands to deploy customer satellites. Additionally, the Vigoride spacecraft is equipped with a mechanism designed to autonomously deploy customer satellites in the event that the spacecraft loses communications with ground stations.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Subsequent to the end of the second quarter of 2022, the Vigoride spacecraft deployed four additional customer satellites including two on July 17, 2022 and two on July 29, 2022. With the Vigoride spacecraft having now deployed six of its nine customer satellites, Momentus has now deployed a total of seven customer satellites in Low Earth Orbit, comprising six satellites from Vigoride 3 and one satellite from the third-party deployer system.</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Momentus is continuing efforts to address the anomalies experienced by the Vigoride spacecraft during its inaugural mission (Vigoride 3) and to deploy the three remaining customer satellites, the Company’s level of confidence that it will be able to perform some planned operations of the vehicle on this test and demonstration mission has substantially declined. The Company is working to incorporate improvements identified during the current mission in advance of its planned follow-on missions.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anticipates flying its second Vigoride vehicle to low-earth orbit on a third-party launch provider as early as November 2022. All future missions remain subject to the receipt of licenses and government approvals, and successful completion of our efforts to prepare our spacecraft for flight. The Company can offer no assurances that the vehicles that it plans to operate in future missions will be ready on time, or that they will operate as intended. Refer to “</w:t>
      </w:r>
      <w:r>
        <w:rPr>
          <w:rFonts w:ascii="Arial" w:cs="Arial" w:eastAsia="Arial" w:hAnsi="Arial"/>
          <w:sz w:val="17"/>
          <w:szCs w:val="17"/>
          <w:i w:val="1"/>
          <w:iCs w:val="1"/>
          <w:color w:val="auto"/>
        </w:rPr>
        <w:t>Risk Factors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 may not receive all required governmental licenses and approvals,” and </w:t>
      </w:r>
      <w:r>
        <w:rPr>
          <w:rFonts w:ascii="Arial" w:cs="Arial" w:eastAsia="Arial" w:hAnsi="Arial"/>
          <w:sz w:val="17"/>
          <w:szCs w:val="17"/>
          <w:color w:val="auto"/>
        </w:rPr>
        <w:t>“</w:t>
      </w:r>
      <w:r>
        <w:rPr>
          <w:rFonts w:ascii="Arial" w:cs="Arial" w:eastAsia="Arial" w:hAnsi="Arial"/>
          <w:sz w:val="17"/>
          <w:szCs w:val="17"/>
          <w:i w:val="1"/>
          <w:iCs w:val="1"/>
          <w:color w:val="auto"/>
        </w:rPr>
        <w:t xml:space="preserve">Risk Factors — We are dependent on the successful development of our satellite vehicles and related technology,” </w:t>
      </w:r>
      <w:r>
        <w:rPr>
          <w:rFonts w:ascii="Arial" w:cs="Arial" w:eastAsia="Arial" w:hAnsi="Arial"/>
          <w:sz w:val="17"/>
          <w:szCs w:val="17"/>
          <w:color w:val="auto"/>
        </w:rPr>
        <w:t>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Form 10-Q and under Part I, Item 1A in our Annual Report on Form 10-K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on March 9, 2022.</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May 25, 2022 flight of the Vigoride spacecraft and the third-party deployer from a partner company, the Company completed one of the intended performance obligations, resulting in $50 thousand of recognized revenue, which was previously recorded in contract liabilities. The remaining customer payloads were negatively impacted by the Vigoride anomalies and as a result did not receive the anticipated level of service. As a result, the Company offered concessions to these customers, the value of which was unresolved as of June 30, 2022. Due to this unresolved variable consideration, the Company recorded the related customer deposits of $133 thousand as deferred revenues within current contract liabilities.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2022 we have signed contracts with customers and have collected approximately $1.7 million in customer deposits, which are recorded as non-current contract liabilities in our consolidated balance sheets.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to customers during the year ended December 31, 2021.</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 of revenue consists primarily of expenses associated with the cost of the orbital transfer vehicle and third-party launch costs. Until the orbital transfer vehicle design is completed and released for production, the cost of these orbital transfer vehicles is being expensed as research and development costs as materials and services are received. The current design and technology allow for a single use of the orbital transfer vehicle.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connection with the launch of the Company’s first Vigoride (Vigoride 3) and the third 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$0.6 million allocated to the Vigoride vehicle was amortized to research and development costs, and $0.6 million allocated to the third party deployer, intended as a demonstration of Company’s business model, was amortized to selling, general and administrative costs. As a result of the launch, the Company realized $1.8 million of benefit from the recovery of previously impaired prepaid launch costs.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 The Company also records launch costs related to the testing of its Vigoride vehicles as research and development costs.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June 30, 2022, we have expensed all research and development costs associated with developing and building our vehicles. Once we have achieved technological feasibility and released the design for volume production, we will capitalize the costs to construct any additional components for the vehicles. We expect to continue to see an increase in our research and development expenses as we develop our next generation of vehicles.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5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 As we continue to grow as a company, we expect that our selling, general and administrative costs will increase on an absolute dollar basis. The Company also recorded one-time launch costs related to the validation of the business model as selling, general and administrative costs.</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have begun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NSA.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investment holdings in interest bearing bank accounts.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includes interest incurred related to our loan payables as well as the amortization of warrant discount and debt issuance costs.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Income/Expense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income/expense primarily relates to the change in the estimated fair value of our SAFE notes and warrants, and non-recurring fees incurred in conjunction with the SAFE and Term Loan financing, SEC settlement cost, and the Business Combination.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The period-to-period comparisons of financial results is not necessarily indicative of future results.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Financial Results for the Three Months Ended June 30, 2022 and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1780" w:type="dxa"/>
            <w:vAlign w:val="bottom"/>
          </w:tcPr>
          <w:p>
            <w:pPr>
              <w:spacing w:after="0"/>
              <w:rPr>
                <w:sz w:val="14"/>
                <w:szCs w:val="14"/>
                <w:color w:val="auto"/>
              </w:rPr>
            </w:pPr>
          </w:p>
        </w:tc>
      </w:tr>
      <w:tr>
        <w:trPr>
          <w:trHeight w:val="178"/>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center"/>
              <w:ind w:left="931"/>
              <w:spacing w:after="0"/>
              <w:rPr>
                <w:sz w:val="20"/>
                <w:szCs w:val="20"/>
                <w:color w:val="auto"/>
              </w:rPr>
            </w:pPr>
            <w:r>
              <w:rPr>
                <w:rFonts w:ascii="Arial" w:cs="Arial" w:eastAsia="Arial" w:hAnsi="Arial"/>
                <w:sz w:val="14"/>
                <w:szCs w:val="14"/>
                <w:b w:val="1"/>
                <w:bCs w:val="1"/>
                <w:color w:val="auto"/>
                <w:w w:val="85"/>
              </w:rPr>
              <w:t>June 30,</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7"/>
        </w:trPr>
        <w:tc>
          <w:tcPr>
            <w:tcW w:w="43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5"/>
                <w:szCs w:val="15"/>
                <w:color w:val="auto"/>
              </w:rPr>
            </w:pPr>
          </w:p>
        </w:tc>
        <w:tc>
          <w:tcPr>
            <w:tcW w:w="1260" w:type="dxa"/>
            <w:vAlign w:val="bottom"/>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780" w:type="dxa"/>
            <w:vAlign w:val="bottom"/>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4"/>
                <w:szCs w:val="14"/>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206"/>
        </w:trPr>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20,794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(9,898)</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(48 %)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32 %</w:t>
            </w: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(23,719)</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(30,534)</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6,815</w:t>
            </w:r>
          </w:p>
        </w:tc>
        <w:tc>
          <w:tcPr>
            <w:tcW w:w="8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 in fair value of SAFE notes</w:t>
            </w: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100,803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(100,803)</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Decrease in fair value of warrants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2,254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4,454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(2,200)</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gain on disposal of asset</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400 %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SEC settlement</w:t>
            </w:r>
          </w:p>
        </w:tc>
        <w:tc>
          <w:tcPr>
            <w:tcW w:w="3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7,000</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color w:val="auto"/>
              </w:rPr>
              <w:t>(Loss) income before income taxes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(22,872)</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64,327</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(87,199)</w:t>
            </w:r>
          </w:p>
        </w:tc>
        <w:tc>
          <w:tcPr>
            <w:tcW w:w="8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9"/>
        </w:trPr>
        <w:tc>
          <w:tcPr>
            <w:tcW w:w="43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(22,872)</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64,327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(87,199)</w:t>
            </w:r>
          </w:p>
        </w:tc>
        <w:tc>
          <w:tcPr>
            <w:tcW w:w="8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(136 %)</w:t>
            </w: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revenue recognized during the three months ended June 30, 2022 was due to the Company’s first launch in May 2022. This revenue was recognized as the result of a completed performance obligation. Other performance obligations during the first flight (Vigoride 3) were negatively impacted by the Vigoride anomalies and led to concessions offered to customers, the value of which was unresolved as of June 30, 2022. Because of this unresolved variable consideration, the Company deferred additional revenues of $133 thousand which were originally expected during the first launch.</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cost of revenue of during the three months ended June 30, 2022 was due to the Company’s first launch in May 2022. The Company allocated the cost of the launch proportionally based on payload weight, with the customer payload portion related to completed performance obligations of $12 thousand recorded as cost of revenue. Because of the unresolved variable consideration, the Company deferred additional fulfillment costs of $14 thousand which were originally expected during the first launch.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Research and development expenses decreased from $20.8 million in the three months ended June 30, 2021 to $10.9 million in the three months ended June 30, 2022. The decrease was primarily due to a one-time impairment of $8.7 million of prepaid launch deposits in the prior year, offset by $0.6 million of launch costs amortized during the three months ended June 30, 2022. Spending on components, materials, and other costs decreased by $1.8 million along with subcontracted research and development costs which decreased by $0.8 million. These reductions were offset by additional payroll costs of $0.5 million (including an increase of $0.4 million in non-cash stock based compensation) due to an increase in headcount, and higher compensation packages related to the transition from start-up to a publicly traded company. The decrease was further offset by additional overhead and other costs of $0.4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Selling, general and administrative expenses increased from $9.7 million in the three months ended June 30, 2021 to $12.9 million in the three months ended June 30, 2022. Payroll costs increased by $0.9 million, due to an increase in headcount, and also due to higher compensation packages for senior employees related to the transition from a start-up to a publicly traded company. Additional insurance costs of $0.7 million and additional general corporate costs of $0.8 million were incurred due to the extra requirements of operating as a publicly traded company. Increased spending of $1.9 million on non-legal professional fees was offset by a reduction of $1.8 million in legal spending as the Company’s activity related to the NSA and SEC topics discussed in Note 12 shifted from legal proceedings to compliance. The Company also incurred launch costs of $0.6 million during the three months ended June 30, 2022, related to the validation of a third party deployer of a partner company.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 fair value of SAFE notes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decrease in the calculated fair value of SAFE notes during the three months ended June 30, 2021 was primarily due to an decrease in the estimated fair value of the Company’s stock, which at that time was driven by its relation to the market price of SRAC.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 fair value of warrants</w:t>
      </w:r>
    </w:p>
    <w:p>
      <w:pPr>
        <w:spacing w:after="0" w:line="14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months ended June 30, 2021, the decrease in the calculated fair value of the private loan-related warrants was due to the decrease in the estimated fair value of the Company’s stock. All outstanding warrants in the prior period were exercised in connection with the Business Combination.</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three months ended June 30,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11.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of $3.4 million for the three months ended June 30, 2021 relates to cash and amortization interest under the original one year term of the Term Loan. During January 2022, the Company exercised its option to extend repayment of the loan, resulting in a decrease of the effective interest rate and lower cash and amortization interest of $1.4 million for the three months ended June 30, 2022. See Note 10.</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 Settlement</w:t>
      </w:r>
    </w:p>
    <w:p>
      <w:pPr>
        <w:spacing w:after="0" w:line="15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SEC settlement expense for the three months ended June 30, 2021 relates to a civil penalty of $7.0 million, $2 million of which was paid to the SEC immediately and $5 million of which is payable within one year of the settlement order, in July 2022. The Company paid the remaining $5 million liability on July 8, 2022.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Other expense in the three months ended June 30, 2022 and 2021 was immaterial.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Financial Results for the Six Months Ended June 30, 2022 and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center"/>
              <w:ind w:left="731"/>
              <w:spacing w:after="0"/>
              <w:rPr>
                <w:sz w:val="20"/>
                <w:szCs w:val="20"/>
                <w:color w:val="auto"/>
              </w:rPr>
            </w:pPr>
            <w:r>
              <w:rPr>
                <w:rFonts w:ascii="Arial" w:cs="Arial" w:eastAsia="Arial" w:hAnsi="Arial"/>
                <w:sz w:val="14"/>
                <w:szCs w:val="14"/>
                <w:b w:val="1"/>
                <w:bCs w:val="1"/>
                <w:color w:val="auto"/>
                <w:w w:val="88"/>
              </w:rPr>
              <w:t>Six Months Ended</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8"/>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3"/>
          </w:tcPr>
          <w:p>
            <w:pPr>
              <w:jc w:val="center"/>
              <w:ind w:left="731"/>
              <w:spacing w:after="0"/>
              <w:rPr>
                <w:sz w:val="20"/>
                <w:szCs w:val="20"/>
                <w:color w:val="auto"/>
              </w:rPr>
            </w:pPr>
            <w:r>
              <w:rPr>
                <w:rFonts w:ascii="Arial" w:cs="Arial" w:eastAsia="Arial" w:hAnsi="Arial"/>
                <w:sz w:val="14"/>
                <w:szCs w:val="14"/>
                <w:b w:val="1"/>
                <w:bCs w:val="1"/>
                <w:color w:val="auto"/>
                <w:w w:val="85"/>
              </w:rPr>
              <w:t>June 30,</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5"/>
                <w:szCs w:val="15"/>
                <w:color w:val="auto"/>
              </w:rPr>
            </w:pPr>
          </w:p>
        </w:tc>
        <w:tc>
          <w:tcPr>
            <w:tcW w:w="1260" w:type="dxa"/>
            <w:vAlign w:val="bottom"/>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780" w:type="dxa"/>
            <w:vAlign w:val="bottom"/>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center"/>
              <w:ind w:right="4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(54 %)</w:t>
            </w:r>
          </w:p>
        </w:tc>
      </w:tr>
      <w:tr>
        <w:trPr>
          <w:trHeight w:val="206"/>
        </w:trPr>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20,867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(9,833)</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(32 %)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27,714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23,744</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3,970</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(48,543)</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(54,362)</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5,819</w:t>
            </w:r>
          </w:p>
        </w:tc>
        <w:tc>
          <w:tcPr>
            <w:tcW w:w="8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 in fair value of SAFE notes</w:t>
            </w: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182,367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(182,367)</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Decrease in fair value of warrants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1,803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12,537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(10,734)</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(86 %)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loss on disposal of asset</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150 %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SEC settlement</w:t>
            </w:r>
          </w:p>
        </w:tc>
        <w:tc>
          <w:tcPr>
            <w:tcW w:w="3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7,000</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(102 %)</w:t>
            </w:r>
          </w:p>
        </w:tc>
      </w:tr>
      <w:tr>
        <w:trPr>
          <w:trHeight w:val="175"/>
        </w:trPr>
        <w:tc>
          <w:tcPr>
            <w:tcW w:w="4300" w:type="dxa"/>
            <w:vAlign w:val="bottom"/>
          </w:tcPr>
          <w:p>
            <w:pPr>
              <w:ind w:left="60"/>
              <w:spacing w:after="0"/>
              <w:rPr>
                <w:sz w:val="20"/>
                <w:szCs w:val="20"/>
                <w:color w:val="auto"/>
              </w:rPr>
            </w:pPr>
            <w:r>
              <w:rPr>
                <w:rFonts w:ascii="Arial" w:cs="Arial" w:eastAsia="Arial" w:hAnsi="Arial"/>
                <w:sz w:val="14"/>
                <w:szCs w:val="14"/>
                <w:color w:val="auto"/>
              </w:rPr>
              <w:t>(Loss) income before income taxes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(49,706)</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128,998</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(178,704)</w:t>
            </w:r>
          </w:p>
        </w:tc>
        <w:tc>
          <w:tcPr>
            <w:tcW w:w="8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9"/>
        </w:trPr>
        <w:tc>
          <w:tcPr>
            <w:tcW w:w="43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3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(49,706)</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128,998</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(178,704)</w:t>
            </w:r>
          </w:p>
        </w:tc>
        <w:tc>
          <w:tcPr>
            <w:tcW w:w="8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(139 %)</w:t>
            </w: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revenue recognized during the six months ended June 30, 2022 was due to the Company’s first launch in May 2022. This revenue was recognized as the result of a completed performance obligation. Other performance obligations during the first flight (Vigoride 3) were negatively impacted by the Vigoride anomalies and led to concessions offered to customers, the value of which was unresolved as of June 30, 2022. Because of this unresolved variable consideration, the Company deferred additional revenues of $133 thousand which were originally expected during the first launch.</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revenue recognized during the six months ended June 30, 2021 was due to a customer contract cancellation, resulting in the forfeiture of $0.1 million of non-refundable customer deposits.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cost of revenue during the six months ended June 30, 2022 was due to the Company’s first launch in May 2022. The Company allocated the cost of the launch proportionally based on payload weight, with the customer payload portion related to completed performance obligations of $12 thousand recorded as cost of revenue. Because of the unresolved variable consideration, the Company deferred additional fulfillment costs of $14 thousand which were originally expected during the first launch.</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cost of revenue recorded during the six months ended June 30, 2021 was due to costs incurred related to the cancelled contract.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Research and development expenses decrease from $30.7 million in the six months ended June 30, 2021 to $20.9 million in the six months ended June 30, 2022. The decrease was primarily due to one-time impairments of $9.5 million of prepaid launch deposits in the prior year, offset by $0.6 million of launch costs amortized during the six months ended June 30, 2022. Spending on components, materials, and other costs decreased by $1.6 million along with subcontracted research and development costs which decreased by $1.6 million. These reductions were offset by additional payroll costs of $0.9 million (including an increase of $0.8 million in non-cash stock based compensation) due to an increase in headcount, and higher compensation packages related to the transition from start-up to a publicly traded company. The decrease was further offset by additional overhead and other costs of $0.5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Selling, general and administrative expenses increased from $23.7 million in the six months ended June 30, 2021 to $27.7 million in the six months ended June 30, 2022. Non-stock based compensation payroll increased by $1.7 million, with total headcount increasing, and also due to higher compensation packages for senior employees related to the transition from a start-up to a publicly traded company. Additional insurance costs of $1.5 million and additional general corporate costs of $1.6 million were incurred due to the extra requirements of operating as a publicly traded company. Increased spending of $6.2 million on non-legal professional fees was offset by a reduction of $4.0 million in legal spending as the Company’s activity related to the NSA and SEC topics discussed in Note 12 shifted from legal proceedings to compliance. Stock based compensation cost decreased by $3.6 million due to the non-recurring stock modification in the prior period. The Company also incurred launch costs of $0.6 million during the six months ended June 30, 2022, related to the validation of a third party deployer of a partner company.</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 fair value of SAFE notes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decrease in the calculated fair value of SAFE notes during the six months ended June 30, 2021 was primarily due to a decrease in the estimated fair value of the Company’s stock, which at that time was driven by its relation to the market price of SRAC.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 fair value of warrants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2021, the decrease in the calculated fair value of the private loan-related warrants was due to the decrease in the estimated fair value of the Company’s stock. All outstanding warrants in the prior period were exercised in connection with the Business Combination.</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six months ended June 30, 2022,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11.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of $4.4 million for the six months ended June 30, 2021 relates to cash and amortization interest under the original one year term of the Term Loan. During January 2022, the Company exercised its option to extend repayment of the loan, resulting in a decrease of the effective interest rate and $2.9 million of cash and amortization interest for the six month period. See Note 10.</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 Settlement</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SEC settlement expense for the six months ended June 30, 2021 relates to a civil penalty of $7.0 million, $2 million of which was paid to the SEC immediately and $5 million of which is payable within one year of the settlement order, in July 2022. The Company paid the remaining $5 million liability on July 8, 2022.</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expense in the six months ended June 30, 2021 was due to banking fees related to SAFE financing raised during the period. Other expense for the six months ended June 30, 2022 was immaterial.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inception, we have financed our operations primarily by issuing equity and debt, including the proceeds of the Business Combination and PIPE Investment. As of June 30, 2022, our principal sources of liquidity were our cash and cash equivalents in the amount of $109.1 million, which are held in cash or invested in money market funds.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40" w:type="dxa"/>
            <w:vAlign w:val="bottom"/>
            <w:gridSpan w:val="4"/>
          </w:tcPr>
          <w:p>
            <w:pPr>
              <w:jc w:val="right"/>
              <w:ind w:right="743"/>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31"/>
        </w:trPr>
        <w:tc>
          <w:tcPr>
            <w:tcW w:w="780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800" w:type="dxa"/>
            <w:vAlign w:val="bottom"/>
            <w:tcBorders>
              <w:bottom w:val="single" w:sz="8" w:color="CCEEFF"/>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(used in)</w:t>
            </w: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80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(45,943)</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(44,077)</w:t>
            </w:r>
          </w:p>
        </w:tc>
        <w:tc>
          <w:tcPr>
            <w:tcW w:w="0" w:type="dxa"/>
            <w:vAlign w:val="bottom"/>
          </w:tcPr>
          <w:p>
            <w:pPr>
              <w:spacing w:after="0"/>
              <w:rPr>
                <w:sz w:val="1"/>
                <w:szCs w:val="1"/>
                <w:color w:val="auto"/>
              </w:rPr>
            </w:pPr>
          </w:p>
        </w:tc>
      </w:tr>
      <w:tr>
        <w:trPr>
          <w:trHeight w:val="31"/>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(2,187)</w:t>
            </w:r>
          </w:p>
        </w:tc>
        <w:tc>
          <w:tcPr>
            <w:tcW w:w="0" w:type="dxa"/>
            <w:vAlign w:val="bottom"/>
          </w:tcPr>
          <w:p>
            <w:pPr>
              <w:spacing w:after="0"/>
              <w:rPr>
                <w:sz w:val="1"/>
                <w:szCs w:val="1"/>
                <w:color w:val="auto"/>
              </w:rPr>
            </w:pPr>
          </w:p>
        </w:tc>
      </w:tr>
      <w:tr>
        <w:trPr>
          <w:trHeight w:val="201"/>
        </w:trPr>
        <w:tc>
          <w:tcPr>
            <w:tcW w:w="780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(3,277)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55,713</w:t>
            </w:r>
          </w:p>
        </w:tc>
        <w:tc>
          <w:tcPr>
            <w:tcW w:w="0" w:type="dxa"/>
            <w:vAlign w:val="bottom"/>
          </w:tcPr>
          <w:p>
            <w:pPr>
              <w:spacing w:after="0"/>
              <w:rPr>
                <w:sz w:val="1"/>
                <w:szCs w:val="1"/>
                <w:color w:val="auto"/>
              </w:rPr>
            </w:pPr>
          </w:p>
        </w:tc>
      </w:tr>
      <w:tr>
        <w:trPr>
          <w:trHeight w:val="31"/>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(50,165)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9,449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Net cash used in operating activities for the six months ended June 30, 2022 was $45.9 million, driven primarily by headcount costs, research and development activities, and professional fees related to the SEC and NSA compliance costs, as well as net cash changes in operating assets and liabilities. Headcount related payroll costs, excluding accrued bonus and stock-based compensation, were $15.7 million. Research and development activity expenses, including materials, components, and subcontractor costs were $7.8 million. Professional fees for compliance related to the SEC and NSA topics discussed in Note 12, business development, accounting and audit, and other services, were $8.5 million. Legal fees, related to public company costs as well as the class action complaints discussed in Note 12 were $4.7 million. Office overheads, other general corporate expenses, and cash interest were $8.3 million. The Company paid for $1.2 million of launch costs during the six months ended June 30, 2022 that were amortized in connection with its first launch.</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Net cash used in operating activities for the six months ended June 30, 2021 was $44.1 million, driven primarily by headcount costs, research and development activities, and selling, general, and administrative costs. Headcount related payroll costs, excluding accrued bonus and stock-based compensation, were $11.0 million. Research and development activity expenses, including materials, components, and subcontractor costs were $10.9 million. Legal fees, related to the SEC and CFIUS review topics, discussed in Note 12, were $8.7 million. Professional fees for recruiting, accounting and audit, and other services were $2.4 million. Office overheads, other general corporate expenses, and cash interest were $4.5 million. The Company also paid $2.0 million of its liability under the SEC settlement. Additionally, cash used in net working capital increased by $5.4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investing activities was $0.9 million and $2.2 million for the six months ended June 30, 2022, and 2021, respectively, which consisted primarily of purchases of machinery and equipment, build-outs in our facility, and capitalized implementation costs for cloud computing software.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was $(3.3) million for the six months ended June 30, 2022, due to the first four months of principal repayment under the Term Loan.</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$55.7 million for the six months ended June 30, 2021, consisting of proceeds from the issuance of SAFE notes and the Term Loan.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operating expenses will increase as we:</w:t>
      </w:r>
    </w:p>
    <w:p>
      <w:pPr>
        <w:spacing w:after="0" w:line="167"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scale up our corporate infrastructure, people, processes and systems;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enhance and scale our sales and marketing function;</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scale up our manufacturing capabilities increasing facility footprint, purchasing additional manufacturing equipment;</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pursue further research and development related to developing our next generation vehicles;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seek regulatory approvals for changes or updates to our vehicles;</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hire additional personnel;</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implement measures required under the NSA and seek to comply with the NSA’s requirements;</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maintain, expand and protect our intellectual property portfolio;</w:t>
      </w:r>
    </w:p>
    <w:p>
      <w:pPr>
        <w:spacing w:after="0" w:line="67"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comply with public company reporting requirements; and</w:t>
      </w:r>
    </w:p>
    <w:p>
      <w:pPr>
        <w:spacing w:after="0" w:line="80"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Arial" w:cs="Arial" w:eastAsia="Arial" w:hAnsi="Arial"/>
          <w:sz w:val="17"/>
          <w:szCs w:val="17"/>
          <w:color w:val="auto"/>
        </w:rPr>
        <w:t>defend against litigation.</w:t>
      </w:r>
    </w:p>
    <w:p>
      <w:pPr>
        <w:spacing w:after="0" w:line="1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expect that our current cash and cash equivalents, our projected gross profit (revenue less cost of revenue), and additional funding from equity or debt financings will enable us to fund an anticipated operating expenses, research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and development expenses and capital expenditures beyond the next 12 months. Additionally, we believe that the payments in the form of non-refundable deposits we receive from our customers prior to launch will provide sufficient funding and liquidity to support costs incurred related to that mission.</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based these estimates on assumptions that may prove to be wrong, and we could utilize our available capital resources sooner than we expect. For example, the research and development, volume production, launch and in orbit operation of our vehicles have unpredictable costs and are subject to significant risks, uncertainties and contingencies, many of which are beyond our control, that may affect the timing and magnitude of these anticipated expenditures. Some of these risks and uncertainties are described in more detail under Part II, Item 1A: "Risk Factors," in this Form 10-Q and under Part I, Item 1A in our Annual Report on Form 10-K filed with the SEC on March 9, 2022, under the heading “</w:t>
      </w:r>
      <w:r>
        <w:rPr>
          <w:rFonts w:ascii="Arial" w:cs="Arial" w:eastAsia="Arial" w:hAnsi="Arial"/>
          <w:sz w:val="15"/>
          <w:szCs w:val="15"/>
          <w:i w:val="1"/>
          <w:iCs w:val="1"/>
          <w:color w:val="auto"/>
        </w:rPr>
        <w:t>Risk Factors — Risks Related to the Business and Industry of Momentus.</w:t>
      </w:r>
      <w:r>
        <w:rPr>
          <w:rFonts w:ascii="Arial" w:cs="Arial" w:eastAsia="Arial" w:hAnsi="Arial"/>
          <w:sz w:val="15"/>
          <w:szCs w:val="15"/>
          <w:color w:val="auto"/>
        </w:rPr>
        <w:t>”</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Although we believe that our current capital is adequate to sustain our operations for a period of time, 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operating leases primarily for facilities (e.g., office buildings, warehouses and spaceport) under non-cancellable operating leases. These leases expire at various dates through 2028. Refer to Note 7.</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We have principal of $21.2 million outstanding under the Term Loan. Refer to Note 10.</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 the SEC settlement, $5 million of the civil penalty is due one year after the settlement. Refer to Note 12.As a subsequent event, the Company paid the remaining $5 million liability on July 8, 2022. See Note 14.</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enter into agreements in the normal course of business with vendors for research and development services and outsourced services, which are generally cancellable upon written notice. These payments are not included in this table of contractual obligations.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Co-Founder Divestment and Share Repurchase</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accordance with the NSA and pursuant to certain Repurchase Agreements entered into with the Company, effective as of June 8, 2021, each of Mr. Kokorich, Nortrone Finance S.A. and Brainyspace LLC (collectively “the Co-Founders”) sold 100% of their respective equity interests in the Company on June 30, 2021. In exchange for their equity interests, the Company initially paid each entity $1, but will additionally pay up to an aggregate of $50,000,000, out of funds legally available therefor, to the Co-Founders, on a pro rata basis, as follows: (i) an aggregate of $40,000,000 to be paid out of funds legally available therefor, within 10 business days after the earlier of (A) a business combination or capital raising transaction or series of transactions (whether in the form of debt or equity) resulting in cash proceeds of no less than $100,000,000 and (B) the Business Combination (the “First Payment Date”); and (ii) an aggregate of $10,000,000 to be paid out of funds legally available therefor, within 10 business days after a business combination or capital raising transaction or series of transactions (whether in the form of debt or equity) resulting in cash proceeds of no less than $250,000,000 (determined without any reduction for the $100,000,000 previously received in respect of the First Payment Date).</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 Business Combination, which generated $247.3 million of gross proceeds (as described in Note 3), the Company paid the Co-Founders $40.0 million in addition to the initial consideration paid of $3. The Company recorded the consideration paid as a reduction of common stock and additional paid in capital. Pursuant to the NSA, a portion of those divestment proceeds were placed in escrow accounts, and may not be released to the divested investors until after completion of audit by a third party auditor of the investors compliance with the NSA and the lapse of a 15 day period without an objection from the CFIUS Monitoring Agencies. Following the third party audit of the investors’ NSA compliance, all of the escrowed divestment proceeds were released to the Co-Founders as of March 1, 2022 in accordance with the NSA.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the Company were to undertake a business combination or capital raising transaction or series of transactions (whether in the form of debt or equity) resulting in cash proceeds of approximately $2.7 million or more, the Company would need to pay an aggregate of $10.0 million to the Co-Founders.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evaluated and periodically re-evaluates this potential consideration as a liability under ASC 480 utilizing a probability-weighted approach. Certain factors which would enable successful fundraising were considered, including progress toward compliance with the NSA, research and development progress, and agreements with launch providers, resulting in an estimated liability of $5.8 million expected to be paid to the Co-Founders with a corresponding offset to additional paid in capital, as of June 30, 2022. Refer to Note 11.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financial statements, which have been prepared in accordance with GAAP. The preparation of our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 into short-term contracts for ‘last-mile’ satellite and cargo delivery, payload hosting and in-orbit servicing options with customers that are primarily in the aerospace industry.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account for customer contracts in accordance with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includes the following five-step model:</w:t>
      </w:r>
    </w:p>
    <w:p>
      <w:pPr>
        <w:spacing w:after="0" w:line="151"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contracts are cancellable for convenience by the customer and typically do not contain variable consideration. However, the full transaction price is collected in advance of the scheduled launch and all fees that are paid are non-refundable (and are not limited to deposits), regardless if the contract is cancelled by the customer or in the event a performance obligation is not satisfied by us. While the Company’s standard contracts do not contain refund or recourse provisions,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to customers during the year ended December 31, 2021.</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services are considered a single performance obligation, to transport the customers’ payload to a specified orbit in space. We recognize revenue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periods in which we recognize revenue, we will disclose the amounts of revenue recognized that was included as a contract liability balance at the beginning of the reporting period in accordance with ASC 606-10-50-8(b).</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connection with the May 25, 2022 flight of the Vigoride spacecraft and the third-party deployer from a partner company, the Company completed one of the intended performance obligations, resulting in $50 thousand of recognized revenue, which was previously recorded in contract liabilities. The remaining customer payloads were negatively impacted by the Vigoride anomalies and as a result did not receive the anticipated level of service. As a result, the Company offered concessions to these customers, the value of which was unresolved as of June 30,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this unresolved variable consideration, the Company recorded the related customer deposits of $133 thousand as deferred revenues within current contract liabilities.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June 30, 2022 we have signed contracts with customers and have collected approximately $1.7 million in customer deposits, which are recorded as non-current contract liabilities in our consolidated balance sheet and will be recognized as revenue (along with any other fess that have been paid) upon the earlier of the satisfaction of our performance obligation or when the customer cancels the contract.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Fulfillment and Prepaid Launch Costs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prepay for certain launch costs to third party providers that will carry the orbital transfer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believed the prepayments would be non-recoverable as this was the third time the payload was rescheduled. As a result of the notification from one of its launch service providers, the Company recorded an impairment charge of $8.7 million of prepaid launch costs during the six months ended June 30, 2021. There was an unrelated impairment of $0.8 million the three and six months ended June 30, 2021.</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12, 2021, the Company began discussions with the same launch service provider about reestablishing a future launch schedule. As a result of the discussion, the Company signed a Launch Services Agreement on October 19, 2021 that reserved space on a launch that occurred in May 2022. The Company determined that $2.7 million of the impaired deposits were potentially recoverable in connection with the reestablished schedule. The Company did not record any adjustments as a result of the discussions. See Note 4.</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4, 2022, the Company received a favorable determination from the Federal Aviation Administration (the “FAA”) of its application for payload review, which was the final regulatory milestone needed to support the Company’s inaugural flight of the Vigoride orbital transfer vehicle (Vigoride 3) in May 2022. The FAA favorable determination follows a license from the Federal Communications Commission (the “FCC”) received on April 28, 2022, and updates to existing licenses from the National Oceanic and Atmospheric Administration (the “NOAA”).</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connection with the launch of the Company’s first Vigoride (Vigoride 3) and the third party deployer in May 2022, the Company amortized $1.2 million of prepaid launch costs. These costs were allocated proportionally based on payload weight. $12 thousand allocated to completed customer payload performance obligations was amortized to cost of revenue, $14 thousand allocated to customer payload subject to unresolved variable consideration was deferred within current deferred fulfillment costs, $0.6 million allocated to the Vigoride vehicle was amortized to research and development costs, and $0.6 million allocated to the third party deployer, intended as a demonstration of Company’s business model, was amortized to selling, general and administrative costs. As a result of the launch, the Company realized $1.8 million of benefit from the recovery of previously impaired prepaid launch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financial statements based on their respective grant date fair values.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financial statements is based on awards that are expected to vest. We account for forfeitures as they occur.</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 See Note 11 for the specific assumptions we used in applying the Black-Scholes-Merton option pricing model to determine the estimated fair value of our stock options and awards granted during the six months ended June 30, 2022.</w:t>
      </w:r>
    </w:p>
    <w:p>
      <w:pPr>
        <w:spacing w:after="0" w:line="11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expect our share-based compensation cost will increase to the extent that we grant additional stock option awards to employees and non-employees. If there are any modifications or cancellations of the underlying unvested securities, we may be required to accelerate any remaining unearned share-based compensation cost or incur incremental cost. Share-based compensation cost affects our research and development expenses and selling, general, and administrative expenses.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 Notes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issued SAFE notes to investors which were converted to shares of Common Stock in connection with the Business Combination. Prior to conversion, we determined that the SAFE notes were not a legal form of debt (i.e., no creditors’ rights). The SAFE notes included a provision allowing for cash redemption upon the consummation of a change of control, the occurrence of which is outside the control of the Company. Therefore, we classified SAFE notes as liabilities as they were redeemable upon a change of control event which is not within the control of the Company. SAFE notes were recorded at fair value, and were subject to remeasurement through earnings at each balance sheet date until the date of their respective settlement and classified as marked-to-market liabilities pursuant to ASC 480.</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determined the estimated fair value of the SAFE notes by applying a Backsolve method within the Black-Scholes-Merton Option Pricing model. This methodology effectively allowed us to solve for the implied value of the business based on the terms of the SAFE investments (i.e. the value of the company, such that when allocated to the various securities, the value allocated to the SAFE investment equals the price the investor paid for such SAFE instrument).</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94"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required to evaluate the tax positions taken in the course of preparing its tax returns to determine whether tax positions are “more likely than not” of being sustained by the applicable tax authority. Tax benefits of positions not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Please refer to Note 2 to our financial statements included in Form 10-Q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market risk inherent in our financial instruments and our financial position represents the potential loss arising from adverse changes in interest rates. As of June 30, 2022, we had cash and cash equivalents of $109.1 million, 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Because the Term Loan indebtedness bear interests at a fixed rate, it is not impacted by changes in interest rates.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material foreign currency transactions for the three and six months ended June 30, 2022 and 2021. Currently, a significant portion of our cash receipts and expenses are generated in U.S. dollars.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internal control over financial reporting is a process designed by, or under the supervision of, the Company’s principal executive and principal financial officers, or persons performing similar functions, to provide reasonable assurance regarding the reliability of financial reporting and the preparation of financial statements in accordance with generally accepted accounting principles.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Exchange Act) as of June 30, 2022. Based on this evaluation, our Chief Executive Officer and Chief Financial Officer concluded that, as of such date, our disclosure controls and procedures were effective at the reasonable assurance level.</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were no changes in our internal control over financial reporting during the fiscal quarter ended June 30, 2022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See the disclosures under the caption “</w:t>
      </w:r>
      <w:r>
        <w:rPr>
          <w:rFonts w:ascii="Arial" w:cs="Arial" w:eastAsia="Arial" w:hAnsi="Arial"/>
          <w:sz w:val="17"/>
          <w:szCs w:val="17"/>
          <w:i w:val="1"/>
          <w:iCs w:val="1"/>
          <w:color w:val="auto"/>
        </w:rPr>
        <w:t>Legal Proceedings</w:t>
      </w:r>
      <w:r>
        <w:rPr>
          <w:rFonts w:ascii="Arial" w:cs="Arial" w:eastAsia="Arial" w:hAnsi="Arial"/>
          <w:sz w:val="17"/>
          <w:szCs w:val="17"/>
          <w:color w:val="auto"/>
        </w:rPr>
        <w:t>” in Note 12 to our condensed consolidated financial statements in this Form 10-Q for disclosures related to our legal proceedings, which disclosures are incorporated herein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w:t>
      </w:r>
      <w:r>
        <w:rPr>
          <w:rFonts w:ascii="Arial" w:cs="Arial" w:eastAsia="Arial" w:hAnsi="Arial"/>
          <w:sz w:val="17"/>
          <w:szCs w:val="17"/>
          <w:i w:val="1"/>
          <w:iCs w:val="1"/>
          <w:color w:val="auto"/>
        </w:rPr>
        <w:t>Risk Factors</w:t>
      </w:r>
      <w:r>
        <w:rPr>
          <w:rFonts w:ascii="Arial" w:cs="Arial" w:eastAsia="Arial" w:hAnsi="Arial"/>
          <w:sz w:val="17"/>
          <w:szCs w:val="17"/>
          <w:color w:val="auto"/>
        </w:rPr>
        <w:t>” in our most recent Annual Report on Form 10-K filed by the Company on March 9, 2022, which could materially affect our business, financial condition or future results. Except as set forth below, we do not believe that there have been any material changes to the risk factors disclosed in our Annual Report on Form 10-K filed by the Company on March 9, 2022. The risks described below and in our Annual Report on Form 10-K filed by the Company on March 9, 2022,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have a limited history of delivering customer satellites into orbit using our transfer and service vehicles, and setbacks experienced during our initial mission or in future missions and other demonstration and commercial missions could have a material adverse effect on our business, financial condition and results of operation and could harm our reputation.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success of our in-space infrastructure services business will depend on our ability to successfully and regularly deliver customer satellites to custom orbits. Our initial mission in May 2022 was a hybrid commercial-demonstration mission in which our vehicles would deliver paying customers’ satellites into orbit for the first time. We used a third-party deployer from a partner company to place our first customer satellite in orbit. Our Vigoride spacecraft reached low-earth orbit (“LEO”) and was able to deploy two out of nine customer satellites, but certain anomalies relating primarily to its communication and power systems limited our ability to communicate with the vehicle. Since that time, the Vigoride spacecraft has deployed four additional customer satellites, and we continue our efforts to deploy other customer satellites but have not yet confirmed the deployment of the remaining three customer satellites. The communication issues have also prevented Vigoride from performing orbit change maneuvers and technology demonstrations that were part of our program to validate our technology in space, and to demonstrate end-to-end in-space transfer operations.</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plan to use future Vigoride missions conduct on-orbit functional proof of principle and performance verification data for the microwave electrothermal thruster (the “MET”) — this data will be used to assess the efficacy of the MET and identify potential refinements or upgrades for future versions of the MET in order to improve its performance. Like the ground test campaigns we conduct, on-orbit tests can be understood as incremental confidence-building measures — meeting key requirements for thrust, specific impulse, firing duration, lifetime and other performance parameters will help Momentus determine whether the MET is performing in accordance with our expectations. Doing so repeatedly, both on the ground and on orbit, will demonstrate the soundness and robustness of the design and is expected to contribute to growing customer confidence over time. Despite the anomalies experienced on the first flight of Vigoride (Vigoride 3), we are using the results of the inaugural mission, and expect to use the data collected from future missions, to determine what services or level of services we will be able to initially provide customers, including the degree to which Vigoride possesses capabilities of providing customers with LEO transfer services. We anticipate that each mission will also lay the groundwork for continual improvements and enhancements that we plan to flight-demonstrate on future missions. We plan to offer LEO transfer services to customers in the future, based in part on the outcome of future missions and the MET demonstration, as well as the results of ongoing ground testing.</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version of our Vigoride vehicle that we flew on our inaugural mission (Vigoride 3) had never been flown in space. In addition, while we have previously flown our first generation MET in space, that mission did not demonstrate the MET’s ability to generate a measured orbit change in space, which is crucial to our ability to maneuver objects in space. Moreover, even if the unit generates thrust, there can be no assurance that other systems and subsystems can be operated in a manner that is sufficiently reliable and efficient to permit full commercialization of the technology.</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While the objective of the inaugural mission involving the Vigoride system (Vigoride 3) was to successfully deploy satellites and perform certain maneuvers, we are mindful of the inherent risks involved in the initial use of hardware and complex systems in space given the difficulties of replicating all aspects of the environment and stresses that the system will experience in space during ground-based testing in simulated environments. We expect to learn and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gather valuable data during this inaugural mission of Vigoride as we continue to develop and improve the system and our other systems.</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While we are conducting an analysis of the root causes of the anomalies experienced by Vigoride on its inaugural mission (Vigoride 3), there can be no assurance that we will not experience operational or process failures and other problems during future missions. Any failures, delays or setbacks, including the anomalies experienced in our inaugural mission, could harm our reputation and have a material adverse effect on our business, financial condition and results of operation.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receive all required governmental licenses and approvals</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currently hold a license grant from the National Oceanic and Atmospheric Administration’s Commercial Report Sensing Regulatory Affairs (the “NOAA’s CRSRA”) office authorizing our first 10 Vigoride missions. However, the FAA denied a payload review application in May 2021 due to interagency concerns related to our foreign ownership and corporate structure. The FAA denial notice, which was received before we entered into the NSA, indicated that Momentus was engaged in addressing the government’s national security concerns and that the FAA could reconsider the application once that process is complete. As discussed elsewhere in this report, in May 2022 we received a favorable determination from the FAA of its application for payload review for our inaugural Vigoride mission (Vigoride 3). We also continue to progress toward implementation of the NSA, but there can be no assurance that our efforts will satisfy the government's national security concerns in time to obtain licenses or approvals needed for planned future missions.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U.S. government agencies other than the agency to which we apply to for a license or approval may review our applications to the FCC, FAA or other regulatory authorities, including to evaluate the national security implications of an application, which could result in delays. For example, in November 2020, the Committee for the Assessment of Foreign Participation in the United States Telecommunications Service Sector (the “Committee”) requested to review two of our FCC license applications to determine whether approval posed a risk to the national security or law enforcement interests of the United States. While in that instance, the Committee withdrew its request for review without explanation, it is possible that reviews of applications for licenses or approvals by the Committee or other regulatory bodies may occur in the future. Such reviews could delay the issuance of, or result in a denial of, licenses or approvals.</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 assurance can be given that we will obtain FAA or FCC authorizations or other authorizations that may be necessary to our business in a timely manner, especially in light of the ongoing U.S. government oversight of Momentus discussed under “</w:t>
      </w:r>
      <w:r>
        <w:rPr>
          <w:rFonts w:ascii="Arial" w:cs="Arial" w:eastAsia="Arial" w:hAnsi="Arial"/>
          <w:sz w:val="16"/>
          <w:szCs w:val="16"/>
          <w:i w:val="1"/>
          <w:iCs w:val="1"/>
          <w:color w:val="auto"/>
        </w:rPr>
        <w:t>Business — Regulatory — National Security Agreement</w:t>
      </w:r>
      <w:r>
        <w:rPr>
          <w:rFonts w:ascii="Arial" w:cs="Arial" w:eastAsia="Arial" w:hAnsi="Arial"/>
          <w:sz w:val="16"/>
          <w:szCs w:val="16"/>
          <w:color w:val="auto"/>
        </w:rPr>
        <w:t>” in our Annual Report on Form 10-K filed with the SEC on March 9, 2022. Moreover, there is no guarantee that the FCC, the FAA and other U.S. government agencies will grant the necessary authorizations to operate our spaceflight business as planned, despite our progress toward implementation of the NSA. If we do not receive these approvals in a timely manner, our financial condition, results of operations, backlog and prospects will be materially adversely affected. For example, we have experienced erosion in our backlog from $86 million as of March 4, 2021 to $67 million as of January 31, 2022, to $55 million as of July 31, 2022, as customers chose to cancel their contracts with us and seek alternative providers, partly due to delays in our scheduled missions. If we continue to experience delays in receiving these approvals, we could experience further erosion in our backlog.</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inception, we expect to incur losses in the future and we may not be able to achieve or maintain profitability.</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incurred significant losses since inception. We incurred operating losses of $99.8 million and $34.7 million for the years ended December 31, 2021 and 2020, respectively. While the inaugural mission of our Vigoride spacecraft (Vigoride 3) delivered our first customer satellites into orbit, anomalies experienced in the mission have prevented us from delivering all customer satellites into orbit or fully testing and validating our technology, and it is difficult for us to predict our future operating results. As a result, our losses may be larger than anticipated, and we may not achieve profitability when expected, or at all, and even if we do, we may not be able to maintain or increase profitability.</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expect our operating expenses to increase over the next several years as we scale our operations, increase selling, general and administrative and research and development efforts relating to building corporate infrastructure to implement the NSA, being a public company, new service offerings and technologies and hiring more employees. These efforts may be more costly than we expect and may not result in increased revenue or growth in our business. Any failure to increase our revenue sufficiently to keep pace with our investments and other expenses could prevent us from achieving or maintaining profitability or positive cash flow. Furthermore, if our future growth and operating performance fail to meet investor or analyst expectations, or if we have future negative cash flow or losses resulting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from expanding our operations, this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convert our orders in backlog into revenue.</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of July 31, 2022, our backlog consisted of approximately $55 million in customer contracts, including options for future services. However, these contracts are cancellable by customers for convenience. If a customer cancels a contract before it is required to pay the last deposit prior to launch, we may not receive all potential revenue from these orders, except for an initial non-refundable deposit which is paid at the time the contract is signed. In certain situations, Momentus may decide to refund customers for their deposits, even though it is not contractually required, to maintain goodwill with customers.</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backlog may be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 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if we do not receive regulatory approvals in a timely manner, or our future missions experience anomalies in addition to the issues experienced by our inaugural Vigoride mission (Vigoride 3), our backlog and prospects will be materially adversely affected. For example, we have experienced erosion in our backlog of $86 million as of March 4, 2021 to $67 million as of January 31, 2022 to $55 million as of July 31, 2022, as customers chose to cancel their contracts with us and seek alternative providers due to delays in our scheduled missions as we await receipt of necessary governmental approvals and the anomalies associated with our inaugural Vigoride mission (Vigoride 3). If we continue to experience delays in receiving these approvals or future missions experience significant anomalies, we could experience further erosion in our backlog.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spacecraft fail to operate as intended, it could have a material adverse effect on our business, financial condition and results of operations.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manufacturing, testing, launching and operation of a spacecraft involves complex processes and technology. Our satellites employ advanced technologies and sensors that are exposed to severe environmental stresses that have and could affect the performance of satellites. Hardware component problems and software issues could lead to deterioration in performance or loss of functionality of a spacecraft. In addition, human operators may execute improper commands that may negatively impact a spacecraft performance. Exposure of our spacecraft to an unanticipated catastrophic event, such as collision with space debris, could reduce the performance of, or completely destroy, the affected spacecraft.</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example, the inaugural flight of our Vigoride spacecraft (Vigoride 3) reached LEO and was able to deploy two out of nine customer satellites, but certain anomalies relating primarily to its communication and power systems limited our ability to communicate with the vehicle. Since that time, the Vigoride spacecraft has deployed four additional customer satellites, and we continue our efforts to deploy other customer satellites but have not yet confirmed the deployment of the remaining three customer satellites. The communication issues have also prevented Vigoride from performing orbit change maneuvers and technology demonstrations that were part of our program to validate our technology in space, and to demonstrate end-to-end in-space transfer operations.</w:t>
      </w:r>
    </w:p>
    <w:p>
      <w:pPr>
        <w:spacing w:after="0" w:line="10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During any period of time in which a spacecraft is not operational, we may lose most or all of the revenue that otherwise would have been derived from it. Our inability to repair or replace a defective type of spacecraft or correct any other technical problem in a timely manner could result in a significant loss of revenue. If a spacecraft experiences a significant anomaly such that its type is no longer operational, it would significantly impact our business, prospects and profitability. Additionally, any satellite failures could damage our reputation and ability to obtain future customers for our launch services, prevent us from receiving any payments contingent on a successful launch and increase our insurance rates, which could have a material adverse effect on our business and prospects.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We may experience warranty claims for failures, schedule delays or other problems with existing or new products.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Many of the products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When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 when we fail to meet delivery schedules or other measures of contract performance. In connection with our inaugural Vigoride mission (Vigoride 3), the anomalies that impacted the mission resulted in concession offered to mission customers impacted by the anomalies. We do not generally insure against potential costs resulting from any required remedial actions or costs or loss of sales due to postponement or cancellation of scheduled operations or product deliveries.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Exhibit Number</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140" w:type="dxa"/>
            <w:vAlign w:val="bottom"/>
            <w:tcBorders>
              <w:bottom w:val="single" w:sz="8" w:color="auto"/>
            </w:tcBorders>
            <w:gridSpan w:val="5"/>
          </w:tcPr>
          <w:p>
            <w:pPr>
              <w:ind w:left="1440"/>
              <w:spacing w:after="0"/>
              <w:rPr>
                <w:sz w:val="20"/>
                <w:szCs w:val="20"/>
                <w:color w:val="auto"/>
              </w:rPr>
            </w:pPr>
            <w:r>
              <w:rPr>
                <w:rFonts w:ascii="Arial" w:cs="Arial" w:eastAsia="Arial" w:hAnsi="Arial"/>
                <w:sz w:val="15"/>
                <w:szCs w:val="15"/>
                <w:b w:val="1"/>
                <w:bCs w:val="1"/>
                <w:color w:val="auto"/>
              </w:rPr>
              <w:t>Description of Exhibit</w:t>
            </w:r>
          </w:p>
        </w:tc>
      </w:tr>
      <w:tr>
        <w:trPr>
          <w:trHeight w:val="176"/>
        </w:trPr>
        <w:tc>
          <w:tcPr>
            <w:tcW w:w="14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2.1†</w:t>
            </w:r>
          </w:p>
        </w:tc>
        <w:tc>
          <w:tcPr>
            <w:tcW w:w="9860" w:type="dxa"/>
            <w:vAlign w:val="bottom"/>
            <w:gridSpan w:val="7"/>
            <w:shd w:val="clear" w:color="auto" w:fill="CCEEFF"/>
          </w:tcPr>
          <w:p>
            <w:pPr>
              <w:spacing w:after="0" w:line="176" w:lineRule="exact"/>
              <w:rPr>
                <w:rFonts w:ascii="Arial" w:cs="Arial" w:eastAsia="Arial" w:hAnsi="Arial"/>
                <w:sz w:val="17"/>
                <w:szCs w:val="17"/>
                <w:color w:val="0000FF"/>
                <w:w w:val="93"/>
              </w:rPr>
            </w:pPr>
            <w:hyperlink r:id="rId84">
              <w:r>
                <w:rPr>
                  <w:rFonts w:ascii="Arial" w:cs="Arial" w:eastAsia="Arial" w:hAnsi="Arial"/>
                  <w:sz w:val="17"/>
                  <w:szCs w:val="17"/>
                  <w:color w:val="0000FF"/>
                  <w:w w:val="93"/>
                </w:rPr>
                <w:t>Agreement and Plan of Merger, dated as of October 7, 2020, by and among Stable Road Acquisition Corp., Project Marvel First Merger Sub,</w:t>
              </w:r>
            </w:hyperlink>
          </w:p>
        </w:tc>
      </w:tr>
      <w:tr>
        <w:trPr>
          <w:trHeight w:val="160"/>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800" w:type="dxa"/>
            <w:vAlign w:val="bottom"/>
            <w:tcBorders>
              <w:top w:val="single" w:sz="8" w:color="0000FF"/>
              <w:bottom w:val="single" w:sz="8" w:color="0000FF"/>
            </w:tcBorders>
            <w:gridSpan w:val="4"/>
            <w:shd w:val="clear" w:color="auto" w:fill="CCEEFF"/>
          </w:tcPr>
          <w:p>
            <w:pPr>
              <w:spacing w:after="0" w:line="161" w:lineRule="exact"/>
              <w:rPr>
                <w:rFonts w:ascii="Arial" w:cs="Arial" w:eastAsia="Arial" w:hAnsi="Arial"/>
                <w:sz w:val="17"/>
                <w:szCs w:val="17"/>
                <w:color w:val="0000FF"/>
                <w:w w:val="92"/>
              </w:rPr>
            </w:pPr>
            <w:hyperlink r:id="rId84">
              <w:r>
                <w:rPr>
                  <w:rFonts w:ascii="Arial" w:cs="Arial" w:eastAsia="Arial" w:hAnsi="Arial"/>
                  <w:sz w:val="17"/>
                  <w:szCs w:val="17"/>
                  <w:color w:val="0000FF"/>
                  <w:w w:val="92"/>
                </w:rPr>
                <w:t>Inc., Project Marvel Second Merger Sub, LLC, and Momentus Inc. (incorporated by reference to Exhibit 2.1 to the Company’s Current Report</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6"/>
        </w:trPr>
        <w:tc>
          <w:tcPr>
            <w:tcW w:w="1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720" w:type="dxa"/>
            <w:vAlign w:val="bottom"/>
            <w:tcBorders>
              <w:bottom w:val="single" w:sz="8" w:color="0000FF"/>
            </w:tcBorders>
            <w:gridSpan w:val="2"/>
            <w:shd w:val="clear" w:color="auto" w:fill="CCEEFF"/>
          </w:tcPr>
          <w:p>
            <w:pPr>
              <w:spacing w:after="0" w:line="148" w:lineRule="exact"/>
              <w:rPr>
                <w:rFonts w:ascii="Arial" w:cs="Arial" w:eastAsia="Arial" w:hAnsi="Arial"/>
                <w:sz w:val="17"/>
                <w:szCs w:val="17"/>
                <w:color w:val="0000FF"/>
                <w:w w:val="92"/>
              </w:rPr>
            </w:pPr>
            <w:hyperlink r:id="rId84">
              <w:r>
                <w:rPr>
                  <w:rFonts w:ascii="Arial" w:cs="Arial" w:eastAsia="Arial" w:hAnsi="Arial"/>
                  <w:sz w:val="17"/>
                  <w:szCs w:val="17"/>
                  <w:color w:val="0000FF"/>
                  <w:w w:val="92"/>
                </w:rPr>
                <w:t>on Form 8-K filed on October 7, 2020).</w:t>
              </w:r>
            </w:hyperlink>
          </w:p>
        </w:tc>
        <w:tc>
          <w:tcPr>
            <w:tcW w:w="7120" w:type="dxa"/>
            <w:vAlign w:val="bottom"/>
            <w:tcBorders>
              <w:bottom w:val="single" w:sz="8" w:color="CCEEFF"/>
            </w:tcBorders>
            <w:gridSpan w:val="4"/>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31.1*</w:t>
            </w:r>
          </w:p>
        </w:tc>
        <w:tc>
          <w:tcPr>
            <w:tcW w:w="120" w:type="dxa"/>
            <w:vAlign w:val="bottom"/>
          </w:tcPr>
          <w:p>
            <w:pPr>
              <w:spacing w:after="0"/>
              <w:rPr>
                <w:sz w:val="15"/>
                <w:szCs w:val="15"/>
                <w:color w:val="auto"/>
              </w:rPr>
            </w:pPr>
          </w:p>
        </w:tc>
        <w:tc>
          <w:tcPr>
            <w:tcW w:w="9860" w:type="dxa"/>
            <w:vAlign w:val="bottom"/>
            <w:gridSpan w:val="7"/>
          </w:tcPr>
          <w:p>
            <w:pPr>
              <w:spacing w:after="0" w:line="180" w:lineRule="exact"/>
              <w:rPr>
                <w:sz w:val="20"/>
                <w:szCs w:val="20"/>
                <w:color w:val="auto"/>
              </w:rPr>
            </w:pPr>
            <w:r>
              <w:rPr>
                <w:rFonts w:ascii="Arial" w:cs="Arial" w:eastAsia="Arial" w:hAnsi="Arial"/>
                <w:sz w:val="17"/>
                <w:szCs w:val="17"/>
                <w:color w:val="0000FF"/>
                <w:w w:val="97"/>
              </w:rPr>
              <w:t>Certification Pursuant to Rules 13a-14(a) and 15d-14(a) Under The Securities Act of 1934, As Adopted Pursuant to Section 302 of the</w:t>
            </w:r>
          </w:p>
        </w:tc>
      </w:tr>
      <w:tr>
        <w:trPr>
          <w:trHeight w:val="170"/>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top w:val="single" w:sz="8" w:color="0000FF"/>
              <w:bottom w:val="single" w:sz="8" w:color="0000FF"/>
            </w:tcBorders>
          </w:tcPr>
          <w:p>
            <w:pPr>
              <w:spacing w:after="0" w:line="161" w:lineRule="exact"/>
              <w:rPr>
                <w:sz w:val="20"/>
                <w:szCs w:val="20"/>
                <w:color w:val="auto"/>
              </w:rPr>
            </w:pPr>
            <w:r>
              <w:rPr>
                <w:rFonts w:ascii="Arial" w:cs="Arial" w:eastAsia="Arial" w:hAnsi="Arial"/>
                <w:sz w:val="17"/>
                <w:szCs w:val="17"/>
                <w:color w:val="0000FF"/>
                <w:w w:val="91"/>
              </w:rPr>
              <w:t>Sarbanes-Oxley Act of 2002</w:t>
            </w:r>
          </w:p>
        </w:tc>
        <w:tc>
          <w:tcPr>
            <w:tcW w:w="786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31.2*</w:t>
            </w:r>
          </w:p>
        </w:tc>
        <w:tc>
          <w:tcPr>
            <w:tcW w:w="120" w:type="dxa"/>
            <w:vAlign w:val="bottom"/>
            <w:tcBorders>
              <w:right w:val="single" w:sz="8" w:color="CCEEFF"/>
            </w:tcBorders>
            <w:shd w:val="clear" w:color="auto" w:fill="CCEEFF"/>
          </w:tcPr>
          <w:p>
            <w:pPr>
              <w:spacing w:after="0"/>
              <w:rPr>
                <w:sz w:val="16"/>
                <w:szCs w:val="16"/>
                <w:color w:val="auto"/>
              </w:rPr>
            </w:pPr>
          </w:p>
        </w:tc>
        <w:tc>
          <w:tcPr>
            <w:tcW w:w="9860" w:type="dxa"/>
            <w:vAlign w:val="bottom"/>
            <w:gridSpan w:val="7"/>
            <w:shd w:val="clear" w:color="auto" w:fill="CCEEFF"/>
          </w:tcPr>
          <w:p>
            <w:pPr>
              <w:spacing w:after="0" w:line="190" w:lineRule="exact"/>
              <w:rPr>
                <w:sz w:val="20"/>
                <w:szCs w:val="20"/>
                <w:color w:val="auto"/>
              </w:rPr>
            </w:pPr>
            <w:r>
              <w:rPr>
                <w:rFonts w:ascii="Arial" w:cs="Arial" w:eastAsia="Arial" w:hAnsi="Arial"/>
                <w:sz w:val="17"/>
                <w:szCs w:val="17"/>
                <w:color w:val="0000FF"/>
                <w:w w:val="97"/>
              </w:rPr>
              <w:t>Certification Pursuant to Rules 13a-14(a) and 15d-14(a) Under The Securities Act of 1934, As Adopted Pursuant to Section 302 of the</w:t>
            </w:r>
          </w:p>
        </w:tc>
      </w:tr>
      <w:tr>
        <w:trPr>
          <w:trHeight w:val="179"/>
        </w:trPr>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960" w:type="dxa"/>
            <w:vAlign w:val="bottom"/>
            <w:tcBorders>
              <w:top w:val="single" w:sz="8" w:color="0000FF"/>
              <w:bottom w:val="single" w:sz="8" w:color="0000FF"/>
            </w:tcBorders>
            <w:shd w:val="clear" w:color="auto" w:fill="CCEEFF"/>
          </w:tcPr>
          <w:p>
            <w:pPr>
              <w:spacing w:after="0" w:line="161" w:lineRule="exact"/>
              <w:rPr>
                <w:sz w:val="20"/>
                <w:szCs w:val="20"/>
                <w:color w:val="auto"/>
              </w:rPr>
            </w:pPr>
            <w:r>
              <w:rPr>
                <w:rFonts w:ascii="Arial" w:cs="Arial" w:eastAsia="Arial" w:hAnsi="Arial"/>
                <w:sz w:val="17"/>
                <w:szCs w:val="17"/>
                <w:color w:val="0000FF"/>
                <w:w w:val="91"/>
              </w:rPr>
              <w:t>Sarbanes-Oxley Act of 2002</w:t>
            </w:r>
          </w:p>
        </w:tc>
        <w:tc>
          <w:tcPr>
            <w:tcW w:w="786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32.1**</w:t>
            </w:r>
          </w:p>
        </w:tc>
        <w:tc>
          <w:tcPr>
            <w:tcW w:w="120" w:type="dxa"/>
            <w:vAlign w:val="bottom"/>
          </w:tcPr>
          <w:p>
            <w:pPr>
              <w:spacing w:after="0"/>
              <w:rPr>
                <w:sz w:val="15"/>
                <w:szCs w:val="15"/>
                <w:color w:val="auto"/>
              </w:rPr>
            </w:pPr>
          </w:p>
        </w:tc>
        <w:tc>
          <w:tcPr>
            <w:tcW w:w="9860" w:type="dxa"/>
            <w:vAlign w:val="bottom"/>
            <w:gridSpan w:val="7"/>
          </w:tcPr>
          <w:p>
            <w:pPr>
              <w:spacing w:after="0" w:line="180" w:lineRule="exact"/>
              <w:rPr>
                <w:sz w:val="20"/>
                <w:szCs w:val="20"/>
                <w:color w:val="auto"/>
              </w:rPr>
            </w:pPr>
            <w:r>
              <w:rPr>
                <w:rFonts w:ascii="Arial" w:cs="Arial" w:eastAsia="Arial" w:hAnsi="Arial"/>
                <w:sz w:val="17"/>
                <w:szCs w:val="17"/>
                <w:color w:val="0000FF"/>
              </w:rPr>
              <w:t>Certification Pursuant to 18 U.S.C. Section 1350, As Adopted Pursuant to Section 906 of the Sarbanes-Oxley Act of 2002</w:t>
            </w: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660" w:type="dxa"/>
            <w:vAlign w:val="bottom"/>
            <w:shd w:val="clear" w:color="auto" w:fill="0000FF"/>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32.2**</w:t>
            </w:r>
          </w:p>
        </w:tc>
        <w:tc>
          <w:tcPr>
            <w:tcW w:w="120" w:type="dxa"/>
            <w:vAlign w:val="bottom"/>
            <w:tcBorders>
              <w:right w:val="single" w:sz="8" w:color="CCEEFF"/>
            </w:tcBorders>
            <w:shd w:val="clear" w:color="auto" w:fill="CCEEFF"/>
          </w:tcPr>
          <w:p>
            <w:pPr>
              <w:spacing w:after="0"/>
              <w:rPr>
                <w:sz w:val="16"/>
                <w:szCs w:val="16"/>
                <w:color w:val="auto"/>
              </w:rPr>
            </w:pPr>
          </w:p>
        </w:tc>
        <w:tc>
          <w:tcPr>
            <w:tcW w:w="9860" w:type="dxa"/>
            <w:vAlign w:val="bottom"/>
            <w:gridSpan w:val="7"/>
            <w:shd w:val="clear" w:color="auto" w:fill="CCEEFF"/>
          </w:tcPr>
          <w:p>
            <w:pPr>
              <w:spacing w:after="0" w:line="190" w:lineRule="exact"/>
              <w:rPr>
                <w:sz w:val="20"/>
                <w:szCs w:val="20"/>
                <w:color w:val="auto"/>
              </w:rPr>
            </w:pPr>
            <w:r>
              <w:rPr>
                <w:rFonts w:ascii="Arial" w:cs="Arial" w:eastAsia="Arial" w:hAnsi="Arial"/>
                <w:sz w:val="17"/>
                <w:szCs w:val="17"/>
                <w:color w:val="0000FF"/>
              </w:rPr>
              <w:t>Certification Pursuant to 18 U.S.C. Section 1350, As Adopted Pursuant to Section 906 of the Sarbanes-Oxley Act of 2002</w:t>
            </w: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9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5660" w:type="dxa"/>
            <w:vAlign w:val="bottom"/>
            <w:shd w:val="clear" w:color="auto" w:fill="0000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42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101.INS*</w:t>
            </w:r>
          </w:p>
        </w:tc>
        <w:tc>
          <w:tcPr>
            <w:tcW w:w="9860" w:type="dxa"/>
            <w:vAlign w:val="bottom"/>
            <w:gridSpan w:val="7"/>
          </w:tcPr>
          <w:p>
            <w:pPr>
              <w:spacing w:after="0" w:line="181" w:lineRule="exact"/>
              <w:rPr>
                <w:sz w:val="20"/>
                <w:szCs w:val="20"/>
                <w:color w:val="auto"/>
              </w:rPr>
            </w:pPr>
            <w:r>
              <w:rPr>
                <w:rFonts w:ascii="Arial" w:cs="Arial" w:eastAsia="Arial" w:hAnsi="Arial"/>
                <w:sz w:val="17"/>
                <w:szCs w:val="17"/>
                <w:color w:val="auto"/>
                <w:w w:val="93"/>
              </w:rPr>
              <w:t>Inline XBRL Instance Document - the instance document does not appear in the Interactive Data File because its XBRL tags are embedded</w:t>
            </w:r>
          </w:p>
        </w:tc>
      </w:tr>
      <w:tr>
        <w:trPr>
          <w:trHeight w:val="218"/>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7"/>
          </w:tcPr>
          <w:p>
            <w:pPr>
              <w:spacing w:after="0"/>
              <w:rPr>
                <w:sz w:val="20"/>
                <w:szCs w:val="20"/>
                <w:color w:val="auto"/>
              </w:rPr>
            </w:pPr>
            <w:r>
              <w:rPr>
                <w:rFonts w:ascii="Arial" w:cs="Arial" w:eastAsia="Arial" w:hAnsi="Arial"/>
                <w:sz w:val="17"/>
                <w:szCs w:val="17"/>
                <w:color w:val="auto"/>
              </w:rPr>
              <w:t>within the Inline XBRL document.</w:t>
            </w:r>
          </w:p>
        </w:tc>
      </w:tr>
      <w:tr>
        <w:trPr>
          <w:trHeight w:val="220"/>
        </w:trPr>
        <w:tc>
          <w:tcPr>
            <w:tcW w:w="14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986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XBRL Taxonomy Extension Schema Document</w:t>
            </w:r>
          </w:p>
        </w:tc>
      </w:tr>
      <w:tr>
        <w:trPr>
          <w:trHeight w:val="218"/>
        </w:trPr>
        <w:tc>
          <w:tcPr>
            <w:tcW w:w="142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9860" w:type="dxa"/>
            <w:vAlign w:val="bottom"/>
            <w:gridSpan w:val="7"/>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0"/>
        </w:trPr>
        <w:tc>
          <w:tcPr>
            <w:tcW w:w="14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986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18"/>
        </w:trPr>
        <w:tc>
          <w:tcPr>
            <w:tcW w:w="142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9860" w:type="dxa"/>
            <w:vAlign w:val="bottom"/>
            <w:gridSpan w:val="7"/>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0"/>
        </w:trPr>
        <w:tc>
          <w:tcPr>
            <w:tcW w:w="14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986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18"/>
        </w:trPr>
        <w:tc>
          <w:tcPr>
            <w:tcW w:w="130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8"/>
                <w:szCs w:val="18"/>
                <w:color w:val="auto"/>
              </w:rPr>
            </w:pPr>
          </w:p>
        </w:tc>
        <w:tc>
          <w:tcPr>
            <w:tcW w:w="9860" w:type="dxa"/>
            <w:vAlign w:val="bottom"/>
            <w:gridSpan w:val="7"/>
          </w:tcPr>
          <w:p>
            <w:pPr>
              <w:spacing w:after="0"/>
              <w:rPr>
                <w:sz w:val="20"/>
                <w:szCs w:val="20"/>
                <w:color w:val="auto"/>
              </w:rPr>
            </w:pPr>
            <w:r>
              <w:rPr>
                <w:rFonts w:ascii="Arial" w:cs="Arial" w:eastAsia="Arial" w:hAnsi="Arial"/>
                <w:sz w:val="17"/>
                <w:szCs w:val="17"/>
                <w:color w:val="auto"/>
              </w:rPr>
              <w:t>Cover Page Interactive Data File (formatted in Inline XBRL and contained in Exhibit 101)</w:t>
            </w:r>
          </w:p>
        </w:tc>
      </w:tr>
      <w:tr>
        <w:trPr>
          <w:trHeight w:val="343"/>
        </w:trPr>
        <w:tc>
          <w:tcPr>
            <w:tcW w:w="1300" w:type="dxa"/>
            <w:vAlign w:val="bottom"/>
          </w:tcPr>
          <w:p>
            <w:pPr>
              <w:spacing w:after="0"/>
              <w:rPr>
                <w:sz w:val="20"/>
                <w:szCs w:val="20"/>
                <w:color w:val="auto"/>
              </w:rPr>
            </w:pPr>
            <w:r>
              <w:rPr>
                <w:rFonts w:ascii="Arial" w:cs="Arial" w:eastAsia="Arial" w:hAnsi="Arial"/>
                <w:sz w:val="21"/>
                <w:szCs w:val="21"/>
                <w:color w:val="auto"/>
              </w:rPr>
              <w:t>__________</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ind w:left="380" w:hanging="377"/>
        <w:spacing w:after="0" w:line="235" w:lineRule="auto"/>
        <w:tabs>
          <w:tab w:leader="none" w:pos="380" w:val="left"/>
        </w:tabs>
        <w:numPr>
          <w:ilvl w:val="0"/>
          <w:numId w:val="8"/>
        </w:numPr>
        <w:rPr>
          <w:rFonts w:ascii="Arial" w:cs="Arial" w:eastAsia="Arial" w:hAnsi="Arial"/>
          <w:sz w:val="21"/>
          <w:szCs w:val="21"/>
          <w:color w:val="auto"/>
        </w:rPr>
      </w:pPr>
      <w:r>
        <w:rPr>
          <w:rFonts w:ascii="Arial" w:cs="Arial" w:eastAsia="Arial" w:hAnsi="Arial"/>
          <w:sz w:val="17"/>
          <w:szCs w:val="17"/>
          <w:color w:val="auto"/>
        </w:rPr>
        <w:t>Filed herewith</w:t>
      </w:r>
    </w:p>
    <w:p>
      <w:pPr>
        <w:spacing w:after="0" w:line="4" w:lineRule="exact"/>
        <w:rPr>
          <w:sz w:val="20"/>
          <w:szCs w:val="20"/>
          <w:color w:val="auto"/>
        </w:rPr>
      </w:pPr>
    </w:p>
    <w:p>
      <w:pPr>
        <w:ind w:left="460" w:hanging="457"/>
        <w:spacing w:after="0"/>
        <w:tabs>
          <w:tab w:leader="none" w:pos="460" w:val="left"/>
        </w:tabs>
        <w:numPr>
          <w:ilvl w:val="0"/>
          <w:numId w:val="9"/>
        </w:numPr>
        <w:rPr>
          <w:rFonts w:ascii="Arial" w:cs="Arial" w:eastAsia="Arial" w:hAnsi="Arial"/>
          <w:sz w:val="21"/>
          <w:szCs w:val="21"/>
          <w:color w:val="auto"/>
        </w:rPr>
      </w:pPr>
      <w:r>
        <w:rPr>
          <w:rFonts w:ascii="Arial" w:cs="Arial" w:eastAsia="Arial" w:hAnsi="Arial"/>
          <w:sz w:val="17"/>
          <w:szCs w:val="17"/>
          <w:color w:val="auto"/>
        </w:rPr>
        <w:t>Furnished herewith</w:t>
      </w:r>
    </w:p>
    <w:p>
      <w:pPr>
        <w:spacing w:after="0" w:line="3" w:lineRule="exact"/>
        <w:rPr>
          <w:sz w:val="20"/>
          <w:szCs w:val="20"/>
          <w:color w:val="auto"/>
        </w:rPr>
      </w:pPr>
    </w:p>
    <w:p>
      <w:pPr>
        <w:ind w:left="320" w:hanging="317"/>
        <w:spacing w:after="0" w:line="262"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5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220" w:type="dxa"/>
            <w:vAlign w:val="bottom"/>
          </w:tcPr>
          <w:p>
            <w:pPr>
              <w:spacing w:after="0"/>
              <w:rPr>
                <w:sz w:val="19"/>
                <w:szCs w:val="19"/>
                <w:color w:val="auto"/>
              </w:rPr>
            </w:pPr>
          </w:p>
        </w:tc>
        <w:tc>
          <w:tcPr>
            <w:tcW w:w="3480" w:type="dxa"/>
            <w:vAlign w:val="bottom"/>
          </w:tcPr>
          <w:p>
            <w:pPr>
              <w:ind w:left="1660"/>
              <w:spacing w:after="0"/>
              <w:rPr>
                <w:sz w:val="20"/>
                <w:szCs w:val="20"/>
                <w:color w:val="auto"/>
              </w:rPr>
            </w:pPr>
            <w:r>
              <w:rPr>
                <w:rFonts w:ascii="Arial" w:cs="Arial" w:eastAsia="Arial" w:hAnsi="Arial"/>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220" w:type="dxa"/>
            <w:vAlign w:val="bottom"/>
          </w:tcPr>
          <w:p>
            <w:pPr>
              <w:spacing w:after="0"/>
              <w:rPr>
                <w:sz w:val="20"/>
                <w:szCs w:val="20"/>
                <w:color w:val="auto"/>
              </w:rPr>
            </w:pPr>
            <w:r>
              <w:rPr>
                <w:rFonts w:ascii="Arial" w:cs="Arial" w:eastAsia="Arial" w:hAnsi="Arial"/>
                <w:sz w:val="17"/>
                <w:szCs w:val="17"/>
                <w:color w:val="auto"/>
              </w:rPr>
              <w:t>Date: August 11, 2022</w:t>
            </w:r>
          </w:p>
        </w:tc>
        <w:tc>
          <w:tcPr>
            <w:tcW w:w="3480" w:type="dxa"/>
            <w:vAlign w:val="bottom"/>
          </w:tcPr>
          <w:p>
            <w:pPr>
              <w:ind w:left="264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Rood</w:t>
            </w:r>
          </w:p>
        </w:tc>
      </w:tr>
      <w:tr>
        <w:trPr>
          <w:trHeight w:val="212"/>
        </w:trPr>
        <w:tc>
          <w:tcPr>
            <w:tcW w:w="3220" w:type="dxa"/>
            <w:vAlign w:val="bottom"/>
          </w:tcPr>
          <w:p>
            <w:pPr>
              <w:spacing w:after="0"/>
              <w:rPr>
                <w:sz w:val="18"/>
                <w:szCs w:val="18"/>
                <w:color w:val="auto"/>
              </w:rPr>
            </w:pPr>
          </w:p>
        </w:tc>
        <w:tc>
          <w:tcPr>
            <w:tcW w:w="3480" w:type="dxa"/>
            <w:vAlign w:val="bottom"/>
          </w:tcPr>
          <w:p>
            <w:pPr>
              <w:ind w:left="2640"/>
              <w:spacing w:after="0"/>
              <w:rPr>
                <w:sz w:val="20"/>
                <w:szCs w:val="20"/>
                <w:color w:val="auto"/>
              </w:rPr>
            </w:pPr>
            <w:r>
              <w:rPr>
                <w:rFonts w:ascii="Arial" w:cs="Arial" w:eastAsia="Arial" w:hAnsi="Arial"/>
                <w:sz w:val="17"/>
                <w:szCs w:val="17"/>
                <w:color w:val="auto"/>
              </w:rPr>
              <w:t>Name:</w:t>
            </w:r>
          </w:p>
        </w:tc>
        <w:tc>
          <w:tcPr>
            <w:tcW w:w="4520" w:type="dxa"/>
            <w:vAlign w:val="bottom"/>
          </w:tcPr>
          <w:p>
            <w:pPr>
              <w:ind w:left="20"/>
              <w:spacing w:after="0"/>
              <w:rPr>
                <w:sz w:val="20"/>
                <w:szCs w:val="20"/>
                <w:color w:val="auto"/>
              </w:rPr>
            </w:pPr>
            <w:r>
              <w:rPr>
                <w:rFonts w:ascii="Arial" w:cs="Arial" w:eastAsia="Arial" w:hAnsi="Arial"/>
                <w:sz w:val="17"/>
                <w:szCs w:val="17"/>
                <w:color w:val="auto"/>
              </w:rPr>
              <w:t>John Rood</w:t>
            </w:r>
          </w:p>
        </w:tc>
      </w:tr>
      <w:tr>
        <w:trPr>
          <w:trHeight w:val="170"/>
        </w:trPr>
        <w:tc>
          <w:tcPr>
            <w:tcW w:w="3220" w:type="dxa"/>
            <w:vAlign w:val="bottom"/>
          </w:tcPr>
          <w:p>
            <w:pPr>
              <w:spacing w:after="0"/>
              <w:rPr>
                <w:sz w:val="14"/>
                <w:szCs w:val="14"/>
                <w:color w:val="auto"/>
              </w:rPr>
            </w:pPr>
          </w:p>
        </w:tc>
        <w:tc>
          <w:tcPr>
            <w:tcW w:w="3480" w:type="dxa"/>
            <w:vAlign w:val="bottom"/>
          </w:tcPr>
          <w:p>
            <w:pPr>
              <w:ind w:left="2640"/>
              <w:spacing w:after="0" w:line="170" w:lineRule="exact"/>
              <w:rPr>
                <w:sz w:val="20"/>
                <w:szCs w:val="20"/>
                <w:color w:val="auto"/>
              </w:rPr>
            </w:pPr>
            <w:r>
              <w:rPr>
                <w:rFonts w:ascii="Arial" w:cs="Arial" w:eastAsia="Arial" w:hAnsi="Arial"/>
                <w:sz w:val="17"/>
                <w:szCs w:val="17"/>
                <w:color w:val="auto"/>
              </w:rPr>
              <w:t>Title:</w:t>
            </w:r>
          </w:p>
        </w:tc>
        <w:tc>
          <w:tcPr>
            <w:tcW w:w="4520" w:type="dxa"/>
            <w:vAlign w:val="bottom"/>
          </w:tcPr>
          <w:p>
            <w:pPr>
              <w:ind w:left="20"/>
              <w:spacing w:after="0" w:line="170" w:lineRule="exact"/>
              <w:rPr>
                <w:sz w:val="20"/>
                <w:szCs w:val="20"/>
                <w:color w:val="auto"/>
              </w:rPr>
            </w:pPr>
            <w:r>
              <w:rPr>
                <w:rFonts w:ascii="Arial" w:cs="Arial" w:eastAsia="Arial" w:hAnsi="Arial"/>
                <w:sz w:val="17"/>
                <w:szCs w:val="17"/>
                <w:color w:val="auto"/>
              </w:rPr>
              <w:t>Chief Executive Officer</w:t>
            </w:r>
          </w:p>
        </w:tc>
      </w:tr>
      <w:tr>
        <w:trPr>
          <w:trHeight w:val="217"/>
        </w:trPr>
        <w:tc>
          <w:tcPr>
            <w:tcW w:w="3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477"/>
        </w:trPr>
        <w:tc>
          <w:tcPr>
            <w:tcW w:w="3220" w:type="dxa"/>
            <w:vAlign w:val="bottom"/>
          </w:tcPr>
          <w:p>
            <w:pPr>
              <w:spacing w:after="0"/>
              <w:rPr>
                <w:sz w:val="20"/>
                <w:szCs w:val="20"/>
                <w:color w:val="auto"/>
              </w:rPr>
            </w:pPr>
            <w:r>
              <w:rPr>
                <w:rFonts w:ascii="Arial" w:cs="Arial" w:eastAsia="Arial" w:hAnsi="Arial"/>
                <w:sz w:val="17"/>
                <w:szCs w:val="17"/>
                <w:color w:val="auto"/>
              </w:rPr>
              <w:t>Date: August 11, 2022</w:t>
            </w:r>
          </w:p>
        </w:tc>
        <w:tc>
          <w:tcPr>
            <w:tcW w:w="3480" w:type="dxa"/>
            <w:vAlign w:val="bottom"/>
          </w:tcPr>
          <w:p>
            <w:pPr>
              <w:ind w:left="264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Jikun Kim</w:t>
            </w:r>
          </w:p>
        </w:tc>
      </w:tr>
      <w:tr>
        <w:trPr>
          <w:trHeight w:val="212"/>
        </w:trPr>
        <w:tc>
          <w:tcPr>
            <w:tcW w:w="3220" w:type="dxa"/>
            <w:vAlign w:val="bottom"/>
          </w:tcPr>
          <w:p>
            <w:pPr>
              <w:spacing w:after="0"/>
              <w:rPr>
                <w:sz w:val="18"/>
                <w:szCs w:val="18"/>
                <w:color w:val="auto"/>
              </w:rPr>
            </w:pPr>
          </w:p>
        </w:tc>
        <w:tc>
          <w:tcPr>
            <w:tcW w:w="3480" w:type="dxa"/>
            <w:vAlign w:val="bottom"/>
          </w:tcPr>
          <w:p>
            <w:pPr>
              <w:ind w:left="2640"/>
              <w:spacing w:after="0"/>
              <w:rPr>
                <w:sz w:val="20"/>
                <w:szCs w:val="20"/>
                <w:color w:val="auto"/>
              </w:rPr>
            </w:pPr>
            <w:r>
              <w:rPr>
                <w:rFonts w:ascii="Arial" w:cs="Arial" w:eastAsia="Arial" w:hAnsi="Arial"/>
                <w:sz w:val="17"/>
                <w:szCs w:val="17"/>
                <w:color w:val="auto"/>
              </w:rPr>
              <w:t>Name:</w:t>
            </w:r>
          </w:p>
        </w:tc>
        <w:tc>
          <w:tcPr>
            <w:tcW w:w="4520" w:type="dxa"/>
            <w:vAlign w:val="bottom"/>
          </w:tcPr>
          <w:p>
            <w:pPr>
              <w:ind w:left="20"/>
              <w:spacing w:after="0"/>
              <w:rPr>
                <w:sz w:val="20"/>
                <w:szCs w:val="20"/>
                <w:color w:val="auto"/>
              </w:rPr>
            </w:pPr>
            <w:r>
              <w:rPr>
                <w:rFonts w:ascii="Arial" w:cs="Arial" w:eastAsia="Arial" w:hAnsi="Arial"/>
                <w:sz w:val="17"/>
                <w:szCs w:val="17"/>
                <w:color w:val="auto"/>
              </w:rPr>
              <w:t>Jikun Kim</w:t>
            </w:r>
          </w:p>
        </w:tc>
      </w:tr>
      <w:tr>
        <w:trPr>
          <w:trHeight w:val="170"/>
        </w:trPr>
        <w:tc>
          <w:tcPr>
            <w:tcW w:w="3220" w:type="dxa"/>
            <w:vAlign w:val="bottom"/>
          </w:tcPr>
          <w:p>
            <w:pPr>
              <w:spacing w:after="0"/>
              <w:rPr>
                <w:sz w:val="14"/>
                <w:szCs w:val="14"/>
                <w:color w:val="auto"/>
              </w:rPr>
            </w:pPr>
          </w:p>
        </w:tc>
        <w:tc>
          <w:tcPr>
            <w:tcW w:w="3480" w:type="dxa"/>
            <w:vAlign w:val="bottom"/>
          </w:tcPr>
          <w:p>
            <w:pPr>
              <w:ind w:left="2640"/>
              <w:spacing w:after="0" w:line="170" w:lineRule="exact"/>
              <w:rPr>
                <w:sz w:val="20"/>
                <w:szCs w:val="20"/>
                <w:color w:val="auto"/>
              </w:rPr>
            </w:pPr>
            <w:r>
              <w:rPr>
                <w:rFonts w:ascii="Arial" w:cs="Arial" w:eastAsia="Arial" w:hAnsi="Arial"/>
                <w:sz w:val="17"/>
                <w:szCs w:val="17"/>
                <w:color w:val="auto"/>
              </w:rPr>
              <w:t>Title:</w:t>
            </w:r>
          </w:p>
        </w:tc>
        <w:tc>
          <w:tcPr>
            <w:tcW w:w="4520" w:type="dxa"/>
            <w:vAlign w:val="bottom"/>
          </w:tcPr>
          <w:p>
            <w:pPr>
              <w:ind w:left="20"/>
              <w:spacing w:after="0" w:line="170" w:lineRule="exact"/>
              <w:rPr>
                <w:sz w:val="20"/>
                <w:szCs w:val="20"/>
                <w:color w:val="auto"/>
              </w:rPr>
            </w:pPr>
            <w:r>
              <w:rPr>
                <w:rFonts w:ascii="Arial" w:cs="Arial" w:eastAsia="Arial" w:hAnsi="Arial"/>
                <w:sz w:val="17"/>
                <w:szCs w:val="17"/>
                <w:color w:val="auto"/>
              </w:rPr>
              <w:t>Chief Financial Officer</w:t>
            </w:r>
          </w:p>
        </w:tc>
      </w:tr>
      <w:tr>
        <w:trPr>
          <w:trHeight w:val="217"/>
        </w:trPr>
        <w:tc>
          <w:tcPr>
            <w:tcW w:w="3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127" w:right="339" w:bottom="1440" w:gutter="0" w:footer="0" w:header="0"/>
        </w:sectPr>
      </w:pPr>
    </w:p>
    <w:bookmarkStart w:id="61" w:name="page62"/>
    <w:bookmarkEnd w:id="61"/>
    <w:p>
      <w:pPr>
        <w:jc w:val="right"/>
        <w:ind w:right="100"/>
        <w:spacing w:after="0"/>
        <w:rPr>
          <w:sz w:val="20"/>
          <w:szCs w:val="20"/>
          <w:color w:val="auto"/>
        </w:rPr>
      </w:pPr>
      <w:r>
        <w:rPr>
          <w:rFonts w:ascii="Arial" w:cs="Arial" w:eastAsia="Arial" w:hAnsi="Arial"/>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 John Rood, certify that:</w:t>
      </w:r>
    </w:p>
    <w:p>
      <w:pPr>
        <w:spacing w:after="0" w:line="385"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Momentus Inc.;</w:t>
      </w:r>
    </w:p>
    <w:p>
      <w:pPr>
        <w:spacing w:after="0" w:line="152" w:lineRule="exact"/>
        <w:rPr>
          <w:rFonts w:ascii="Arial" w:cs="Arial" w:eastAsia="Arial" w:hAnsi="Arial"/>
          <w:sz w:val="17"/>
          <w:szCs w:val="17"/>
          <w:color w:val="auto"/>
        </w:rPr>
      </w:pPr>
    </w:p>
    <w:p>
      <w:pPr>
        <w:ind w:left="620" w:right="240" w:hanging="307"/>
        <w:spacing w:after="0" w:line="349" w:lineRule="auto"/>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620" w:right="680" w:hanging="307"/>
        <w:spacing w:after="0" w:line="312"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6"/>
          <w:szCs w:val="16"/>
          <w:color w:val="auto"/>
        </w:rPr>
      </w:pPr>
    </w:p>
    <w:p>
      <w:pPr>
        <w:ind w:left="620" w:right="180" w:hanging="307"/>
        <w:spacing w:after="0" w:line="266"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1240" w:right="400" w:hanging="309"/>
        <w:spacing w:after="0" w:line="266" w:lineRule="auto"/>
        <w:tabs>
          <w:tab w:leader="none" w:pos="1231"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240" w:right="660" w:hanging="309"/>
        <w:spacing w:after="0" w:line="266" w:lineRule="auto"/>
        <w:tabs>
          <w:tab w:leader="none" w:pos="122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1240" w:right="820" w:hanging="309"/>
        <w:spacing w:after="0" w:line="349" w:lineRule="auto"/>
        <w:tabs>
          <w:tab w:leader="none" w:pos="1231"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5"/>
          <w:szCs w:val="15"/>
          <w:color w:val="auto"/>
        </w:rPr>
      </w:pPr>
    </w:p>
    <w:p>
      <w:pPr>
        <w:ind w:left="1240" w:right="400" w:hanging="309"/>
        <w:spacing w:after="0" w:line="266" w:lineRule="auto"/>
        <w:tabs>
          <w:tab w:leader="none" w:pos="122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0" w:lineRule="exact"/>
        <w:rPr>
          <w:rFonts w:ascii="Arial" w:cs="Arial" w:eastAsia="Arial" w:hAnsi="Arial"/>
          <w:sz w:val="17"/>
          <w:szCs w:val="17"/>
          <w:color w:val="auto"/>
        </w:rPr>
      </w:pPr>
    </w:p>
    <w:p>
      <w:pPr>
        <w:ind w:left="620" w:right="620" w:hanging="307"/>
        <w:spacing w:after="0" w:line="312"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240" w:right="320" w:hanging="309"/>
        <w:spacing w:after="0" w:line="279" w:lineRule="auto"/>
        <w:tabs>
          <w:tab w:leader="none" w:pos="1231"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7"/>
          <w:szCs w:val="17"/>
          <w:color w:val="auto"/>
        </w:rPr>
      </w:pPr>
    </w:p>
    <w:p>
      <w:pPr>
        <w:ind w:left="1240" w:right="280" w:hanging="309"/>
        <w:spacing w:after="0" w:line="279" w:lineRule="auto"/>
        <w:tabs>
          <w:tab w:leader="none" w:pos="122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7"/>
              </w:rPr>
              <w:t>/s/John Rood</w:t>
            </w:r>
          </w:p>
        </w:tc>
        <w:tc>
          <w:tcPr>
            <w:tcW w:w="600" w:type="dxa"/>
            <w:vAlign w:val="bottom"/>
          </w:tcPr>
          <w:p>
            <w:pPr>
              <w:spacing w:after="0"/>
              <w:rPr>
                <w:sz w:val="16"/>
                <w:szCs w:val="16"/>
                <w:color w:val="auto"/>
              </w:rPr>
            </w:pPr>
          </w:p>
        </w:tc>
      </w:tr>
      <w:tr>
        <w:trPr>
          <w:trHeight w:val="236"/>
        </w:trPr>
        <w:tc>
          <w:tcPr>
            <w:tcW w:w="8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1560" w:type="dxa"/>
            <w:vAlign w:val="bottom"/>
            <w:gridSpan w:val="2"/>
          </w:tcPr>
          <w:p>
            <w:pPr>
              <w:spacing w:after="0"/>
              <w:rPr>
                <w:sz w:val="20"/>
                <w:szCs w:val="20"/>
                <w:color w:val="auto"/>
              </w:rPr>
            </w:pPr>
            <w:r>
              <w:rPr>
                <w:rFonts w:ascii="Arial" w:cs="Arial" w:eastAsia="Arial" w:hAnsi="Arial"/>
                <w:sz w:val="17"/>
                <w:szCs w:val="17"/>
                <w:color w:val="auto"/>
              </w:rPr>
              <w:t>John Rood</w:t>
            </w:r>
          </w:p>
        </w:tc>
      </w:tr>
      <w:tr>
        <w:trPr>
          <w:trHeight w:val="219"/>
        </w:trPr>
        <w:tc>
          <w:tcPr>
            <w:tcW w:w="860" w:type="dxa"/>
            <w:vAlign w:val="bottom"/>
          </w:tcPr>
          <w:p>
            <w:pPr>
              <w:spacing w:after="0"/>
              <w:rPr>
                <w:sz w:val="20"/>
                <w:szCs w:val="20"/>
                <w:color w:val="auto"/>
              </w:rPr>
            </w:pPr>
            <w:r>
              <w:rPr>
                <w:rFonts w:ascii="Arial" w:cs="Arial" w:eastAsia="Arial" w:hAnsi="Arial"/>
                <w:sz w:val="17"/>
                <w:szCs w:val="17"/>
                <w:color w:val="auto"/>
              </w:rPr>
              <w:t>Dated:</w:t>
            </w:r>
          </w:p>
        </w:tc>
        <w:tc>
          <w:tcPr>
            <w:tcW w:w="2340" w:type="dxa"/>
            <w:vAlign w:val="bottom"/>
          </w:tcPr>
          <w:p>
            <w:pPr>
              <w:ind w:left="400"/>
              <w:spacing w:after="0"/>
              <w:rPr>
                <w:sz w:val="20"/>
                <w:szCs w:val="20"/>
                <w:color w:val="auto"/>
              </w:rPr>
            </w:pPr>
            <w:r>
              <w:rPr>
                <w:rFonts w:ascii="Arial" w:cs="Arial" w:eastAsia="Arial" w:hAnsi="Arial"/>
                <w:sz w:val="17"/>
                <w:szCs w:val="17"/>
                <w:color w:val="auto"/>
              </w:rPr>
              <w:t>August 11, 2022</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560" w:type="dxa"/>
            <w:vAlign w:val="bottom"/>
            <w:gridSpan w:val="2"/>
          </w:tcPr>
          <w:p>
            <w:pPr>
              <w:spacing w:after="0"/>
              <w:rPr>
                <w:sz w:val="20"/>
                <w:szCs w:val="20"/>
                <w:color w:val="auto"/>
              </w:rPr>
            </w:pPr>
            <w:r>
              <w:rPr>
                <w:rFonts w:ascii="Arial" w:cs="Arial" w:eastAsia="Arial" w:hAnsi="Arial"/>
                <w:sz w:val="17"/>
                <w:szCs w:val="17"/>
                <w:color w:val="auto"/>
                <w:w w:val="92"/>
              </w:rPr>
              <w:t>Chief Executive Office</w:t>
            </w:r>
          </w:p>
        </w:tc>
      </w:tr>
    </w:tbl>
    <w:p>
      <w:pPr>
        <w:sectPr>
          <w:pgSz w:w="11900" w:h="16838" w:orient="portrait"/>
          <w:cols w:equalWidth="0" w:num="1">
            <w:col w:w="11340"/>
          </w:cols>
          <w:pgMar w:left="320" w:top="740" w:right="239" w:bottom="1440" w:gutter="0" w:footer="0" w:header="0"/>
        </w:sectPr>
      </w:pPr>
    </w:p>
    <w:bookmarkStart w:id="62" w:name="page63"/>
    <w:bookmarkEnd w:id="62"/>
    <w:p>
      <w:pPr>
        <w:jc w:val="right"/>
        <w:ind w:right="100"/>
        <w:spacing w:after="0"/>
        <w:rPr>
          <w:sz w:val="20"/>
          <w:szCs w:val="20"/>
          <w:color w:val="auto"/>
        </w:rPr>
      </w:pPr>
      <w:r>
        <w:rPr>
          <w:rFonts w:ascii="Arial" w:cs="Arial" w:eastAsia="Arial" w:hAnsi="Arial"/>
          <w:sz w:val="17"/>
          <w:szCs w:val="17"/>
          <w:b w:val="1"/>
          <w:bCs w:val="1"/>
          <w:color w:val="auto"/>
        </w:rPr>
        <w:t>Exhibit 31.2</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 Jikun Kim, certify that:</w:t>
      </w:r>
    </w:p>
    <w:p>
      <w:pPr>
        <w:spacing w:after="0" w:line="385" w:lineRule="exact"/>
        <w:rPr>
          <w:sz w:val="20"/>
          <w:szCs w:val="20"/>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Momentus Inc.;</w:t>
      </w:r>
    </w:p>
    <w:p>
      <w:pPr>
        <w:spacing w:after="0" w:line="152" w:lineRule="exact"/>
        <w:rPr>
          <w:rFonts w:ascii="Arial" w:cs="Arial" w:eastAsia="Arial" w:hAnsi="Arial"/>
          <w:sz w:val="17"/>
          <w:szCs w:val="17"/>
          <w:color w:val="auto"/>
        </w:rPr>
      </w:pPr>
    </w:p>
    <w:p>
      <w:pPr>
        <w:ind w:left="620" w:right="240" w:hanging="307"/>
        <w:spacing w:after="0" w:line="349"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5"/>
          <w:szCs w:val="15"/>
          <w:color w:val="auto"/>
        </w:rPr>
      </w:pPr>
    </w:p>
    <w:p>
      <w:pPr>
        <w:ind w:left="620" w:right="680" w:hanging="307"/>
        <w:spacing w:after="0" w:line="312"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6"/>
          <w:szCs w:val="16"/>
          <w:color w:val="auto"/>
        </w:rPr>
      </w:pPr>
    </w:p>
    <w:p>
      <w:pPr>
        <w:ind w:left="620" w:right="180" w:hanging="307"/>
        <w:spacing w:after="0" w:line="266"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1240" w:right="400" w:hanging="309"/>
        <w:spacing w:after="0" w:line="266" w:lineRule="auto"/>
        <w:tabs>
          <w:tab w:leader="none" w:pos="12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240" w:right="660" w:hanging="309"/>
        <w:spacing w:after="0" w:line="266" w:lineRule="auto"/>
        <w:tabs>
          <w:tab w:leader="none" w:pos="12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1240" w:right="820" w:hanging="309"/>
        <w:spacing w:after="0" w:line="349" w:lineRule="auto"/>
        <w:tabs>
          <w:tab w:leader="none" w:pos="1231"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5"/>
          <w:szCs w:val="15"/>
          <w:color w:val="auto"/>
        </w:rPr>
      </w:pPr>
    </w:p>
    <w:p>
      <w:pPr>
        <w:ind w:left="1240" w:right="400" w:hanging="309"/>
        <w:spacing w:after="0" w:line="266" w:lineRule="auto"/>
        <w:tabs>
          <w:tab w:leader="none" w:pos="12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0" w:lineRule="exact"/>
        <w:rPr>
          <w:rFonts w:ascii="Arial" w:cs="Arial" w:eastAsia="Arial" w:hAnsi="Arial"/>
          <w:sz w:val="17"/>
          <w:szCs w:val="17"/>
          <w:color w:val="auto"/>
        </w:rPr>
      </w:pPr>
    </w:p>
    <w:p>
      <w:pPr>
        <w:ind w:left="620" w:right="620" w:hanging="307"/>
        <w:spacing w:after="0" w:line="312" w:lineRule="auto"/>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240" w:right="320" w:hanging="309"/>
        <w:spacing w:after="0" w:line="279" w:lineRule="auto"/>
        <w:tabs>
          <w:tab w:leader="none" w:pos="1231"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7"/>
          <w:szCs w:val="17"/>
          <w:color w:val="auto"/>
        </w:rPr>
      </w:pPr>
    </w:p>
    <w:p>
      <w:pPr>
        <w:ind w:left="1240" w:right="280" w:hanging="309"/>
        <w:spacing w:after="0" w:line="279" w:lineRule="auto"/>
        <w:tabs>
          <w:tab w:leader="none" w:pos="12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520" w:type="dxa"/>
            <w:vAlign w:val="bottom"/>
            <w:gridSpan w:val="2"/>
          </w:tcPr>
          <w:p>
            <w:pPr>
              <w:spacing w:after="0"/>
              <w:rPr>
                <w:sz w:val="20"/>
                <w:szCs w:val="20"/>
                <w:color w:val="auto"/>
              </w:rPr>
            </w:pPr>
            <w:r>
              <w:rPr>
                <w:rFonts w:ascii="Arial" w:cs="Arial" w:eastAsia="Arial" w:hAnsi="Arial"/>
                <w:sz w:val="17"/>
                <w:szCs w:val="17"/>
                <w:b w:val="1"/>
                <w:bCs w:val="1"/>
                <w:color w:val="auto"/>
              </w:rPr>
              <w:t>/s/Jikun Kim</w:t>
            </w:r>
          </w:p>
        </w:tc>
      </w:tr>
      <w:tr>
        <w:trPr>
          <w:trHeight w:val="236"/>
        </w:trPr>
        <w:tc>
          <w:tcPr>
            <w:tcW w:w="8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Jikun Kim</w:t>
            </w:r>
          </w:p>
        </w:tc>
        <w:tc>
          <w:tcPr>
            <w:tcW w:w="580" w:type="dxa"/>
            <w:vAlign w:val="bottom"/>
          </w:tcPr>
          <w:p>
            <w:pPr>
              <w:spacing w:after="0"/>
              <w:rPr>
                <w:sz w:val="20"/>
                <w:szCs w:val="20"/>
                <w:color w:val="auto"/>
              </w:rPr>
            </w:pPr>
          </w:p>
        </w:tc>
      </w:tr>
      <w:tr>
        <w:trPr>
          <w:trHeight w:val="219"/>
        </w:trPr>
        <w:tc>
          <w:tcPr>
            <w:tcW w:w="860" w:type="dxa"/>
            <w:vAlign w:val="bottom"/>
          </w:tcPr>
          <w:p>
            <w:pPr>
              <w:spacing w:after="0"/>
              <w:rPr>
                <w:sz w:val="20"/>
                <w:szCs w:val="20"/>
                <w:color w:val="auto"/>
              </w:rPr>
            </w:pPr>
            <w:r>
              <w:rPr>
                <w:rFonts w:ascii="Arial" w:cs="Arial" w:eastAsia="Arial" w:hAnsi="Arial"/>
                <w:sz w:val="17"/>
                <w:szCs w:val="17"/>
                <w:color w:val="auto"/>
              </w:rPr>
              <w:t>Dated:</w:t>
            </w:r>
          </w:p>
        </w:tc>
        <w:tc>
          <w:tcPr>
            <w:tcW w:w="2340" w:type="dxa"/>
            <w:vAlign w:val="bottom"/>
          </w:tcPr>
          <w:p>
            <w:pPr>
              <w:ind w:left="400"/>
              <w:spacing w:after="0"/>
              <w:rPr>
                <w:sz w:val="20"/>
                <w:szCs w:val="20"/>
                <w:color w:val="auto"/>
              </w:rPr>
            </w:pPr>
            <w:r>
              <w:rPr>
                <w:rFonts w:ascii="Arial" w:cs="Arial" w:eastAsia="Arial" w:hAnsi="Arial"/>
                <w:sz w:val="17"/>
                <w:szCs w:val="17"/>
                <w:color w:val="auto"/>
              </w:rPr>
              <w:t>August 11, 2022</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520" w:type="dxa"/>
            <w:vAlign w:val="bottom"/>
            <w:gridSpan w:val="2"/>
          </w:tcPr>
          <w:p>
            <w:pPr>
              <w:spacing w:after="0"/>
              <w:rPr>
                <w:sz w:val="20"/>
                <w:szCs w:val="20"/>
                <w:color w:val="auto"/>
              </w:rPr>
            </w:pPr>
            <w:r>
              <w:rPr>
                <w:rFonts w:ascii="Arial" w:cs="Arial" w:eastAsia="Arial" w:hAnsi="Arial"/>
                <w:sz w:val="17"/>
                <w:szCs w:val="17"/>
                <w:color w:val="auto"/>
                <w:w w:val="92"/>
              </w:rPr>
              <w:t>Chief Financial Office</w:t>
            </w:r>
          </w:p>
        </w:tc>
      </w:tr>
    </w:tbl>
    <w:p>
      <w:pPr>
        <w:sectPr>
          <w:pgSz w:w="11900" w:h="16838" w:orient="portrait"/>
          <w:cols w:equalWidth="0" w:num="1">
            <w:col w:w="11340"/>
          </w:cols>
          <w:pgMar w:left="320" w:top="74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In connection with the Quarterly Report on Form 10-Q of Momentus Inc., a Delaware corporation (the “Company”), on Form 10-Q for the fiscal quarter ended June 30, 2022, as filed with the Securities and Exchange Commission on the date hereof (the “Form 10-Q”), I, John Rood, Chief Executive Officer of the Company, certify, pursuant to 18 U.S.C. section 1350, as adopted pursuant section 906 of the Sarbanes-Oxley Act of 2002, that to the best of our knowledge:</w:t>
      </w:r>
    </w:p>
    <w:p>
      <w:pPr>
        <w:spacing w:after="0" w:line="75"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section 15(d) of the Securities Exchange Act of 1934, as amended; and</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640" w:type="dxa"/>
            <w:vAlign w:val="bottom"/>
            <w:gridSpan w:val="2"/>
          </w:tcPr>
          <w:p>
            <w:pPr>
              <w:spacing w:after="0"/>
              <w:rPr>
                <w:sz w:val="20"/>
                <w:szCs w:val="20"/>
                <w:color w:val="auto"/>
              </w:rPr>
            </w:pPr>
            <w:r>
              <w:rPr>
                <w:rFonts w:ascii="Arial" w:cs="Arial" w:eastAsia="Arial" w:hAnsi="Arial"/>
                <w:sz w:val="17"/>
                <w:szCs w:val="17"/>
                <w:b w:val="1"/>
                <w:bCs w:val="1"/>
                <w:color w:val="auto"/>
              </w:rPr>
              <w:t>/s/John Rood</w:t>
            </w:r>
          </w:p>
        </w:tc>
      </w:tr>
      <w:tr>
        <w:trPr>
          <w:trHeight w:val="236"/>
        </w:trPr>
        <w:tc>
          <w:tcPr>
            <w:tcW w:w="8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John Rood</w:t>
            </w:r>
          </w:p>
        </w:tc>
        <w:tc>
          <w:tcPr>
            <w:tcW w:w="680" w:type="dxa"/>
            <w:vAlign w:val="bottom"/>
          </w:tcPr>
          <w:p>
            <w:pPr>
              <w:spacing w:after="0"/>
              <w:rPr>
                <w:sz w:val="20"/>
                <w:szCs w:val="20"/>
                <w:color w:val="auto"/>
              </w:rPr>
            </w:pPr>
          </w:p>
        </w:tc>
      </w:tr>
      <w:tr>
        <w:trPr>
          <w:trHeight w:val="219"/>
        </w:trPr>
        <w:tc>
          <w:tcPr>
            <w:tcW w:w="860" w:type="dxa"/>
            <w:vAlign w:val="bottom"/>
          </w:tcPr>
          <w:p>
            <w:pPr>
              <w:spacing w:after="0"/>
              <w:rPr>
                <w:sz w:val="20"/>
                <w:szCs w:val="20"/>
                <w:color w:val="auto"/>
              </w:rPr>
            </w:pPr>
            <w:r>
              <w:rPr>
                <w:rFonts w:ascii="Arial" w:cs="Arial" w:eastAsia="Arial" w:hAnsi="Arial"/>
                <w:sz w:val="17"/>
                <w:szCs w:val="17"/>
                <w:color w:val="auto"/>
              </w:rPr>
              <w:t>Dated:</w:t>
            </w:r>
          </w:p>
        </w:tc>
        <w:tc>
          <w:tcPr>
            <w:tcW w:w="2340" w:type="dxa"/>
            <w:vAlign w:val="bottom"/>
          </w:tcPr>
          <w:p>
            <w:pPr>
              <w:ind w:left="400"/>
              <w:spacing w:after="0"/>
              <w:rPr>
                <w:sz w:val="20"/>
                <w:szCs w:val="20"/>
                <w:color w:val="auto"/>
              </w:rPr>
            </w:pPr>
            <w:r>
              <w:rPr>
                <w:rFonts w:ascii="Arial" w:cs="Arial" w:eastAsia="Arial" w:hAnsi="Arial"/>
                <w:sz w:val="17"/>
                <w:szCs w:val="17"/>
                <w:color w:val="auto"/>
              </w:rPr>
              <w:t>August 11, 2022</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640" w:type="dxa"/>
            <w:vAlign w:val="bottom"/>
            <w:gridSpan w:val="2"/>
          </w:tcPr>
          <w:p>
            <w:pPr>
              <w:spacing w:after="0"/>
              <w:rPr>
                <w:sz w:val="20"/>
                <w:szCs w:val="20"/>
                <w:color w:val="auto"/>
              </w:rPr>
            </w:pPr>
            <w:r>
              <w:rPr>
                <w:rFonts w:ascii="Arial" w:cs="Arial" w:eastAsia="Arial" w:hAnsi="Arial"/>
                <w:sz w:val="17"/>
                <w:szCs w:val="17"/>
                <w:color w:val="auto"/>
                <w:w w:val="93"/>
              </w:rPr>
              <w:t>Chief Executive Officer</w:t>
            </w:r>
          </w:p>
        </w:tc>
      </w:tr>
    </w:tbl>
    <w:p>
      <w:pPr>
        <w:spacing w:after="0" w:line="200" w:lineRule="exact"/>
        <w:rPr>
          <w:sz w:val="20"/>
          <w:szCs w:val="20"/>
          <w:color w:val="auto"/>
        </w:rPr>
      </w:pPr>
    </w:p>
    <w:p>
      <w:pPr>
        <w:spacing w:after="0" w:line="26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Quarterly Report on Form 10-Q of Momentus Inc., a Delaware corporation (the “Company”), on Form 10-Q for the fiscal quarter ended June 30, 2022, as filed with the Securities and Exchange Commission on the date hereof (the “Form 10-Q”), I, Jikun Kim, Chief Financial Officer of the Company, certify, pursuant to 18 U.S.C. section 1350, as adopted pursuant section 906 of the Sarbanes-Oxley Act of 2002, that to the best of our knowledge:</w:t>
      </w:r>
    </w:p>
    <w:p>
      <w:pPr>
        <w:spacing w:after="0" w:line="94"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Form 10-Q fully complies with the requirements of section 13(a) or section 15(d) of the Securities Exchange Act of 1934, as amended; and</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/s/Jikun Kim</w:t>
            </w:r>
          </w:p>
        </w:tc>
      </w:tr>
      <w:tr>
        <w:trPr>
          <w:trHeight w:val="236"/>
        </w:trPr>
        <w:tc>
          <w:tcPr>
            <w:tcW w:w="8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Jikun Kim</w:t>
            </w:r>
          </w:p>
        </w:tc>
        <w:tc>
          <w:tcPr>
            <w:tcW w:w="660" w:type="dxa"/>
            <w:vAlign w:val="bottom"/>
          </w:tcPr>
          <w:p>
            <w:pPr>
              <w:spacing w:after="0"/>
              <w:rPr>
                <w:sz w:val="20"/>
                <w:szCs w:val="20"/>
                <w:color w:val="auto"/>
              </w:rPr>
            </w:pPr>
          </w:p>
        </w:tc>
      </w:tr>
      <w:tr>
        <w:trPr>
          <w:trHeight w:val="219"/>
        </w:trPr>
        <w:tc>
          <w:tcPr>
            <w:tcW w:w="860" w:type="dxa"/>
            <w:vAlign w:val="bottom"/>
          </w:tcPr>
          <w:p>
            <w:pPr>
              <w:spacing w:after="0"/>
              <w:rPr>
                <w:sz w:val="20"/>
                <w:szCs w:val="20"/>
                <w:color w:val="auto"/>
              </w:rPr>
            </w:pPr>
            <w:r>
              <w:rPr>
                <w:rFonts w:ascii="Arial" w:cs="Arial" w:eastAsia="Arial" w:hAnsi="Arial"/>
                <w:sz w:val="17"/>
                <w:szCs w:val="17"/>
                <w:color w:val="auto"/>
              </w:rPr>
              <w:t>Dated:</w:t>
            </w:r>
          </w:p>
        </w:tc>
        <w:tc>
          <w:tcPr>
            <w:tcW w:w="2340" w:type="dxa"/>
            <w:vAlign w:val="bottom"/>
          </w:tcPr>
          <w:p>
            <w:pPr>
              <w:ind w:left="400"/>
              <w:spacing w:after="0"/>
              <w:rPr>
                <w:sz w:val="20"/>
                <w:szCs w:val="20"/>
                <w:color w:val="auto"/>
              </w:rPr>
            </w:pPr>
            <w:r>
              <w:rPr>
                <w:rFonts w:ascii="Arial" w:cs="Arial" w:eastAsia="Arial" w:hAnsi="Arial"/>
                <w:sz w:val="17"/>
                <w:szCs w:val="17"/>
                <w:color w:val="auto"/>
              </w:rPr>
              <w:t>August 11, 2022</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600" w:type="dxa"/>
            <w:vAlign w:val="bottom"/>
            <w:gridSpan w:val="2"/>
          </w:tcPr>
          <w:p>
            <w:pPr>
              <w:spacing w:after="0"/>
              <w:rPr>
                <w:sz w:val="20"/>
                <w:szCs w:val="20"/>
                <w:color w:val="auto"/>
              </w:rPr>
            </w:pPr>
            <w:r>
              <w:rPr>
                <w:rFonts w:ascii="Arial" w:cs="Arial" w:eastAsia="Arial" w:hAnsi="Arial"/>
                <w:sz w:val="17"/>
                <w:szCs w:val="17"/>
                <w:color w:val="auto"/>
                <w:w w:val="94"/>
              </w:rPr>
              <w:t>Chief Financial Officer</w:t>
            </w:r>
          </w:p>
        </w:tc>
      </w:tr>
    </w:tbl>
    <w:p>
      <w:pPr>
        <w:spacing w:after="0" w:line="200" w:lineRule="exact"/>
        <w:rPr>
          <w:sz w:val="20"/>
          <w:szCs w:val="20"/>
          <w:color w:val="auto"/>
        </w:rPr>
      </w:pPr>
    </w:p>
    <w:p>
      <w:pPr>
        <w:spacing w:after="0" w:line="26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4" Type="http://schemas.openxmlformats.org/officeDocument/2006/relationships/hyperlink" Target="https://www.sec.gov/Archives/edgar/data/1781162/000121390020030403/ea127854ex2-1_stableroa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2022-08-12T04:22:25Z</dcterms:created>
  <dcterms:modified xsi:type="dcterms:W3CDTF">2022-08-12T04:22:25Z</dcterms:modified>
</cp:coreProperties>
</file>