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May 22, 2026.</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203200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2148205</wp:posOffset>
            </wp:positionH>
            <wp:positionV relativeFrom="paragraph">
              <wp:posOffset>184150</wp:posOffset>
            </wp:positionV>
            <wp:extent cx="284607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200" w:lineRule="exact"/>
        <w:rPr>
          <w:sz w:val="24"/>
          <w:szCs w:val="24"/>
          <w:color w:val="auto"/>
        </w:rPr>
      </w:pPr>
    </w:p>
    <w:p>
      <w:pPr>
        <w:spacing w:after="0" w:line="3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S-8</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REGISTRATION STATEMENT</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UNDER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2148205</wp:posOffset>
            </wp:positionH>
            <wp:positionV relativeFrom="paragraph">
              <wp:posOffset>203200</wp:posOffset>
            </wp:positionV>
            <wp:extent cx="284607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200" w:lineRule="exact"/>
        <w:rPr>
          <w:sz w:val="24"/>
          <w:szCs w:val="24"/>
          <w:color w:val="auto"/>
        </w:rPr>
      </w:pPr>
    </w:p>
    <w:p>
      <w:pPr>
        <w:spacing w:after="0" w:line="37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MOMENTUS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2148205</wp:posOffset>
            </wp:positionH>
            <wp:positionV relativeFrom="paragraph">
              <wp:posOffset>201930</wp:posOffset>
            </wp:positionV>
            <wp:extent cx="284607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3714</w:t>
            </w:r>
          </w:p>
        </w:tc>
        <w:tc>
          <w:tcPr>
            <w:tcW w:w="200" w:type="dxa"/>
            <w:vAlign w:val="bottom"/>
          </w:tcPr>
          <w:p>
            <w:pPr>
              <w:spacing w:after="0"/>
              <w:rPr>
                <w:sz w:val="21"/>
                <w:szCs w:val="21"/>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84-1905538</w:t>
            </w:r>
          </w:p>
        </w:tc>
      </w:tr>
      <w:tr>
        <w:trPr>
          <w:trHeight w:val="194"/>
        </w:trPr>
        <w:tc>
          <w:tcPr>
            <w:tcW w:w="362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rPr>
              <w:t>(State or Other Jurisdiction of</w:t>
            </w:r>
          </w:p>
        </w:tc>
        <w:tc>
          <w:tcPr>
            <w:tcW w:w="220" w:type="dxa"/>
            <w:vAlign w:val="bottom"/>
          </w:tcPr>
          <w:p>
            <w:pPr>
              <w:spacing w:after="0"/>
              <w:rPr>
                <w:sz w:val="16"/>
                <w:szCs w:val="16"/>
                <w:color w:val="auto"/>
              </w:rPr>
            </w:pPr>
          </w:p>
        </w:tc>
        <w:tc>
          <w:tcPr>
            <w:tcW w:w="360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(Primary Standard Industrial</w:t>
            </w:r>
          </w:p>
        </w:tc>
        <w:tc>
          <w:tcPr>
            <w:tcW w:w="200" w:type="dxa"/>
            <w:vAlign w:val="bottom"/>
          </w:tcPr>
          <w:p>
            <w:pPr>
              <w:spacing w:after="0"/>
              <w:rPr>
                <w:sz w:val="16"/>
                <w:szCs w:val="16"/>
                <w:color w:val="auto"/>
              </w:rPr>
            </w:pPr>
          </w:p>
        </w:tc>
        <w:tc>
          <w:tcPr>
            <w:tcW w:w="360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Incorporation or Organization)</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Classification Code Number)</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Identification Number)</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2148205</wp:posOffset>
            </wp:positionH>
            <wp:positionV relativeFrom="paragraph">
              <wp:posOffset>188595</wp:posOffset>
            </wp:positionV>
            <wp:extent cx="284607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200" w:lineRule="exact"/>
        <w:rPr>
          <w:sz w:val="24"/>
          <w:szCs w:val="24"/>
          <w:color w:val="auto"/>
        </w:rPr>
      </w:pPr>
    </w:p>
    <w:p>
      <w:pPr>
        <w:spacing w:after="0" w:line="39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1762 Automation Parkway</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San Jose, CA 95131</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(650) 564-7820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(Address, Including Zip Code, and Telephone Number, Including Area Code, of Registrant’s Principal</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2148205</wp:posOffset>
            </wp:positionH>
            <wp:positionV relativeFrom="paragraph">
              <wp:posOffset>203200</wp:posOffset>
            </wp:positionV>
            <wp:extent cx="284607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Momentus Inc. 2021 Equity Incentive Plan</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(Full Title of the Plans)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2148205</wp:posOffset>
            </wp:positionH>
            <wp:positionV relativeFrom="paragraph">
              <wp:posOffset>203200</wp:posOffset>
            </wp:positionV>
            <wp:extent cx="284607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John C. Rood</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1762 Automation Parkway</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San Jose, CA 95131</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Telephone: (650) 564-7820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(Name, Address, Including Zip Code, and Telephone Number, Including Area Code, of Agent for Service)</w:t>
      </w:r>
    </w:p>
    <w:p>
      <w:pPr>
        <w:spacing w:after="0" w:line="203" w:lineRule="exact"/>
        <w:rPr>
          <w:sz w:val="24"/>
          <w:szCs w:val="24"/>
          <w:color w:val="auto"/>
        </w:rPr>
      </w:pPr>
    </w:p>
    <w:tbl>
      <w:tblPr>
        <w:tblLayout w:type="fixed"/>
        <w:tblInd w:w="1340" w:type="dxa"/>
        <w:tblCellMar>
          <w:top w:w="0" w:type="dxa"/>
          <w:left w:w="0" w:type="dxa"/>
          <w:bottom w:w="0" w:type="dxa"/>
          <w:right w:w="0" w:type="dxa"/>
        </w:tblCellMar>
      </w:tblPr>
      <w:tr>
        <w:trPr>
          <w:trHeight w:val="238"/>
        </w:trPr>
        <w:tc>
          <w:tcPr>
            <w:tcW w:w="3380" w:type="dxa"/>
            <w:vAlign w:val="bottom"/>
            <w:vMerge w:val="restart"/>
          </w:tcPr>
          <w:p>
            <w:pPr>
              <w:jc w:val="center"/>
              <w:ind w:right="450"/>
              <w:spacing w:after="0"/>
              <w:rPr>
                <w:sz w:val="20"/>
                <w:szCs w:val="20"/>
                <w:color w:val="auto"/>
              </w:rPr>
            </w:pPr>
            <w:r>
              <w:rPr>
                <w:rFonts w:ascii="Times New Roman" w:cs="Times New Roman" w:eastAsia="Times New Roman" w:hAnsi="Times New Roman"/>
                <w:sz w:val="18"/>
                <w:szCs w:val="18"/>
                <w:b w:val="1"/>
                <w:bCs w:val="1"/>
                <w:color w:val="auto"/>
                <w:w w:val="99"/>
              </w:rPr>
              <w:t>Stephen C. Hinton, Esq.</w:t>
            </w:r>
          </w:p>
        </w:tc>
        <w:tc>
          <w:tcPr>
            <w:tcW w:w="4800" w:type="dxa"/>
            <w:vAlign w:val="bottom"/>
          </w:tcPr>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Copies to:</w:t>
            </w:r>
          </w:p>
        </w:tc>
        <w:tc>
          <w:tcPr>
            <w:tcW w:w="0" w:type="dxa"/>
            <w:vAlign w:val="bottom"/>
          </w:tcPr>
          <w:p>
            <w:pPr>
              <w:spacing w:after="0"/>
              <w:rPr>
                <w:sz w:val="1"/>
                <w:szCs w:val="1"/>
                <w:color w:val="auto"/>
              </w:rPr>
            </w:pPr>
          </w:p>
        </w:tc>
      </w:tr>
      <w:tr>
        <w:trPr>
          <w:trHeight w:val="194"/>
        </w:trPr>
        <w:tc>
          <w:tcPr>
            <w:tcW w:w="3380" w:type="dxa"/>
            <w:vAlign w:val="bottom"/>
            <w:vMerge w:val="continue"/>
          </w:tcPr>
          <w:p>
            <w:pPr>
              <w:spacing w:after="0"/>
              <w:rPr>
                <w:sz w:val="16"/>
                <w:szCs w:val="16"/>
                <w:color w:val="auto"/>
              </w:rPr>
            </w:pPr>
          </w:p>
        </w:tc>
        <w:tc>
          <w:tcPr>
            <w:tcW w:w="4800" w:type="dxa"/>
            <w:vAlign w:val="bottom"/>
            <w:vMerge w:val="restart"/>
          </w:tcPr>
          <w:p>
            <w:pPr>
              <w:jc w:val="center"/>
              <w:ind w:left="2650"/>
              <w:spacing w:after="0"/>
              <w:rPr>
                <w:sz w:val="20"/>
                <w:szCs w:val="20"/>
                <w:color w:val="auto"/>
              </w:rPr>
            </w:pPr>
            <w:r>
              <w:rPr>
                <w:rFonts w:ascii="Times New Roman" w:cs="Times New Roman" w:eastAsia="Times New Roman" w:hAnsi="Times New Roman"/>
                <w:sz w:val="18"/>
                <w:szCs w:val="18"/>
                <w:b w:val="1"/>
                <w:bCs w:val="1"/>
                <w:color w:val="auto"/>
              </w:rPr>
              <w:t>Lon Ensler</w:t>
            </w:r>
          </w:p>
        </w:tc>
        <w:tc>
          <w:tcPr>
            <w:tcW w:w="0" w:type="dxa"/>
            <w:vAlign w:val="bottom"/>
          </w:tcPr>
          <w:p>
            <w:pPr>
              <w:spacing w:after="0"/>
              <w:rPr>
                <w:sz w:val="1"/>
                <w:szCs w:val="1"/>
                <w:color w:val="auto"/>
              </w:rPr>
            </w:pPr>
          </w:p>
        </w:tc>
      </w:tr>
      <w:tr>
        <w:trPr>
          <w:trHeight w:val="108"/>
        </w:trPr>
        <w:tc>
          <w:tcPr>
            <w:tcW w:w="3380" w:type="dxa"/>
            <w:vAlign w:val="bottom"/>
            <w:vMerge w:val="restart"/>
          </w:tcPr>
          <w:p>
            <w:pPr>
              <w:jc w:val="center"/>
              <w:ind w:right="430"/>
              <w:spacing w:after="0"/>
              <w:rPr>
                <w:sz w:val="20"/>
                <w:szCs w:val="20"/>
                <w:color w:val="auto"/>
              </w:rPr>
            </w:pPr>
            <w:r>
              <w:rPr>
                <w:rFonts w:ascii="Times New Roman" w:cs="Times New Roman" w:eastAsia="Times New Roman" w:hAnsi="Times New Roman"/>
                <w:sz w:val="18"/>
                <w:szCs w:val="18"/>
                <w:b w:val="1"/>
                <w:bCs w:val="1"/>
                <w:color w:val="auto"/>
                <w:w w:val="99"/>
              </w:rPr>
              <w:t>Bradley Arant Boult Cummings LLP</w:t>
            </w:r>
          </w:p>
        </w:tc>
        <w:tc>
          <w:tcPr>
            <w:tcW w:w="48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380" w:type="dxa"/>
            <w:vAlign w:val="bottom"/>
            <w:vMerge w:val="continue"/>
          </w:tcPr>
          <w:p>
            <w:pPr>
              <w:spacing w:after="0"/>
              <w:rPr>
                <w:sz w:val="9"/>
                <w:szCs w:val="9"/>
                <w:color w:val="auto"/>
              </w:rPr>
            </w:pPr>
          </w:p>
        </w:tc>
        <w:tc>
          <w:tcPr>
            <w:tcW w:w="4800" w:type="dxa"/>
            <w:vAlign w:val="bottom"/>
            <w:vMerge w:val="restart"/>
          </w:tcPr>
          <w:p>
            <w:pPr>
              <w:jc w:val="center"/>
              <w:ind w:left="2650"/>
              <w:spacing w:after="0"/>
              <w:rPr>
                <w:sz w:val="20"/>
                <w:szCs w:val="20"/>
                <w:color w:val="auto"/>
              </w:rPr>
            </w:pPr>
            <w:r>
              <w:rPr>
                <w:rFonts w:ascii="Times New Roman" w:cs="Times New Roman" w:eastAsia="Times New Roman" w:hAnsi="Times New Roman"/>
                <w:sz w:val="18"/>
                <w:szCs w:val="18"/>
                <w:b w:val="1"/>
                <w:bCs w:val="1"/>
                <w:color w:val="auto"/>
                <w:w w:val="99"/>
              </w:rPr>
              <w:t>Chief Financial Officer</w:t>
            </w:r>
          </w:p>
        </w:tc>
        <w:tc>
          <w:tcPr>
            <w:tcW w:w="0" w:type="dxa"/>
            <w:vAlign w:val="bottom"/>
          </w:tcPr>
          <w:p>
            <w:pPr>
              <w:spacing w:after="0"/>
              <w:rPr>
                <w:sz w:val="1"/>
                <w:szCs w:val="1"/>
                <w:color w:val="auto"/>
              </w:rPr>
            </w:pPr>
          </w:p>
        </w:tc>
      </w:tr>
      <w:tr>
        <w:trPr>
          <w:trHeight w:val="108"/>
        </w:trPr>
        <w:tc>
          <w:tcPr>
            <w:tcW w:w="3380" w:type="dxa"/>
            <w:vAlign w:val="bottom"/>
            <w:vMerge w:val="restart"/>
          </w:tcPr>
          <w:p>
            <w:pPr>
              <w:jc w:val="center"/>
              <w:ind w:right="450"/>
              <w:spacing w:after="0"/>
              <w:rPr>
                <w:sz w:val="20"/>
                <w:szCs w:val="20"/>
                <w:color w:val="auto"/>
              </w:rPr>
            </w:pPr>
            <w:r>
              <w:rPr>
                <w:rFonts w:ascii="Times New Roman" w:cs="Times New Roman" w:eastAsia="Times New Roman" w:hAnsi="Times New Roman"/>
                <w:sz w:val="18"/>
                <w:szCs w:val="18"/>
                <w:b w:val="1"/>
                <w:bCs w:val="1"/>
                <w:color w:val="auto"/>
                <w:w w:val="98"/>
              </w:rPr>
              <w:t>ONE 22 ONE</w:t>
            </w:r>
          </w:p>
        </w:tc>
        <w:tc>
          <w:tcPr>
            <w:tcW w:w="48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380" w:type="dxa"/>
            <w:vAlign w:val="bottom"/>
            <w:vMerge w:val="continue"/>
          </w:tcPr>
          <w:p>
            <w:pPr>
              <w:spacing w:after="0"/>
              <w:rPr>
                <w:sz w:val="9"/>
                <w:szCs w:val="9"/>
                <w:color w:val="auto"/>
              </w:rPr>
            </w:pPr>
          </w:p>
        </w:tc>
        <w:tc>
          <w:tcPr>
            <w:tcW w:w="4800" w:type="dxa"/>
            <w:vAlign w:val="bottom"/>
            <w:vMerge w:val="restart"/>
          </w:tcPr>
          <w:p>
            <w:pPr>
              <w:jc w:val="center"/>
              <w:ind w:left="2650"/>
              <w:spacing w:after="0"/>
              <w:rPr>
                <w:sz w:val="20"/>
                <w:szCs w:val="20"/>
                <w:color w:val="auto"/>
              </w:rPr>
            </w:pPr>
            <w:r>
              <w:rPr>
                <w:rFonts w:ascii="Times New Roman" w:cs="Times New Roman" w:eastAsia="Times New Roman" w:hAnsi="Times New Roman"/>
                <w:sz w:val="18"/>
                <w:szCs w:val="18"/>
                <w:b w:val="1"/>
                <w:bCs w:val="1"/>
                <w:color w:val="auto"/>
                <w:w w:val="99"/>
              </w:rPr>
              <w:t>1762 Automation Parkway</w:t>
            </w:r>
          </w:p>
        </w:tc>
        <w:tc>
          <w:tcPr>
            <w:tcW w:w="0" w:type="dxa"/>
            <w:vAlign w:val="bottom"/>
          </w:tcPr>
          <w:p>
            <w:pPr>
              <w:spacing w:after="0"/>
              <w:rPr>
                <w:sz w:val="1"/>
                <w:szCs w:val="1"/>
                <w:color w:val="auto"/>
              </w:rPr>
            </w:pPr>
          </w:p>
        </w:tc>
      </w:tr>
      <w:tr>
        <w:trPr>
          <w:trHeight w:val="108"/>
        </w:trPr>
        <w:tc>
          <w:tcPr>
            <w:tcW w:w="3380" w:type="dxa"/>
            <w:vAlign w:val="bottom"/>
            <w:vMerge w:val="restart"/>
          </w:tcPr>
          <w:p>
            <w:pPr>
              <w:jc w:val="center"/>
              <w:ind w:right="450"/>
              <w:spacing w:after="0"/>
              <w:rPr>
                <w:sz w:val="20"/>
                <w:szCs w:val="20"/>
                <w:color w:val="auto"/>
              </w:rPr>
            </w:pPr>
            <w:r>
              <w:rPr>
                <w:rFonts w:ascii="Times New Roman" w:cs="Times New Roman" w:eastAsia="Times New Roman" w:hAnsi="Times New Roman"/>
                <w:sz w:val="18"/>
                <w:szCs w:val="18"/>
                <w:b w:val="1"/>
                <w:bCs w:val="1"/>
                <w:color w:val="auto"/>
              </w:rPr>
              <w:t>1221 Broadway</w:t>
            </w:r>
          </w:p>
        </w:tc>
        <w:tc>
          <w:tcPr>
            <w:tcW w:w="48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380" w:type="dxa"/>
            <w:vAlign w:val="bottom"/>
            <w:vMerge w:val="continue"/>
          </w:tcPr>
          <w:p>
            <w:pPr>
              <w:spacing w:after="0"/>
              <w:rPr>
                <w:sz w:val="9"/>
                <w:szCs w:val="9"/>
                <w:color w:val="auto"/>
              </w:rPr>
            </w:pPr>
          </w:p>
        </w:tc>
        <w:tc>
          <w:tcPr>
            <w:tcW w:w="4800" w:type="dxa"/>
            <w:vAlign w:val="bottom"/>
            <w:vMerge w:val="restart"/>
          </w:tcPr>
          <w:p>
            <w:pPr>
              <w:jc w:val="center"/>
              <w:ind w:left="2650"/>
              <w:spacing w:after="0"/>
              <w:rPr>
                <w:sz w:val="20"/>
                <w:szCs w:val="20"/>
                <w:color w:val="auto"/>
              </w:rPr>
            </w:pPr>
            <w:r>
              <w:rPr>
                <w:rFonts w:ascii="Times New Roman" w:cs="Times New Roman" w:eastAsia="Times New Roman" w:hAnsi="Times New Roman"/>
                <w:sz w:val="18"/>
                <w:szCs w:val="18"/>
                <w:b w:val="1"/>
                <w:bCs w:val="1"/>
                <w:color w:val="auto"/>
                <w:w w:val="99"/>
              </w:rPr>
              <w:t>San Jose, CA 95131</w:t>
            </w:r>
          </w:p>
        </w:tc>
        <w:tc>
          <w:tcPr>
            <w:tcW w:w="0" w:type="dxa"/>
            <w:vAlign w:val="bottom"/>
          </w:tcPr>
          <w:p>
            <w:pPr>
              <w:spacing w:after="0"/>
              <w:rPr>
                <w:sz w:val="1"/>
                <w:szCs w:val="1"/>
                <w:color w:val="auto"/>
              </w:rPr>
            </w:pPr>
          </w:p>
        </w:tc>
      </w:tr>
      <w:tr>
        <w:trPr>
          <w:trHeight w:val="108"/>
        </w:trPr>
        <w:tc>
          <w:tcPr>
            <w:tcW w:w="3380" w:type="dxa"/>
            <w:vAlign w:val="bottom"/>
            <w:vMerge w:val="restart"/>
          </w:tcPr>
          <w:p>
            <w:pPr>
              <w:jc w:val="center"/>
              <w:ind w:right="430"/>
              <w:spacing w:after="0"/>
              <w:rPr>
                <w:sz w:val="20"/>
                <w:szCs w:val="20"/>
                <w:color w:val="auto"/>
              </w:rPr>
            </w:pPr>
            <w:r>
              <w:rPr>
                <w:rFonts w:ascii="Times New Roman" w:cs="Times New Roman" w:eastAsia="Times New Roman" w:hAnsi="Times New Roman"/>
                <w:sz w:val="18"/>
                <w:szCs w:val="18"/>
                <w:b w:val="1"/>
                <w:bCs w:val="1"/>
                <w:color w:val="auto"/>
                <w:w w:val="99"/>
              </w:rPr>
              <w:t>Nashville, Tennessee 37203</w:t>
            </w:r>
          </w:p>
        </w:tc>
        <w:tc>
          <w:tcPr>
            <w:tcW w:w="48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380" w:type="dxa"/>
            <w:vAlign w:val="bottom"/>
            <w:vMerge w:val="continue"/>
          </w:tcPr>
          <w:p>
            <w:pPr>
              <w:spacing w:after="0"/>
              <w:rPr>
                <w:sz w:val="9"/>
                <w:szCs w:val="9"/>
                <w:color w:val="auto"/>
              </w:rPr>
            </w:pPr>
          </w:p>
        </w:tc>
        <w:tc>
          <w:tcPr>
            <w:tcW w:w="4800" w:type="dxa"/>
            <w:vAlign w:val="bottom"/>
            <w:vMerge w:val="restart"/>
          </w:tcPr>
          <w:p>
            <w:pPr>
              <w:jc w:val="center"/>
              <w:ind w:left="2650"/>
              <w:spacing w:after="0"/>
              <w:rPr>
                <w:sz w:val="20"/>
                <w:szCs w:val="20"/>
                <w:color w:val="auto"/>
              </w:rPr>
            </w:pPr>
            <w:r>
              <w:rPr>
                <w:rFonts w:ascii="Times New Roman" w:cs="Times New Roman" w:eastAsia="Times New Roman" w:hAnsi="Times New Roman"/>
                <w:sz w:val="18"/>
                <w:szCs w:val="18"/>
                <w:b w:val="1"/>
                <w:bCs w:val="1"/>
                <w:color w:val="auto"/>
                <w:w w:val="99"/>
              </w:rPr>
              <w:t>Telephone: (650) 564-7820</w:t>
            </w:r>
          </w:p>
        </w:tc>
        <w:tc>
          <w:tcPr>
            <w:tcW w:w="0" w:type="dxa"/>
            <w:vAlign w:val="bottom"/>
          </w:tcPr>
          <w:p>
            <w:pPr>
              <w:spacing w:after="0"/>
              <w:rPr>
                <w:sz w:val="1"/>
                <w:szCs w:val="1"/>
                <w:color w:val="auto"/>
              </w:rPr>
            </w:pPr>
          </w:p>
        </w:tc>
      </w:tr>
      <w:tr>
        <w:trPr>
          <w:trHeight w:val="130"/>
        </w:trPr>
        <w:tc>
          <w:tcPr>
            <w:tcW w:w="3380" w:type="dxa"/>
            <w:vAlign w:val="bottom"/>
            <w:vMerge w:val="restart"/>
          </w:tcPr>
          <w:p>
            <w:pPr>
              <w:jc w:val="center"/>
              <w:ind w:right="450"/>
              <w:spacing w:after="0"/>
              <w:rPr>
                <w:sz w:val="20"/>
                <w:szCs w:val="20"/>
                <w:color w:val="auto"/>
              </w:rPr>
            </w:pPr>
            <w:r>
              <w:rPr>
                <w:rFonts w:ascii="Times New Roman" w:cs="Times New Roman" w:eastAsia="Times New Roman" w:hAnsi="Times New Roman"/>
                <w:sz w:val="18"/>
                <w:szCs w:val="18"/>
                <w:b w:val="1"/>
                <w:bCs w:val="1"/>
                <w:color w:val="auto"/>
                <w:w w:val="98"/>
              </w:rPr>
              <w:t>Telephone: (615) 244-2582</w:t>
            </w:r>
          </w:p>
        </w:tc>
        <w:tc>
          <w:tcPr>
            <w:tcW w:w="48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3380" w:type="dxa"/>
            <w:vAlign w:val="bottom"/>
            <w:vMerge w:val="continue"/>
          </w:tcPr>
          <w:p>
            <w:pPr>
              <w:spacing w:after="0"/>
              <w:rPr>
                <w:sz w:val="9"/>
                <w:szCs w:val="9"/>
                <w:color w:val="auto"/>
              </w:rPr>
            </w:pPr>
          </w:p>
        </w:tc>
        <w:tc>
          <w:tcPr>
            <w:tcW w:w="48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98" w:lineRule="exact"/>
        <w:rPr>
          <w:sz w:val="24"/>
          <w:szCs w:val="24"/>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135" w:lineRule="exact"/>
        <w:rPr>
          <w:sz w:val="24"/>
          <w:szCs w:val="24"/>
          <w:color w:val="auto"/>
        </w:rPr>
      </w:pPr>
    </w:p>
    <w:tbl>
      <w:tblPr>
        <w:tblLayout w:type="fixed"/>
        <w:tblInd w:w="0" w:type="dxa"/>
        <w:tblCellMar>
          <w:top w:w="0" w:type="dxa"/>
          <w:left w:w="0" w:type="dxa"/>
          <w:bottom w:w="0" w:type="dxa"/>
          <w:right w:w="0" w:type="dxa"/>
        </w:tblCellMar>
      </w:tblPr>
      <w:tr>
        <w:trPr>
          <w:trHeight w:val="221"/>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220" w:type="dxa"/>
            <w:vAlign w:val="bottom"/>
          </w:tcPr>
          <w:p>
            <w:pPr>
              <w:ind w:left="320"/>
              <w:spacing w:after="0" w:line="181" w:lineRule="exact"/>
              <w:rPr>
                <w:sz w:val="20"/>
                <w:szCs w:val="20"/>
                <w:color w:val="auto"/>
              </w:rPr>
            </w:pPr>
            <w:r>
              <w:rPr>
                <w:rFonts w:ascii="MS PGothic" w:cs="MS PGothic" w:eastAsia="MS PGothic" w:hAnsi="MS PGothic"/>
                <w:sz w:val="18"/>
                <w:szCs w:val="18"/>
                <w:color w:val="auto"/>
              </w:rPr>
              <w:t>☐</w:t>
            </w:r>
          </w:p>
        </w:tc>
        <w:tc>
          <w:tcPr>
            <w:tcW w:w="5100" w:type="dxa"/>
            <w:vAlign w:val="bottom"/>
          </w:tcPr>
          <w:p>
            <w:pPr>
              <w:ind w:left="2720"/>
              <w:spacing w:after="0"/>
              <w:rPr>
                <w:sz w:val="20"/>
                <w:szCs w:val="20"/>
                <w:color w:val="auto"/>
              </w:rPr>
            </w:pPr>
            <w:r>
              <w:rPr>
                <w:rFonts w:ascii="Times New Roman" w:cs="Times New Roman" w:eastAsia="Times New Roman" w:hAnsi="Times New Roman"/>
                <w:sz w:val="18"/>
                <w:szCs w:val="18"/>
                <w:color w:val="auto"/>
              </w:rPr>
              <w:t>Accelerated filer</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220" w:type="dxa"/>
            <w:vAlign w:val="bottom"/>
          </w:tcPr>
          <w:p>
            <w:pPr>
              <w:ind w:left="320"/>
              <w:spacing w:after="0" w:line="181" w:lineRule="exact"/>
              <w:rPr>
                <w:sz w:val="20"/>
                <w:szCs w:val="20"/>
                <w:color w:val="auto"/>
              </w:rPr>
            </w:pPr>
            <w:r>
              <w:rPr>
                <w:rFonts w:ascii="MS PGothic" w:cs="MS PGothic" w:eastAsia="MS PGothic" w:hAnsi="MS PGothic"/>
                <w:sz w:val="18"/>
                <w:szCs w:val="18"/>
                <w:color w:val="auto"/>
              </w:rPr>
              <w:t>☒</w:t>
            </w:r>
          </w:p>
        </w:tc>
        <w:tc>
          <w:tcPr>
            <w:tcW w:w="5100" w:type="dxa"/>
            <w:vAlign w:val="bottom"/>
          </w:tcPr>
          <w:p>
            <w:pPr>
              <w:ind w:left="272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194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5100" w:type="dxa"/>
            <w:vAlign w:val="bottom"/>
          </w:tcPr>
          <w:p>
            <w:pPr>
              <w:ind w:left="2720"/>
              <w:spacing w:after="0"/>
              <w:rPr>
                <w:sz w:val="20"/>
                <w:szCs w:val="20"/>
                <w:color w:val="auto"/>
              </w:rPr>
            </w:pPr>
            <w:r>
              <w:rPr>
                <w:rFonts w:ascii="Times New Roman" w:cs="Times New Roman" w:eastAsia="Times New Roman" w:hAnsi="Times New Roman"/>
                <w:sz w:val="18"/>
                <w:szCs w:val="18"/>
                <w:color w:val="auto"/>
              </w:rPr>
              <w:t>Emerging growth company</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65"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265430</wp:posOffset>
            </wp:positionV>
            <wp:extent cx="7132320"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5" w:right="339" w:bottom="1121"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EXPLANATORY NOTE</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This Registration Statement on Form S-8 is being filed by Momentus Inc.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to register 500,000 additional shares of the Company’s Class A Common Stock, par value $0.00001 per share (“</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 reserved for issuance under the Company’s 2021 Equity Incentive Plan (the “</w:t>
      </w:r>
      <w:r>
        <w:rPr>
          <w:rFonts w:ascii="Times New Roman" w:cs="Times New Roman" w:eastAsia="Times New Roman" w:hAnsi="Times New Roman"/>
          <w:sz w:val="18"/>
          <w:szCs w:val="18"/>
          <w:b w:val="1"/>
          <w:bCs w:val="1"/>
          <w:color w:val="auto"/>
        </w:rPr>
        <w:t>2021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Plan</w:t>
      </w:r>
      <w:r>
        <w:rPr>
          <w:rFonts w:ascii="Times New Roman" w:cs="Times New Roman" w:eastAsia="Times New Roman" w:hAnsi="Times New Roman"/>
          <w:sz w:val="18"/>
          <w:szCs w:val="18"/>
          <w:color w:val="auto"/>
        </w:rPr>
        <w:t>”), which was approved by our stockholders at the 2026 Annual Meeting of Stockholders held on May 19, 2026.</w:t>
      </w:r>
    </w:p>
    <w:p>
      <w:pPr>
        <w:spacing w:after="0" w:line="175" w:lineRule="exact"/>
        <w:rPr>
          <w:sz w:val="20"/>
          <w:szCs w:val="20"/>
          <w:color w:val="auto"/>
        </w:rPr>
      </w:pPr>
    </w:p>
    <w:p>
      <w:pPr>
        <w:jc w:val="both"/>
        <w:spacing w:after="0" w:line="220" w:lineRule="exact"/>
        <w:rPr>
          <w:sz w:val="20"/>
          <w:szCs w:val="20"/>
          <w:color w:val="auto"/>
        </w:rPr>
      </w:pPr>
      <w:r>
        <w:rPr>
          <w:rFonts w:ascii="Times New Roman" w:cs="Times New Roman" w:eastAsia="Times New Roman" w:hAnsi="Times New Roman"/>
          <w:sz w:val="18"/>
          <w:szCs w:val="18"/>
          <w:color w:val="auto"/>
        </w:rPr>
        <w:t>Pursuant to General Instruction E regarding Registration of Additional Securities, the contents of the Registration Statements on Form S-8 filed with the Securities and Exchange Commission (the “</w:t>
      </w:r>
      <w:r>
        <w:rPr>
          <w:rFonts w:ascii="Times New Roman" w:cs="Times New Roman" w:eastAsia="Times New Roman" w:hAnsi="Times New Roman"/>
          <w:sz w:val="18"/>
          <w:szCs w:val="18"/>
          <w:b w:val="1"/>
          <w:bCs w:val="1"/>
          <w:color w:val="auto"/>
        </w:rPr>
        <w:t>Commission</w:t>
      </w:r>
      <w:r>
        <w:rPr>
          <w:rFonts w:ascii="Times New Roman" w:cs="Times New Roman" w:eastAsia="Times New Roman" w:hAnsi="Times New Roman"/>
          <w:sz w:val="18"/>
          <w:szCs w:val="18"/>
          <w:color w:val="auto"/>
        </w:rPr>
        <w:t>”) on February 2, 2026 (Registration No. 333</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293128), May 30, 2025 (Registration No. 333</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287706), March 23, 2023 (Registration No. 333</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270762), March 14, 2022 (Registration No. 333-263524), and October 18, 2021 (Registration No. 333-260331) are incorporated by reference herein except as otherwise updated or modified by this filing. All exhibits required by General Instruction E to Form S-8 are filed as exhibits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250825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PART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INFORMATION REQUIRED IN THE REGISTRATION STATEMENT</w:t>
      </w:r>
    </w:p>
    <w:p>
      <w:pPr>
        <w:spacing w:after="0" w:line="203"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Incorporation of Documents by Reference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Registrant hereby incorporates by reference into this Registration Statement the following documents previously filed with the Commission (other than information in a report on Form 8-K that is furnished and not filed pursuant to Form 8-K and, except as may be noted in any such Form 8-K, exhibits filed on such form that are related to such information):</w:t>
      </w:r>
    </w:p>
    <w:p>
      <w:pPr>
        <w:spacing w:after="0" w:line="172" w:lineRule="exact"/>
        <w:rPr>
          <w:sz w:val="20"/>
          <w:szCs w:val="20"/>
          <w:color w:val="auto"/>
        </w:rPr>
      </w:pPr>
    </w:p>
    <w:p>
      <w:pPr>
        <w:ind w:left="900" w:hanging="406"/>
        <w:spacing w:after="0" w:line="286" w:lineRule="auto"/>
        <w:tabs>
          <w:tab w:leader="none" w:pos="9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Registrant’s </w:t>
      </w:r>
      <w:hyperlink r:id="rId20">
        <w:r>
          <w:rPr>
            <w:rFonts w:ascii="Times New Roman" w:cs="Times New Roman" w:eastAsia="Times New Roman" w:hAnsi="Times New Roman"/>
            <w:sz w:val="18"/>
            <w:szCs w:val="18"/>
            <w:u w:val="single" w:color="auto"/>
            <w:color w:val="0000EE"/>
          </w:rPr>
          <w:t>Annual Report on 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fiscal year ended December 31, 2025 (the “</w:t>
      </w:r>
      <w:r>
        <w:rPr>
          <w:rFonts w:ascii="Times New Roman" w:cs="Times New Roman" w:eastAsia="Times New Roman" w:hAnsi="Times New Roman"/>
          <w:sz w:val="18"/>
          <w:szCs w:val="18"/>
          <w:b w:val="1"/>
          <w:bCs w:val="1"/>
          <w:color w:val="auto"/>
        </w:rPr>
        <w:t>Annual Report</w:t>
      </w:r>
      <w:r>
        <w:rPr>
          <w:rFonts w:ascii="Times New Roman" w:cs="Times New Roman" w:eastAsia="Times New Roman" w:hAnsi="Times New Roman"/>
          <w:sz w:val="18"/>
          <w:szCs w:val="18"/>
          <w:color w:val="auto"/>
        </w:rPr>
        <w:t>”), filed with the Commission on March 31, 2026;</w:t>
      </w:r>
    </w:p>
    <w:p>
      <w:pPr>
        <w:spacing w:after="0" w:line="158" w:lineRule="exact"/>
        <w:rPr>
          <w:rFonts w:ascii="Times New Roman" w:cs="Times New Roman" w:eastAsia="Times New Roman" w:hAnsi="Times New Roman"/>
          <w:sz w:val="18"/>
          <w:szCs w:val="18"/>
          <w:color w:val="auto"/>
        </w:rPr>
      </w:pPr>
    </w:p>
    <w:p>
      <w:pPr>
        <w:ind w:left="900" w:hanging="406"/>
        <w:spacing w:after="0"/>
        <w:tabs>
          <w:tab w:leader="none" w:pos="9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w:t>
      </w:r>
      <w:hyperlink r:id="rId21">
        <w:r>
          <w:rPr>
            <w:rFonts w:ascii="Times New Roman" w:cs="Times New Roman" w:eastAsia="Times New Roman" w:hAnsi="Times New Roman"/>
            <w:sz w:val="18"/>
            <w:szCs w:val="18"/>
            <w:u w:val="single" w:color="auto"/>
            <w:color w:val="0000EE"/>
          </w:rPr>
          <w:t>Definitive Proxy Statement on Schedule 14A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filed with the Commission on April 10, 2026;</w:t>
      </w:r>
    </w:p>
    <w:p>
      <w:pPr>
        <w:spacing w:after="0" w:line="225" w:lineRule="exact"/>
        <w:rPr>
          <w:rFonts w:ascii="Times New Roman" w:cs="Times New Roman" w:eastAsia="Times New Roman" w:hAnsi="Times New Roman"/>
          <w:sz w:val="18"/>
          <w:szCs w:val="18"/>
          <w:color w:val="auto"/>
        </w:rPr>
      </w:pPr>
    </w:p>
    <w:p>
      <w:pPr>
        <w:ind w:left="900" w:hanging="406"/>
        <w:spacing w:after="0"/>
        <w:tabs>
          <w:tab w:leader="none" w:pos="9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w:t>
      </w:r>
      <w:hyperlink r:id="rId22">
        <w:r>
          <w:rPr>
            <w:rFonts w:ascii="Times New Roman" w:cs="Times New Roman" w:eastAsia="Times New Roman" w:hAnsi="Times New Roman"/>
            <w:sz w:val="18"/>
            <w:szCs w:val="18"/>
            <w:u w:val="single" w:color="auto"/>
            <w:color w:val="0000EE"/>
          </w:rPr>
          <w:t>Quarterly Report on Form 10-Q</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quarterly period ended March 31, 2026, filed with the Commission on May 13, 2026;</w:t>
      </w:r>
    </w:p>
    <w:p>
      <w:pPr>
        <w:spacing w:after="0" w:line="225" w:lineRule="exact"/>
        <w:rPr>
          <w:rFonts w:ascii="Times New Roman" w:cs="Times New Roman" w:eastAsia="Times New Roman" w:hAnsi="Times New Roman"/>
          <w:sz w:val="18"/>
          <w:szCs w:val="18"/>
          <w:color w:val="auto"/>
        </w:rPr>
      </w:pPr>
    </w:p>
    <w:p>
      <w:pPr>
        <w:jc w:val="both"/>
        <w:ind w:left="900" w:hanging="406"/>
        <w:spacing w:after="0" w:line="266" w:lineRule="auto"/>
        <w:tabs>
          <w:tab w:leader="none" w:pos="9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reports filed by the Registrant with the Commission pursuant to Sections 13(a), 13(c), 14 and 15(d) of the Securities Exchange Act of 1934, as amended (the “</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(other than the reports, or portions thereof, deemed to have been furnished and not filed with the Commission) since the end of the fiscal year covered by the Annual Report referred to in (i) above;</w:t>
      </w:r>
    </w:p>
    <w:p>
      <w:pPr>
        <w:spacing w:after="0" w:line="175" w:lineRule="exact"/>
        <w:rPr>
          <w:rFonts w:ascii="Times New Roman" w:cs="Times New Roman" w:eastAsia="Times New Roman" w:hAnsi="Times New Roman"/>
          <w:sz w:val="18"/>
          <w:szCs w:val="18"/>
          <w:color w:val="auto"/>
        </w:rPr>
      </w:pPr>
    </w:p>
    <w:p>
      <w:pPr>
        <w:ind w:left="900" w:hanging="406"/>
        <w:spacing w:after="0" w:line="282" w:lineRule="auto"/>
        <w:tabs>
          <w:tab w:leader="none" w:pos="9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securities contained in </w:t>
      </w:r>
      <w:hyperlink r:id="rId23">
        <w:r>
          <w:rPr>
            <w:rFonts w:ascii="Times New Roman" w:cs="Times New Roman" w:eastAsia="Times New Roman" w:hAnsi="Times New Roman"/>
            <w:sz w:val="18"/>
            <w:szCs w:val="18"/>
            <w:u w:val="single" w:color="auto"/>
            <w:color w:val="0000EE"/>
          </w:rPr>
          <w:t>Exhibit 4.19</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our Registration Statement on Form S-1, as filed with the Commission on April 22, 2025, and including any further amendment or report filed for the purpose of updating such description; and</w:t>
      </w:r>
    </w:p>
    <w:p>
      <w:pPr>
        <w:spacing w:after="0" w:line="161" w:lineRule="exact"/>
        <w:rPr>
          <w:rFonts w:ascii="Times New Roman" w:cs="Times New Roman" w:eastAsia="Times New Roman" w:hAnsi="Times New Roman"/>
          <w:sz w:val="18"/>
          <w:szCs w:val="18"/>
          <w:color w:val="auto"/>
        </w:rPr>
      </w:pPr>
    </w:p>
    <w:p>
      <w:pPr>
        <w:ind w:left="900" w:hanging="406"/>
        <w:spacing w:after="0" w:line="282" w:lineRule="auto"/>
        <w:tabs>
          <w:tab w:leader="none" w:pos="900" w:val="left"/>
        </w:tabs>
        <w:numPr>
          <w:ilvl w:val="0"/>
          <w:numId w:val="1"/>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our Current Reports filed on Form 8-K with the Commission on </w:t>
      </w:r>
      <w:hyperlink r:id="rId24">
        <w:r>
          <w:rPr>
            <w:rFonts w:ascii="Times New Roman" w:cs="Times New Roman" w:eastAsia="Times New Roman" w:hAnsi="Times New Roman"/>
            <w:sz w:val="18"/>
            <w:szCs w:val="18"/>
            <w:u w:val="single" w:color="auto"/>
            <w:color w:val="0000EE"/>
          </w:rPr>
          <w:t>January 9, 2026</w:t>
        </w:r>
      </w:hyperlink>
      <w:r>
        <w:rPr>
          <w:rFonts w:ascii="Times New Roman" w:cs="Times New Roman" w:eastAsia="Times New Roman" w:hAnsi="Times New Roman"/>
          <w:sz w:val="18"/>
          <w:szCs w:val="18"/>
          <w:color w:val="auto"/>
        </w:rPr>
        <w:t xml:space="preserve">, </w:t>
      </w:r>
      <w:hyperlink r:id="rId25">
        <w:r>
          <w:rPr>
            <w:rFonts w:ascii="Times New Roman" w:cs="Times New Roman" w:eastAsia="Times New Roman" w:hAnsi="Times New Roman"/>
            <w:sz w:val="18"/>
            <w:szCs w:val="18"/>
            <w:u w:val="single" w:color="auto"/>
            <w:color w:val="0000EE"/>
          </w:rPr>
          <w:t>January 13, 2026</w:t>
        </w:r>
      </w:hyperlink>
      <w:r>
        <w:rPr>
          <w:rFonts w:ascii="Times New Roman" w:cs="Times New Roman" w:eastAsia="Times New Roman" w:hAnsi="Times New Roman"/>
          <w:sz w:val="18"/>
          <w:szCs w:val="18"/>
          <w:color w:val="auto"/>
        </w:rPr>
        <w:t xml:space="preserve">, </w:t>
      </w:r>
      <w:hyperlink r:id="rId26">
        <w:r>
          <w:rPr>
            <w:rFonts w:ascii="Times New Roman" w:cs="Times New Roman" w:eastAsia="Times New Roman" w:hAnsi="Times New Roman"/>
            <w:sz w:val="18"/>
            <w:szCs w:val="18"/>
            <w:u w:val="single" w:color="auto"/>
            <w:color w:val="0000EE"/>
          </w:rPr>
          <w:t>February 12, 2026</w:t>
        </w:r>
      </w:hyperlink>
      <w:r>
        <w:rPr>
          <w:rFonts w:ascii="Times New Roman" w:cs="Times New Roman" w:eastAsia="Times New Roman" w:hAnsi="Times New Roman"/>
          <w:sz w:val="18"/>
          <w:szCs w:val="18"/>
          <w:color w:val="auto"/>
        </w:rPr>
        <w:t xml:space="preserve">, </w:t>
      </w:r>
      <w:hyperlink r:id="rId27">
        <w:r>
          <w:rPr>
            <w:rFonts w:ascii="Times New Roman" w:cs="Times New Roman" w:eastAsia="Times New Roman" w:hAnsi="Times New Roman"/>
            <w:sz w:val="18"/>
            <w:szCs w:val="18"/>
            <w:u w:val="single" w:color="auto"/>
            <w:color w:val="0000EE"/>
          </w:rPr>
          <w:t>February 20, 2026</w:t>
        </w:r>
      </w:hyperlink>
      <w:r>
        <w:rPr>
          <w:rFonts w:ascii="Times New Roman" w:cs="Times New Roman" w:eastAsia="Times New Roman" w:hAnsi="Times New Roman"/>
          <w:sz w:val="18"/>
          <w:szCs w:val="18"/>
          <w:color w:val="auto"/>
        </w:rPr>
        <w:t xml:space="preserve">, </w:t>
      </w:r>
      <w:hyperlink r:id="rId28">
        <w:r>
          <w:rPr>
            <w:rFonts w:ascii="Times New Roman" w:cs="Times New Roman" w:eastAsia="Times New Roman" w:hAnsi="Times New Roman"/>
            <w:sz w:val="18"/>
            <w:szCs w:val="18"/>
            <w:u w:val="single" w:color="auto"/>
            <w:color w:val="0000EE"/>
          </w:rPr>
          <w:t>April 13, 2026</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29">
        <w:r>
          <w:rPr>
            <w:rFonts w:ascii="Times New Roman" w:cs="Times New Roman" w:eastAsia="Times New Roman" w:hAnsi="Times New Roman"/>
            <w:sz w:val="18"/>
            <w:szCs w:val="18"/>
            <w:u w:val="single" w:color="auto"/>
            <w:color w:val="0000EE"/>
          </w:rPr>
          <w:t>April 16, 2026</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30">
        <w:r>
          <w:rPr>
            <w:rFonts w:ascii="Times New Roman" w:cs="Times New Roman" w:eastAsia="Times New Roman" w:hAnsi="Times New Roman"/>
            <w:sz w:val="18"/>
            <w:szCs w:val="18"/>
            <w:u w:val="single" w:color="auto"/>
            <w:color w:val="0000EE"/>
          </w:rPr>
          <w:t>April 20, 2026</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31">
        <w:r>
          <w:rPr>
            <w:rFonts w:ascii="Times New Roman" w:cs="Times New Roman" w:eastAsia="Times New Roman" w:hAnsi="Times New Roman"/>
            <w:sz w:val="18"/>
            <w:szCs w:val="18"/>
            <w:u w:val="single" w:color="auto"/>
            <w:color w:val="0000EE"/>
          </w:rPr>
          <w:t>May 5, 2026</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w:t>
      </w:r>
      <w:hyperlink r:id="rId32">
        <w:r>
          <w:rPr>
            <w:rFonts w:ascii="Times New Roman" w:cs="Times New Roman" w:eastAsia="Times New Roman" w:hAnsi="Times New Roman"/>
            <w:sz w:val="18"/>
            <w:szCs w:val="18"/>
            <w:u w:val="single" w:color="auto"/>
            <w:color w:val="0000EE"/>
          </w:rPr>
          <w:t>May 22, 2026</w:t>
        </w:r>
      </w:hyperlink>
      <w:r>
        <w:rPr>
          <w:rFonts w:ascii="Times New Roman" w:cs="Times New Roman" w:eastAsia="Times New Roman" w:hAnsi="Times New Roman"/>
          <w:sz w:val="18"/>
          <w:szCs w:val="18"/>
          <w:color w:val="000000"/>
        </w:rPr>
        <w:t>.</w:t>
      </w:r>
    </w:p>
    <w:p>
      <w:pPr>
        <w:spacing w:after="0" w:line="162" w:lineRule="exact"/>
        <w:rPr>
          <w:rFonts w:ascii="Times New Roman" w:cs="Times New Roman" w:eastAsia="Times New Roman" w:hAnsi="Times New Roman"/>
          <w:sz w:val="18"/>
          <w:szCs w:val="18"/>
          <w:color w:val="0000EE"/>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All documents filed by the Registrant pursuant to Sections 13(a), 13(c), 14, and 15(d) of the Exchange Act after the date of this Registration Statement and prior to the filing of a post-effective amendment which indicates that all securities offered hereby have been sold or which deregisters all securities then remaining unsold shall be deemed to be incorporated by reference into this Registration Statement and to be a part hereof from the date of filing of such documents; provided, however, that documents or information deemed to have been furnished, and exhibits furnished in connection with such items, and not filed in accordance with the rules of the Commission shall not be deemed incorporated by reference into this Registration Statement.</w:t>
      </w:r>
    </w:p>
    <w:p>
      <w:pPr>
        <w:spacing w:after="0" w:line="20" w:lineRule="exact"/>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0000EE"/>
        </w:rPr>
        <w:drawing>
          <wp:anchor simplePos="0" relativeHeight="251657728" behindDoc="1" locked="0" layoutInCell="0" allowOverlap="1">
            <wp:simplePos x="0" y="0"/>
            <wp:positionH relativeFrom="column">
              <wp:posOffset>5080</wp:posOffset>
            </wp:positionH>
            <wp:positionV relativeFrom="paragraph">
              <wp:posOffset>239395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8"/>
        </w:trPr>
        <w:tc>
          <w:tcPr>
            <w:tcW w:w="92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Item 8.</w:t>
            </w:r>
          </w:p>
        </w:tc>
        <w:tc>
          <w:tcPr>
            <w:tcW w:w="474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9"/>
        </w:trPr>
        <w:tc>
          <w:tcPr>
            <w:tcW w:w="92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0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0" w:type="dxa"/>
            <w:vAlign w:val="bottom"/>
            <w:gridSpan w:val="6"/>
          </w:tcPr>
          <w:p>
            <w:pPr>
              <w:ind w:left="440"/>
              <w:spacing w:after="0"/>
              <w:rPr>
                <w:sz w:val="20"/>
                <w:szCs w:val="20"/>
                <w:color w:val="auto"/>
              </w:rPr>
            </w:pPr>
            <w:r>
              <w:rPr>
                <w:rFonts w:ascii="Times New Roman" w:cs="Times New Roman" w:eastAsia="Times New Roman" w:hAnsi="Times New Roman"/>
                <w:sz w:val="18"/>
                <w:szCs w:val="18"/>
                <w:b w:val="1"/>
                <w:bCs w:val="1"/>
                <w:color w:val="auto"/>
              </w:rPr>
              <w:t>Incorporated by Reference</w:t>
            </w: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Filed</w:t>
            </w:r>
          </w:p>
        </w:tc>
        <w:tc>
          <w:tcPr>
            <w:tcW w:w="0" w:type="dxa"/>
            <w:vAlign w:val="bottom"/>
          </w:tcPr>
          <w:p>
            <w:pPr>
              <w:spacing w:after="0"/>
              <w:rPr>
                <w:sz w:val="1"/>
                <w:szCs w:val="1"/>
                <w:color w:val="auto"/>
              </w:rPr>
            </w:pPr>
          </w:p>
        </w:tc>
      </w:tr>
      <w:tr>
        <w:trPr>
          <w:trHeight w:val="180"/>
        </w:trPr>
        <w:tc>
          <w:tcPr>
            <w:tcW w:w="920" w:type="dxa"/>
            <w:vAlign w:val="bottom"/>
            <w:gridSpan w:val="4"/>
            <w:vMerge w:val="continue"/>
          </w:tcPr>
          <w:p>
            <w:pPr>
              <w:spacing w:after="0"/>
              <w:rPr>
                <w:sz w:val="15"/>
                <w:szCs w:val="15"/>
                <w:color w:val="auto"/>
              </w:rPr>
            </w:pPr>
          </w:p>
        </w:tc>
        <w:tc>
          <w:tcPr>
            <w:tcW w:w="100" w:type="dxa"/>
            <w:vAlign w:val="bottom"/>
          </w:tcPr>
          <w:p>
            <w:pPr>
              <w:spacing w:after="0"/>
              <w:rPr>
                <w:sz w:val="15"/>
                <w:szCs w:val="15"/>
                <w:color w:val="auto"/>
              </w:rPr>
            </w:pPr>
          </w:p>
        </w:tc>
        <w:tc>
          <w:tcPr>
            <w:tcW w:w="4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6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5"/>
        </w:trPr>
        <w:tc>
          <w:tcPr>
            <w:tcW w:w="92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0" w:type="dxa"/>
            <w:vAlign w:val="bottom"/>
          </w:tcPr>
          <w:p>
            <w:pPr>
              <w:spacing w:after="0"/>
              <w:rPr>
                <w:sz w:val="21"/>
                <w:szCs w:val="21"/>
                <w:color w:val="auto"/>
              </w:rPr>
            </w:pPr>
          </w:p>
        </w:tc>
        <w:tc>
          <w:tcPr>
            <w:tcW w:w="4640" w:type="dxa"/>
            <w:vAlign w:val="bottom"/>
            <w:gridSpan w:val="2"/>
          </w:tcPr>
          <w:p>
            <w:pPr>
              <w:ind w:left="1780"/>
              <w:spacing w:after="0"/>
              <w:rPr>
                <w:sz w:val="20"/>
                <w:szCs w:val="20"/>
                <w:color w:val="auto"/>
              </w:rPr>
            </w:pPr>
            <w:r>
              <w:rPr>
                <w:rFonts w:ascii="Times New Roman" w:cs="Times New Roman" w:eastAsia="Times New Roman" w:hAnsi="Times New Roman"/>
                <w:sz w:val="18"/>
                <w:szCs w:val="18"/>
                <w:b w:val="1"/>
                <w:bCs w:val="1"/>
                <w:color w:val="auto"/>
              </w:rPr>
              <w:t>Exhibit Title</w:t>
            </w:r>
          </w:p>
        </w:tc>
        <w:tc>
          <w:tcPr>
            <w:tcW w:w="7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Form</w:t>
            </w:r>
          </w:p>
        </w:tc>
        <w:tc>
          <w:tcPr>
            <w:tcW w:w="11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File No.</w:t>
            </w:r>
          </w:p>
        </w:tc>
        <w:tc>
          <w:tcPr>
            <w:tcW w:w="9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7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Herewith</w:t>
            </w:r>
          </w:p>
        </w:tc>
        <w:tc>
          <w:tcPr>
            <w:tcW w:w="0" w:type="dxa"/>
            <w:vAlign w:val="bottom"/>
          </w:tcPr>
          <w:p>
            <w:pPr>
              <w:spacing w:after="0"/>
              <w:rPr>
                <w:sz w:val="1"/>
                <w:szCs w:val="1"/>
                <w:color w:val="auto"/>
              </w:rPr>
            </w:pPr>
          </w:p>
        </w:tc>
      </w:tr>
      <w:tr>
        <w:trPr>
          <w:trHeight w:val="175"/>
        </w:trPr>
        <w:tc>
          <w:tcPr>
            <w:tcW w:w="320" w:type="dxa"/>
            <w:vAlign w:val="bottom"/>
            <w:tcBorders>
              <w:top w:val="single" w:sz="8" w:color="auto"/>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5.</w:t>
            </w:r>
            <w:r>
              <w:rPr>
                <w:rFonts w:ascii="Times New Roman" w:cs="Times New Roman" w:eastAsia="Times New Roman" w:hAnsi="Times New Roman"/>
                <w:sz w:val="18"/>
                <w:szCs w:val="18"/>
                <w:u w:val="single" w:color="auto"/>
                <w:color w:val="0000EE"/>
              </w:rPr>
              <w:t>1</w:t>
            </w:r>
          </w:p>
        </w:tc>
        <w:tc>
          <w:tcPr>
            <w:tcW w:w="100" w:type="dxa"/>
            <w:vAlign w:val="bottom"/>
            <w:tcBorders>
              <w:top w:val="single" w:sz="8" w:color="auto"/>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4520" w:type="dxa"/>
            <w:vAlign w:val="bottom"/>
            <w:tcBorders>
              <w:top w:val="single" w:sz="8" w:color="auto"/>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Opinion of Bradley Arant Boult Cummings LLP as to the</w:t>
            </w:r>
          </w:p>
        </w:tc>
        <w:tc>
          <w:tcPr>
            <w:tcW w:w="12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6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37"/>
        </w:trPr>
        <w:tc>
          <w:tcPr>
            <w:tcW w:w="24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500" w:type="dxa"/>
            <w:vAlign w:val="bottom"/>
            <w:tcBorders>
              <w:top w:val="single" w:sz="8" w:color="CCEEFF"/>
            </w:tcBorders>
            <w:shd w:val="clear" w:color="auto" w:fill="CCEEFF"/>
          </w:tcPr>
          <w:p>
            <w:pPr>
              <w:spacing w:after="0"/>
              <w:rPr>
                <w:sz w:val="20"/>
                <w:szCs w:val="20"/>
                <w:color w:val="auto"/>
              </w:rPr>
            </w:pPr>
          </w:p>
        </w:tc>
        <w:tc>
          <w:tcPr>
            <w:tcW w:w="4740" w:type="dxa"/>
            <w:vAlign w:val="bottom"/>
            <w:tcBorders>
              <w:top w:val="single" w:sz="8" w:color="CCEEFF"/>
            </w:tcBorders>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validity of the securities being registered.</w:t>
            </w:r>
          </w:p>
        </w:tc>
        <w:tc>
          <w:tcPr>
            <w:tcW w:w="66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04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86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60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020" w:type="dxa"/>
            <w:vAlign w:val="bottom"/>
            <w:tcBorders>
              <w:top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42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23.</w:t>
            </w:r>
            <w:r>
              <w:rPr>
                <w:rFonts w:ascii="Times New Roman" w:cs="Times New Roman" w:eastAsia="Times New Roman" w:hAnsi="Times New Roman"/>
                <w:sz w:val="18"/>
                <w:szCs w:val="18"/>
                <w:u w:val="single" w:color="auto"/>
                <w:color w:val="0000EE"/>
              </w:rPr>
              <w:t>1</w:t>
            </w:r>
          </w:p>
        </w:tc>
        <w:tc>
          <w:tcPr>
            <w:tcW w:w="500" w:type="dxa"/>
            <w:vAlign w:val="bottom"/>
            <w:shd w:val="clear" w:color="auto" w:fill="CCEEFF"/>
          </w:tcPr>
          <w:p>
            <w:pPr>
              <w:spacing w:after="0"/>
              <w:rPr>
                <w:sz w:val="15"/>
                <w:szCs w:val="15"/>
                <w:color w:val="auto"/>
              </w:rPr>
            </w:pPr>
          </w:p>
        </w:tc>
        <w:tc>
          <w:tcPr>
            <w:tcW w:w="4740" w:type="dxa"/>
            <w:vAlign w:val="bottom"/>
            <w:gridSpan w:val="3"/>
            <w:shd w:val="clear" w:color="auto" w:fill="CCEEFF"/>
          </w:tcPr>
          <w:p>
            <w:pPr>
              <w:ind w:left="100"/>
              <w:spacing w:after="0" w:line="176" w:lineRule="exact"/>
              <w:rPr>
                <w:sz w:val="20"/>
                <w:szCs w:val="20"/>
                <w:color w:val="auto"/>
              </w:rPr>
            </w:pPr>
            <w:r>
              <w:rPr>
                <w:rFonts w:ascii="Times New Roman" w:cs="Times New Roman" w:eastAsia="Times New Roman" w:hAnsi="Times New Roman"/>
                <w:sz w:val="18"/>
                <w:szCs w:val="18"/>
                <w:color w:val="auto"/>
              </w:rPr>
              <w:t>Consent of Frank, Rimerman + Co. LLP, independent</w:t>
            </w: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37"/>
        </w:trPr>
        <w:tc>
          <w:tcPr>
            <w:tcW w:w="24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0000EE"/>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500" w:type="dxa"/>
            <w:vAlign w:val="bottom"/>
            <w:tcBorders>
              <w:top w:val="single" w:sz="8" w:color="CCEEFF"/>
            </w:tcBorders>
            <w:shd w:val="clear" w:color="auto" w:fill="CCEEFF"/>
          </w:tcPr>
          <w:p>
            <w:pPr>
              <w:spacing w:after="0"/>
              <w:rPr>
                <w:sz w:val="20"/>
                <w:szCs w:val="20"/>
                <w:color w:val="auto"/>
              </w:rPr>
            </w:pPr>
          </w:p>
        </w:tc>
        <w:tc>
          <w:tcPr>
            <w:tcW w:w="4740" w:type="dxa"/>
            <w:vAlign w:val="bottom"/>
            <w:tcBorders>
              <w:top w:val="single" w:sz="8" w:color="CCEEFF"/>
            </w:tcBorders>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registered public accounting firm.</w:t>
            </w:r>
          </w:p>
        </w:tc>
        <w:tc>
          <w:tcPr>
            <w:tcW w:w="66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04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86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60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020" w:type="dxa"/>
            <w:vAlign w:val="bottom"/>
            <w:tcBorders>
              <w:top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42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23.</w:t>
            </w:r>
            <w:r>
              <w:rPr>
                <w:rFonts w:ascii="Times New Roman" w:cs="Times New Roman" w:eastAsia="Times New Roman" w:hAnsi="Times New Roman"/>
                <w:sz w:val="18"/>
                <w:szCs w:val="18"/>
                <w:u w:val="single" w:color="auto"/>
                <w:color w:val="0000EE"/>
              </w:rPr>
              <w:t>2</w:t>
            </w:r>
          </w:p>
        </w:tc>
        <w:tc>
          <w:tcPr>
            <w:tcW w:w="500" w:type="dxa"/>
            <w:vAlign w:val="bottom"/>
            <w:shd w:val="clear" w:color="auto" w:fill="CCEEFF"/>
          </w:tcPr>
          <w:p>
            <w:pPr>
              <w:spacing w:after="0"/>
              <w:rPr>
                <w:sz w:val="15"/>
                <w:szCs w:val="15"/>
                <w:color w:val="auto"/>
              </w:rPr>
            </w:pPr>
          </w:p>
        </w:tc>
        <w:tc>
          <w:tcPr>
            <w:tcW w:w="4740" w:type="dxa"/>
            <w:vAlign w:val="bottom"/>
            <w:gridSpan w:val="3"/>
            <w:shd w:val="clear" w:color="auto" w:fill="CCEEFF"/>
          </w:tcPr>
          <w:p>
            <w:pPr>
              <w:ind w:left="100"/>
              <w:spacing w:after="0" w:line="176" w:lineRule="exact"/>
              <w:rPr>
                <w:sz w:val="20"/>
                <w:szCs w:val="20"/>
                <w:color w:val="auto"/>
              </w:rPr>
            </w:pPr>
            <w:r>
              <w:rPr>
                <w:rFonts w:ascii="Times New Roman" w:cs="Times New Roman" w:eastAsia="Times New Roman" w:hAnsi="Times New Roman"/>
                <w:sz w:val="18"/>
                <w:szCs w:val="18"/>
                <w:color w:val="auto"/>
              </w:rPr>
              <w:t>Consent of Bradley Arant Boult Cummings LLP (included in</w:t>
            </w: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36"/>
        </w:trPr>
        <w:tc>
          <w:tcPr>
            <w:tcW w:w="24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0000EE"/>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500" w:type="dxa"/>
            <w:vAlign w:val="bottom"/>
            <w:tcBorders>
              <w:top w:val="single" w:sz="8" w:color="CCEEFF"/>
            </w:tcBorders>
            <w:shd w:val="clear" w:color="auto" w:fill="CCEEFF"/>
          </w:tcPr>
          <w:p>
            <w:pPr>
              <w:spacing w:after="0"/>
              <w:rPr>
                <w:sz w:val="20"/>
                <w:szCs w:val="20"/>
                <w:color w:val="auto"/>
              </w:rPr>
            </w:pPr>
          </w:p>
        </w:tc>
        <w:tc>
          <w:tcPr>
            <w:tcW w:w="4740" w:type="dxa"/>
            <w:vAlign w:val="bottom"/>
            <w:tcBorders>
              <w:top w:val="single" w:sz="8" w:color="CCEEFF"/>
            </w:tcBorders>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Exhibit 5.1).</w:t>
            </w:r>
          </w:p>
        </w:tc>
        <w:tc>
          <w:tcPr>
            <w:tcW w:w="66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04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86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60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020" w:type="dxa"/>
            <w:vAlign w:val="bottom"/>
            <w:tcBorders>
              <w:top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2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24.</w:t>
            </w:r>
            <w:r>
              <w:rPr>
                <w:rFonts w:ascii="Times New Roman" w:cs="Times New Roman" w:eastAsia="Times New Roman" w:hAnsi="Times New Roman"/>
                <w:sz w:val="18"/>
                <w:szCs w:val="18"/>
                <w:u w:val="single" w:color="auto"/>
                <w:color w:val="0000EE"/>
              </w:rPr>
              <w:t>1</w:t>
            </w:r>
          </w:p>
        </w:tc>
        <w:tc>
          <w:tcPr>
            <w:tcW w:w="500" w:type="dxa"/>
            <w:vAlign w:val="bottom"/>
            <w:shd w:val="clear" w:color="auto" w:fill="CCEEFF"/>
          </w:tcPr>
          <w:p>
            <w:pPr>
              <w:spacing w:after="0"/>
              <w:rPr>
                <w:sz w:val="17"/>
                <w:szCs w:val="17"/>
                <w:color w:val="auto"/>
              </w:rPr>
            </w:pPr>
          </w:p>
        </w:tc>
        <w:tc>
          <w:tcPr>
            <w:tcW w:w="4740" w:type="dxa"/>
            <w:vAlign w:val="bottom"/>
            <w:gridSpan w:val="3"/>
            <w:shd w:val="clear" w:color="auto" w:fill="CCEEFF"/>
          </w:tcPr>
          <w:p>
            <w:pPr>
              <w:ind w:left="100"/>
              <w:spacing w:after="0" w:line="176" w:lineRule="exact"/>
              <w:rPr>
                <w:sz w:val="20"/>
                <w:szCs w:val="20"/>
                <w:color w:val="auto"/>
              </w:rPr>
            </w:pPr>
            <w:r>
              <w:rPr>
                <w:rFonts w:ascii="Times New Roman" w:cs="Times New Roman" w:eastAsia="Times New Roman" w:hAnsi="Times New Roman"/>
                <w:sz w:val="18"/>
                <w:szCs w:val="18"/>
                <w:color w:val="auto"/>
              </w:rPr>
              <w:t>Power of Attorney (filed as part of signature page hereto).</w:t>
            </w: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16"/>
        </w:trPr>
        <w:tc>
          <w:tcPr>
            <w:tcW w:w="2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5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20" w:type="dxa"/>
            <w:vAlign w:val="bottom"/>
            <w:gridSpan w:val="3"/>
            <w:shd w:val="clear" w:color="auto" w:fill="CCEEFF"/>
          </w:tcPr>
          <w:p>
            <w:pPr>
              <w:spacing w:after="0" w:line="176" w:lineRule="exact"/>
              <w:rPr>
                <w:rFonts w:ascii="Times New Roman" w:cs="Times New Roman" w:eastAsia="Times New Roman" w:hAnsi="Times New Roman"/>
                <w:sz w:val="18"/>
                <w:szCs w:val="18"/>
                <w:color w:val="0000EE"/>
              </w:rPr>
            </w:pPr>
            <w:hyperlink r:id="rId34">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hyperlink>
          </w:p>
        </w:tc>
        <w:tc>
          <w:tcPr>
            <w:tcW w:w="500" w:type="dxa"/>
            <w:vAlign w:val="bottom"/>
            <w:shd w:val="clear" w:color="auto" w:fill="CCEEFF"/>
          </w:tcPr>
          <w:p>
            <w:pPr>
              <w:spacing w:after="0"/>
              <w:rPr>
                <w:sz w:val="17"/>
                <w:szCs w:val="17"/>
                <w:color w:val="auto"/>
              </w:rPr>
            </w:pPr>
          </w:p>
        </w:tc>
        <w:tc>
          <w:tcPr>
            <w:tcW w:w="4740" w:type="dxa"/>
            <w:vAlign w:val="bottom"/>
            <w:gridSpan w:val="3"/>
            <w:shd w:val="clear" w:color="auto" w:fill="CCEEFF"/>
          </w:tcPr>
          <w:p>
            <w:pPr>
              <w:ind w:left="100"/>
              <w:spacing w:after="0" w:line="176" w:lineRule="exact"/>
              <w:rPr>
                <w:sz w:val="20"/>
                <w:szCs w:val="20"/>
                <w:color w:val="auto"/>
              </w:rPr>
            </w:pPr>
            <w:r>
              <w:rPr>
                <w:rFonts w:ascii="Times New Roman" w:cs="Times New Roman" w:eastAsia="Times New Roman" w:hAnsi="Times New Roman"/>
                <w:sz w:val="18"/>
                <w:szCs w:val="18"/>
                <w:color w:val="auto"/>
              </w:rPr>
              <w:t>Momentus Inc. 2021 Equity Incentive Plan.</w:t>
            </w:r>
          </w:p>
        </w:tc>
        <w:tc>
          <w:tcPr>
            <w:tcW w:w="760" w:type="dxa"/>
            <w:vAlign w:val="bottom"/>
            <w:gridSpan w:val="2"/>
            <w:shd w:val="clear" w:color="auto" w:fill="CCEEFF"/>
          </w:tcPr>
          <w:p>
            <w:pPr>
              <w:jc w:val="center"/>
              <w:ind w:right="120"/>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10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001-39128</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10.5</w:t>
            </w:r>
          </w:p>
        </w:tc>
        <w:tc>
          <w:tcPr>
            <w:tcW w:w="100" w:type="dxa"/>
            <w:vAlign w:val="bottom"/>
            <w:shd w:val="clear" w:color="auto" w:fill="CCEEFF"/>
          </w:tcPr>
          <w:p>
            <w:pPr>
              <w:spacing w:after="0"/>
              <w:rPr>
                <w:sz w:val="17"/>
                <w:szCs w:val="17"/>
                <w:color w:val="auto"/>
              </w:rPr>
            </w:pPr>
          </w:p>
        </w:tc>
        <w:tc>
          <w:tcPr>
            <w:tcW w:w="1700" w:type="dxa"/>
            <w:vAlign w:val="bottom"/>
            <w:gridSpan w:val="2"/>
            <w:shd w:val="clear" w:color="auto" w:fill="CCEEFF"/>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rPr>
              <w:t>August 18, 2021</w:t>
            </w: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5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420" w:type="dxa"/>
            <w:vAlign w:val="bottom"/>
            <w:gridSpan w:val="3"/>
            <w:shd w:val="clear" w:color="auto" w:fill="CCEEFF"/>
          </w:tcPr>
          <w:p>
            <w:pPr>
              <w:spacing w:after="0" w:line="176" w:lineRule="exact"/>
              <w:rPr>
                <w:rFonts w:ascii="Times New Roman" w:cs="Times New Roman" w:eastAsia="Times New Roman" w:hAnsi="Times New Roman"/>
                <w:sz w:val="18"/>
                <w:szCs w:val="18"/>
                <w:color w:val="0000EE"/>
              </w:rPr>
            </w:pPr>
            <w:hyperlink r:id="rId35">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2</w:t>
              </w:r>
            </w:hyperlink>
          </w:p>
        </w:tc>
        <w:tc>
          <w:tcPr>
            <w:tcW w:w="500" w:type="dxa"/>
            <w:vAlign w:val="bottom"/>
            <w:shd w:val="clear" w:color="auto" w:fill="CCEEFF"/>
          </w:tcPr>
          <w:p>
            <w:pPr>
              <w:spacing w:after="0"/>
              <w:rPr>
                <w:sz w:val="15"/>
                <w:szCs w:val="15"/>
                <w:color w:val="auto"/>
              </w:rPr>
            </w:pPr>
          </w:p>
        </w:tc>
        <w:tc>
          <w:tcPr>
            <w:tcW w:w="4740" w:type="dxa"/>
            <w:vAlign w:val="bottom"/>
            <w:gridSpan w:val="3"/>
            <w:shd w:val="clear" w:color="auto" w:fill="CCEEFF"/>
          </w:tcPr>
          <w:p>
            <w:pPr>
              <w:ind w:left="100"/>
              <w:spacing w:after="0" w:line="176" w:lineRule="exact"/>
              <w:rPr>
                <w:sz w:val="20"/>
                <w:szCs w:val="20"/>
                <w:color w:val="auto"/>
              </w:rPr>
            </w:pPr>
            <w:r>
              <w:rPr>
                <w:rFonts w:ascii="Times New Roman" w:cs="Times New Roman" w:eastAsia="Times New Roman" w:hAnsi="Times New Roman"/>
                <w:sz w:val="18"/>
                <w:szCs w:val="18"/>
                <w:color w:val="auto"/>
              </w:rPr>
              <w:t>First Amendment to Momentus Inc. 2021 Equity Incentive</w:t>
            </w:r>
          </w:p>
        </w:tc>
        <w:tc>
          <w:tcPr>
            <w:tcW w:w="760" w:type="dxa"/>
            <w:vAlign w:val="bottom"/>
            <w:gridSpan w:val="2"/>
            <w:shd w:val="clear" w:color="auto" w:fill="CCEEFF"/>
          </w:tcPr>
          <w:p>
            <w:pPr>
              <w:jc w:val="center"/>
              <w:ind w:right="120"/>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10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001-39128</w:t>
            </w: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10.1</w:t>
            </w:r>
          </w:p>
        </w:tc>
        <w:tc>
          <w:tcPr>
            <w:tcW w:w="100" w:type="dxa"/>
            <w:vAlign w:val="bottom"/>
            <w:shd w:val="clear" w:color="auto" w:fill="CCEEFF"/>
          </w:tcPr>
          <w:p>
            <w:pPr>
              <w:spacing w:after="0"/>
              <w:rPr>
                <w:sz w:val="15"/>
                <w:szCs w:val="15"/>
                <w:color w:val="auto"/>
              </w:rPr>
            </w:pPr>
          </w:p>
        </w:tc>
        <w:tc>
          <w:tcPr>
            <w:tcW w:w="1700" w:type="dxa"/>
            <w:vAlign w:val="bottom"/>
            <w:gridSpan w:val="2"/>
            <w:shd w:val="clear" w:color="auto" w:fill="CCEEFF"/>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w w:val="99"/>
              </w:rPr>
              <w:t>May 20, 2025</w:t>
            </w: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24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0000EE"/>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500" w:type="dxa"/>
            <w:vAlign w:val="bottom"/>
            <w:tcBorders>
              <w:top w:val="single" w:sz="8" w:color="CCEEFF"/>
            </w:tcBorders>
            <w:shd w:val="clear" w:color="auto" w:fill="CCEEFF"/>
          </w:tcPr>
          <w:p>
            <w:pPr>
              <w:spacing w:after="0"/>
              <w:rPr>
                <w:sz w:val="20"/>
                <w:szCs w:val="20"/>
                <w:color w:val="auto"/>
              </w:rPr>
            </w:pPr>
          </w:p>
        </w:tc>
        <w:tc>
          <w:tcPr>
            <w:tcW w:w="4740" w:type="dxa"/>
            <w:vAlign w:val="bottom"/>
            <w:tcBorders>
              <w:top w:val="single" w:sz="8" w:color="CCEEFF"/>
            </w:tcBorders>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Plan.</w:t>
            </w:r>
          </w:p>
        </w:tc>
        <w:tc>
          <w:tcPr>
            <w:tcW w:w="66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04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86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60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020" w:type="dxa"/>
            <w:vAlign w:val="bottom"/>
            <w:tcBorders>
              <w:top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420" w:type="dxa"/>
            <w:vAlign w:val="bottom"/>
            <w:gridSpan w:val="3"/>
            <w:shd w:val="clear" w:color="auto" w:fill="CCEEFF"/>
          </w:tcPr>
          <w:p>
            <w:pPr>
              <w:spacing w:after="0" w:line="176" w:lineRule="exact"/>
              <w:rPr>
                <w:rFonts w:ascii="Times New Roman" w:cs="Times New Roman" w:eastAsia="Times New Roman" w:hAnsi="Times New Roman"/>
                <w:sz w:val="18"/>
                <w:szCs w:val="18"/>
                <w:color w:val="0000EE"/>
              </w:rPr>
            </w:pPr>
            <w:hyperlink r:id="rId36">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3</w:t>
              </w:r>
            </w:hyperlink>
          </w:p>
        </w:tc>
        <w:tc>
          <w:tcPr>
            <w:tcW w:w="500" w:type="dxa"/>
            <w:vAlign w:val="bottom"/>
            <w:shd w:val="clear" w:color="auto" w:fill="CCEEFF"/>
          </w:tcPr>
          <w:p>
            <w:pPr>
              <w:spacing w:after="0"/>
              <w:rPr>
                <w:sz w:val="15"/>
                <w:szCs w:val="15"/>
                <w:color w:val="auto"/>
              </w:rPr>
            </w:pPr>
          </w:p>
        </w:tc>
        <w:tc>
          <w:tcPr>
            <w:tcW w:w="4740" w:type="dxa"/>
            <w:vAlign w:val="bottom"/>
            <w:gridSpan w:val="3"/>
            <w:shd w:val="clear" w:color="auto" w:fill="CCEEFF"/>
          </w:tcPr>
          <w:p>
            <w:pPr>
              <w:ind w:left="100"/>
              <w:spacing w:after="0" w:line="176" w:lineRule="exact"/>
              <w:rPr>
                <w:sz w:val="20"/>
                <w:szCs w:val="20"/>
                <w:color w:val="auto"/>
              </w:rPr>
            </w:pPr>
            <w:r>
              <w:rPr>
                <w:rFonts w:ascii="Times New Roman" w:cs="Times New Roman" w:eastAsia="Times New Roman" w:hAnsi="Times New Roman"/>
                <w:sz w:val="18"/>
                <w:szCs w:val="18"/>
                <w:color w:val="auto"/>
              </w:rPr>
              <w:t>Second Amendment to Momentus Inc. 2021 Equity Incentive</w:t>
            </w:r>
          </w:p>
        </w:tc>
        <w:tc>
          <w:tcPr>
            <w:tcW w:w="760" w:type="dxa"/>
            <w:vAlign w:val="bottom"/>
            <w:gridSpan w:val="2"/>
            <w:shd w:val="clear" w:color="auto" w:fill="CCEEFF"/>
          </w:tcPr>
          <w:p>
            <w:pPr>
              <w:jc w:val="center"/>
              <w:ind w:right="120"/>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10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001-39128</w:t>
            </w: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10.1</w:t>
            </w:r>
          </w:p>
        </w:tc>
        <w:tc>
          <w:tcPr>
            <w:tcW w:w="100" w:type="dxa"/>
            <w:vAlign w:val="bottom"/>
            <w:shd w:val="clear" w:color="auto" w:fill="CCEEFF"/>
          </w:tcPr>
          <w:p>
            <w:pPr>
              <w:spacing w:after="0"/>
              <w:rPr>
                <w:sz w:val="15"/>
                <w:szCs w:val="15"/>
                <w:color w:val="auto"/>
              </w:rPr>
            </w:pPr>
          </w:p>
        </w:tc>
        <w:tc>
          <w:tcPr>
            <w:tcW w:w="1700" w:type="dxa"/>
            <w:vAlign w:val="bottom"/>
            <w:gridSpan w:val="2"/>
            <w:shd w:val="clear" w:color="auto" w:fill="CCEEFF"/>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w w:val="99"/>
              </w:rPr>
              <w:t>May 22, 2026</w:t>
            </w: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24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0000EE"/>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500" w:type="dxa"/>
            <w:vAlign w:val="bottom"/>
            <w:tcBorders>
              <w:top w:val="single" w:sz="8" w:color="CCEEFF"/>
            </w:tcBorders>
            <w:shd w:val="clear" w:color="auto" w:fill="CCEEFF"/>
          </w:tcPr>
          <w:p>
            <w:pPr>
              <w:spacing w:after="0"/>
              <w:rPr>
                <w:sz w:val="20"/>
                <w:szCs w:val="20"/>
                <w:color w:val="auto"/>
              </w:rPr>
            </w:pPr>
          </w:p>
        </w:tc>
        <w:tc>
          <w:tcPr>
            <w:tcW w:w="4740" w:type="dxa"/>
            <w:vAlign w:val="bottom"/>
            <w:tcBorders>
              <w:top w:val="single" w:sz="8" w:color="CCEEFF"/>
            </w:tcBorders>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Plan.</w:t>
            </w:r>
          </w:p>
        </w:tc>
        <w:tc>
          <w:tcPr>
            <w:tcW w:w="66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04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86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60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020" w:type="dxa"/>
            <w:vAlign w:val="bottom"/>
            <w:tcBorders>
              <w:top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920" w:type="dxa"/>
            <w:vAlign w:val="bottom"/>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107.</w:t>
            </w:r>
            <w:r>
              <w:rPr>
                <w:rFonts w:ascii="Times New Roman" w:cs="Times New Roman" w:eastAsia="Times New Roman" w:hAnsi="Times New Roman"/>
                <w:sz w:val="18"/>
                <w:szCs w:val="18"/>
                <w:u w:val="single" w:color="auto"/>
                <w:color w:val="0000EE"/>
              </w:rPr>
              <w:t>1</w:t>
            </w:r>
          </w:p>
        </w:tc>
        <w:tc>
          <w:tcPr>
            <w:tcW w:w="4740" w:type="dxa"/>
            <w:vAlign w:val="bottom"/>
            <w:gridSpan w:val="3"/>
            <w:shd w:val="clear" w:color="auto" w:fill="CCEEFF"/>
          </w:tcPr>
          <w:p>
            <w:pPr>
              <w:ind w:left="100"/>
              <w:spacing w:after="0" w:line="176" w:lineRule="exact"/>
              <w:rPr>
                <w:sz w:val="20"/>
                <w:szCs w:val="20"/>
                <w:color w:val="auto"/>
              </w:rPr>
            </w:pPr>
            <w:r>
              <w:rPr>
                <w:rFonts w:ascii="Times New Roman" w:cs="Times New Roman" w:eastAsia="Times New Roman" w:hAnsi="Times New Roman"/>
                <w:sz w:val="18"/>
                <w:szCs w:val="18"/>
                <w:color w:val="auto"/>
              </w:rPr>
              <w:t>Filing Fee Table.</w:t>
            </w: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399"/>
        </w:trPr>
        <w:tc>
          <w:tcPr>
            <w:tcW w:w="24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50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452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66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104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86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160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1020" w:type="dxa"/>
            <w:vAlign w:val="bottom"/>
            <w:tcBorders>
              <w:top w:val="single" w:sz="8" w:color="CCEEFF"/>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7"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San Jose, State of California, on May 22, 2026.</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100" w:type="dxa"/>
            <w:vAlign w:val="bottom"/>
          </w:tcPr>
          <w:p>
            <w:pPr>
              <w:spacing w:after="0"/>
              <w:rPr>
                <w:sz w:val="20"/>
                <w:szCs w:val="20"/>
                <w:color w:val="auto"/>
              </w:rPr>
            </w:pPr>
          </w:p>
        </w:tc>
        <w:tc>
          <w:tcPr>
            <w:tcW w:w="7140" w:type="dxa"/>
            <w:vAlign w:val="bottom"/>
            <w:gridSpan w:val="2"/>
          </w:tcPr>
          <w:p>
            <w:pPr>
              <w:ind w:left="2660"/>
              <w:spacing w:after="0"/>
              <w:rPr>
                <w:sz w:val="20"/>
                <w:szCs w:val="20"/>
                <w:color w:val="auto"/>
              </w:rPr>
            </w:pPr>
            <w:r>
              <w:rPr>
                <w:rFonts w:ascii="Times New Roman" w:cs="Times New Roman" w:eastAsia="Times New Roman" w:hAnsi="Times New Roman"/>
                <w:sz w:val="18"/>
                <w:szCs w:val="18"/>
                <w:b w:val="1"/>
                <w:bCs w:val="1"/>
                <w:color w:val="auto"/>
              </w:rPr>
              <w:t>Momentus Inc.</w:t>
            </w:r>
          </w:p>
        </w:tc>
      </w:tr>
      <w:tr>
        <w:trPr>
          <w:trHeight w:val="439"/>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Date: May 22, 2026</w:t>
            </w:r>
          </w:p>
        </w:tc>
        <w:tc>
          <w:tcPr>
            <w:tcW w:w="3220" w:type="dxa"/>
            <w:vAlign w:val="bottom"/>
          </w:tcPr>
          <w:p>
            <w:pPr>
              <w:ind w:left="2660"/>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John C. Rood</w:t>
            </w:r>
          </w:p>
        </w:tc>
      </w:tr>
      <w:tr>
        <w:trPr>
          <w:trHeight w:val="198"/>
        </w:trPr>
        <w:tc>
          <w:tcPr>
            <w:tcW w:w="4100" w:type="dxa"/>
            <w:vAlign w:val="bottom"/>
          </w:tcPr>
          <w:p>
            <w:pPr>
              <w:spacing w:after="0"/>
              <w:rPr>
                <w:sz w:val="17"/>
                <w:szCs w:val="17"/>
                <w:color w:val="auto"/>
              </w:rPr>
            </w:pPr>
          </w:p>
        </w:tc>
        <w:tc>
          <w:tcPr>
            <w:tcW w:w="3220" w:type="dxa"/>
            <w:vAlign w:val="bottom"/>
          </w:tcPr>
          <w:p>
            <w:pPr>
              <w:ind w:left="2660"/>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John C. Rood</w:t>
            </w:r>
          </w:p>
        </w:tc>
      </w:tr>
      <w:tr>
        <w:trPr>
          <w:trHeight w:val="216"/>
        </w:trPr>
        <w:tc>
          <w:tcPr>
            <w:tcW w:w="4100" w:type="dxa"/>
            <w:vAlign w:val="bottom"/>
          </w:tcPr>
          <w:p>
            <w:pPr>
              <w:spacing w:after="0"/>
              <w:rPr>
                <w:sz w:val="18"/>
                <w:szCs w:val="18"/>
                <w:color w:val="auto"/>
              </w:rPr>
            </w:pPr>
          </w:p>
        </w:tc>
        <w:tc>
          <w:tcPr>
            <w:tcW w:w="3220" w:type="dxa"/>
            <w:vAlign w:val="bottom"/>
          </w:tcPr>
          <w:p>
            <w:pPr>
              <w:ind w:left="2660"/>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w w:val="99"/>
              </w:rPr>
              <w:t>Chief Executive Officer and Chairperson of the Board</w:t>
            </w:r>
          </w:p>
        </w:tc>
      </w:tr>
      <w:tr>
        <w:trPr>
          <w:trHeight w:val="234"/>
        </w:trPr>
        <w:tc>
          <w:tcPr>
            <w:tcW w:w="410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of Directors</w:t>
            </w:r>
          </w:p>
        </w:tc>
      </w:tr>
    </w:tbl>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color w:val="auto"/>
        </w:rPr>
        <w:t>KNOW ALL PERSONS BY THESE PRESENTS</w:t>
      </w:r>
      <w:r>
        <w:rPr>
          <w:rFonts w:ascii="Times New Roman" w:cs="Times New Roman" w:eastAsia="Times New Roman" w:hAnsi="Times New Roman"/>
          <w:sz w:val="18"/>
          <w:szCs w:val="18"/>
          <w:color w:val="auto"/>
        </w:rPr>
        <w:t>, that the undersigned officers and directors of Momentus Inc., a Delaware corporation, do hereby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constitute and appoint John C. Rood and Lon Ensler, and each of them, the lawful attorneys-in-fact and agents with full power and authority to do any and all acts and things and to execute any and all instruments which said attorneys and agents, and any one of them, determine may be necessary or advisable or required to enable said corporation to comply with the Securities Act of 1933, as amended, and any rules or regulations or requirements of the Securities and Exchange Commission in connection with this Registration Statement. Without limiting the generality of the foregoing power and authority, the powers granted include the power and authority to sign the names of the undersigned officers and directors in the capacities indicated below to this Registration Statement, to any and all amendments, both pre-effective and post-effective, and supplements to this Registration Statement, and to any and all instruments or documents filed as part of or in conjunction with this Registration Statement or amendments or supplements thereof, and each of the undersigned hereby ratifies and confirms that all said attorneys and agents, or any one of them, shall do or cause to be done by virtue hereof.</w:t>
      </w:r>
    </w:p>
    <w:p>
      <w:pPr>
        <w:spacing w:after="0" w:line="192"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this Registration Statement has been signed by the following persons on behalf of the Registrant in the capacities and on the dates indicated.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Signature</w:t>
            </w:r>
          </w:p>
        </w:tc>
        <w:tc>
          <w:tcPr>
            <w:tcW w:w="240" w:type="dxa"/>
            <w:vAlign w:val="bottom"/>
          </w:tcPr>
          <w:p>
            <w:pPr>
              <w:spacing w:after="0"/>
              <w:rPr>
                <w:sz w:val="21"/>
                <w:szCs w:val="21"/>
                <w:color w:val="auto"/>
              </w:rPr>
            </w:pPr>
          </w:p>
        </w:tc>
        <w:tc>
          <w:tcPr>
            <w:tcW w:w="5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Title</w:t>
            </w:r>
          </w:p>
        </w:tc>
        <w:tc>
          <w:tcPr>
            <w:tcW w:w="240" w:type="dxa"/>
            <w:vAlign w:val="bottom"/>
          </w:tcPr>
          <w:p>
            <w:pPr>
              <w:spacing w:after="0"/>
              <w:rPr>
                <w:sz w:val="21"/>
                <w:szCs w:val="21"/>
                <w:color w:val="auto"/>
              </w:rPr>
            </w:pPr>
          </w:p>
        </w:tc>
        <w:tc>
          <w:tcPr>
            <w:tcW w:w="1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r>
      <w:tr>
        <w:trPr>
          <w:trHeight w:val="439"/>
        </w:trPr>
        <w:tc>
          <w:tcPr>
            <w:tcW w:w="3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John C. Rood</w:t>
            </w:r>
          </w:p>
        </w:tc>
        <w:tc>
          <w:tcPr>
            <w:tcW w:w="240" w:type="dxa"/>
            <w:vAlign w:val="bottom"/>
          </w:tcPr>
          <w:p>
            <w:pPr>
              <w:spacing w:after="0"/>
              <w:rPr>
                <w:sz w:val="24"/>
                <w:szCs w:val="24"/>
                <w:color w:val="auto"/>
              </w:rPr>
            </w:pPr>
          </w:p>
        </w:tc>
        <w:tc>
          <w:tcPr>
            <w:tcW w:w="58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Chief Executive Officer and Chairman of the Board of Directors</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May 22, 2026</w:t>
            </w:r>
          </w:p>
        </w:tc>
      </w:tr>
      <w:tr>
        <w:trPr>
          <w:trHeight w:val="234"/>
        </w:trPr>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John C. Rood</w:t>
            </w:r>
          </w:p>
        </w:tc>
        <w:tc>
          <w:tcPr>
            <w:tcW w:w="240" w:type="dxa"/>
            <w:vAlign w:val="bottom"/>
          </w:tcPr>
          <w:p>
            <w:pPr>
              <w:spacing w:after="0"/>
              <w:rPr>
                <w:sz w:val="20"/>
                <w:szCs w:val="20"/>
                <w:color w:val="auto"/>
              </w:rPr>
            </w:pPr>
          </w:p>
        </w:tc>
        <w:tc>
          <w:tcPr>
            <w:tcW w:w="58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8"/>
                <w:szCs w:val="18"/>
                <w:i w:val="1"/>
                <w:iCs w:val="1"/>
                <w:color w:val="auto"/>
                <w:w w:val="99"/>
              </w:rPr>
              <w:t>Principal Executive Officer</w:t>
            </w:r>
            <w:r>
              <w:rPr>
                <w:rFonts w:ascii="Times New Roman" w:cs="Times New Roman" w:eastAsia="Times New Roman" w:hAnsi="Times New Roman"/>
                <w:sz w:val="18"/>
                <w:szCs w:val="18"/>
                <w:color w:val="auto"/>
                <w:w w:val="99"/>
              </w:rPr>
              <w:t>)</w:t>
            </w:r>
          </w:p>
        </w:tc>
        <w:tc>
          <w:tcPr>
            <w:tcW w:w="1800" w:type="dxa"/>
            <w:vAlign w:val="bottom"/>
          </w:tcPr>
          <w:p>
            <w:pPr>
              <w:spacing w:after="0"/>
              <w:rPr>
                <w:sz w:val="20"/>
                <w:szCs w:val="20"/>
                <w:color w:val="auto"/>
              </w:rPr>
            </w:pPr>
          </w:p>
        </w:tc>
      </w:tr>
      <w:tr>
        <w:trPr>
          <w:trHeight w:val="421"/>
        </w:trPr>
        <w:tc>
          <w:tcPr>
            <w:tcW w:w="3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Lon Ensler</w:t>
            </w:r>
          </w:p>
        </w:tc>
        <w:tc>
          <w:tcPr>
            <w:tcW w:w="240" w:type="dxa"/>
            <w:vAlign w:val="bottom"/>
          </w:tcPr>
          <w:p>
            <w:pPr>
              <w:spacing w:after="0"/>
              <w:rPr>
                <w:sz w:val="24"/>
                <w:szCs w:val="24"/>
                <w:color w:val="auto"/>
              </w:rPr>
            </w:pPr>
          </w:p>
        </w:tc>
        <w:tc>
          <w:tcPr>
            <w:tcW w:w="58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Chief Financial Officer</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May 22, 2026</w:t>
            </w:r>
          </w:p>
        </w:tc>
      </w:tr>
      <w:tr>
        <w:trPr>
          <w:trHeight w:val="234"/>
        </w:trPr>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Lon Ensler</w:t>
            </w:r>
          </w:p>
        </w:tc>
        <w:tc>
          <w:tcPr>
            <w:tcW w:w="240" w:type="dxa"/>
            <w:vAlign w:val="bottom"/>
          </w:tcPr>
          <w:p>
            <w:pPr>
              <w:spacing w:after="0"/>
              <w:rPr>
                <w:sz w:val="20"/>
                <w:szCs w:val="20"/>
                <w:color w:val="auto"/>
              </w:rPr>
            </w:pPr>
          </w:p>
        </w:tc>
        <w:tc>
          <w:tcPr>
            <w:tcW w:w="58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8"/>
                <w:szCs w:val="18"/>
                <w:i w:val="1"/>
                <w:iCs w:val="1"/>
                <w:color w:val="auto"/>
                <w:w w:val="99"/>
              </w:rPr>
              <w:t>Principal Financial and Accounting Officer</w:t>
            </w:r>
            <w:r>
              <w:rPr>
                <w:rFonts w:ascii="Times New Roman" w:cs="Times New Roman" w:eastAsia="Times New Roman" w:hAnsi="Times New Roman"/>
                <w:sz w:val="18"/>
                <w:szCs w:val="18"/>
                <w:color w:val="auto"/>
                <w:w w:val="99"/>
              </w:rPr>
              <w:t>)</w:t>
            </w:r>
          </w:p>
        </w:tc>
        <w:tc>
          <w:tcPr>
            <w:tcW w:w="1800" w:type="dxa"/>
            <w:vAlign w:val="bottom"/>
          </w:tcPr>
          <w:p>
            <w:pPr>
              <w:spacing w:after="0"/>
              <w:rPr>
                <w:sz w:val="20"/>
                <w:szCs w:val="20"/>
                <w:color w:val="auto"/>
              </w:rPr>
            </w:pPr>
          </w:p>
        </w:tc>
      </w:tr>
      <w:tr>
        <w:trPr>
          <w:trHeight w:val="421"/>
        </w:trPr>
        <w:tc>
          <w:tcPr>
            <w:tcW w:w="3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Chris Hadfield</w:t>
            </w:r>
          </w:p>
        </w:tc>
        <w:tc>
          <w:tcPr>
            <w:tcW w:w="240" w:type="dxa"/>
            <w:vAlign w:val="bottom"/>
          </w:tcPr>
          <w:p>
            <w:pPr>
              <w:spacing w:after="0"/>
              <w:rPr>
                <w:sz w:val="24"/>
                <w:szCs w:val="24"/>
                <w:color w:val="auto"/>
              </w:rPr>
            </w:pPr>
          </w:p>
        </w:tc>
        <w:tc>
          <w:tcPr>
            <w:tcW w:w="58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Director</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May 22, 2026</w:t>
            </w:r>
          </w:p>
        </w:tc>
      </w:tr>
      <w:tr>
        <w:trPr>
          <w:trHeight w:val="234"/>
        </w:trPr>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Chris Hadfield</w:t>
            </w:r>
          </w:p>
        </w:tc>
        <w:tc>
          <w:tcPr>
            <w:tcW w:w="240" w:type="dxa"/>
            <w:vAlign w:val="bottom"/>
          </w:tcPr>
          <w:p>
            <w:pPr>
              <w:spacing w:after="0"/>
              <w:rPr>
                <w:sz w:val="20"/>
                <w:szCs w:val="20"/>
                <w:color w:val="auto"/>
              </w:rPr>
            </w:pPr>
          </w:p>
        </w:tc>
        <w:tc>
          <w:tcPr>
            <w:tcW w:w="5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0" w:type="dxa"/>
            <w:vAlign w:val="bottom"/>
          </w:tcPr>
          <w:p>
            <w:pPr>
              <w:spacing w:after="0"/>
              <w:rPr>
                <w:sz w:val="20"/>
                <w:szCs w:val="20"/>
                <w:color w:val="auto"/>
              </w:rPr>
            </w:pPr>
          </w:p>
        </w:tc>
      </w:tr>
      <w:tr>
        <w:trPr>
          <w:trHeight w:val="421"/>
        </w:trPr>
        <w:tc>
          <w:tcPr>
            <w:tcW w:w="3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Brian Kabot</w:t>
            </w:r>
          </w:p>
        </w:tc>
        <w:tc>
          <w:tcPr>
            <w:tcW w:w="240" w:type="dxa"/>
            <w:vAlign w:val="bottom"/>
          </w:tcPr>
          <w:p>
            <w:pPr>
              <w:spacing w:after="0"/>
              <w:rPr>
                <w:sz w:val="24"/>
                <w:szCs w:val="24"/>
                <w:color w:val="auto"/>
              </w:rPr>
            </w:pPr>
          </w:p>
        </w:tc>
        <w:tc>
          <w:tcPr>
            <w:tcW w:w="58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Director</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May 22, 2026</w:t>
            </w:r>
          </w:p>
        </w:tc>
      </w:tr>
      <w:tr>
        <w:trPr>
          <w:trHeight w:val="234"/>
        </w:trPr>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Brian Kabot</w:t>
            </w:r>
          </w:p>
        </w:tc>
        <w:tc>
          <w:tcPr>
            <w:tcW w:w="240" w:type="dxa"/>
            <w:vAlign w:val="bottom"/>
          </w:tcPr>
          <w:p>
            <w:pPr>
              <w:spacing w:after="0"/>
              <w:rPr>
                <w:sz w:val="20"/>
                <w:szCs w:val="20"/>
                <w:color w:val="auto"/>
              </w:rPr>
            </w:pPr>
          </w:p>
        </w:tc>
        <w:tc>
          <w:tcPr>
            <w:tcW w:w="5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0" w:type="dxa"/>
            <w:vAlign w:val="bottom"/>
          </w:tcPr>
          <w:p>
            <w:pPr>
              <w:spacing w:after="0"/>
              <w:rPr>
                <w:sz w:val="20"/>
                <w:szCs w:val="20"/>
                <w:color w:val="auto"/>
              </w:rPr>
            </w:pPr>
          </w:p>
        </w:tc>
      </w:tr>
      <w:tr>
        <w:trPr>
          <w:trHeight w:val="421"/>
        </w:trPr>
        <w:tc>
          <w:tcPr>
            <w:tcW w:w="3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Mitchel Kugler</w:t>
            </w:r>
          </w:p>
        </w:tc>
        <w:tc>
          <w:tcPr>
            <w:tcW w:w="240" w:type="dxa"/>
            <w:vAlign w:val="bottom"/>
          </w:tcPr>
          <w:p>
            <w:pPr>
              <w:spacing w:after="0"/>
              <w:rPr>
                <w:sz w:val="24"/>
                <w:szCs w:val="24"/>
                <w:color w:val="auto"/>
              </w:rPr>
            </w:pPr>
          </w:p>
        </w:tc>
        <w:tc>
          <w:tcPr>
            <w:tcW w:w="58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Director</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May 22, 2026</w:t>
            </w:r>
          </w:p>
        </w:tc>
      </w:tr>
      <w:tr>
        <w:trPr>
          <w:trHeight w:val="234"/>
        </w:trPr>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Mitchel Kugler</w:t>
            </w:r>
          </w:p>
        </w:tc>
        <w:tc>
          <w:tcPr>
            <w:tcW w:w="240" w:type="dxa"/>
            <w:vAlign w:val="bottom"/>
          </w:tcPr>
          <w:p>
            <w:pPr>
              <w:spacing w:after="0"/>
              <w:rPr>
                <w:sz w:val="20"/>
                <w:szCs w:val="20"/>
                <w:color w:val="auto"/>
              </w:rPr>
            </w:pPr>
          </w:p>
        </w:tc>
        <w:tc>
          <w:tcPr>
            <w:tcW w:w="5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0" w:type="dxa"/>
            <w:vAlign w:val="bottom"/>
          </w:tcPr>
          <w:p>
            <w:pPr>
              <w:spacing w:after="0"/>
              <w:rPr>
                <w:sz w:val="20"/>
                <w:szCs w:val="20"/>
                <w:color w:val="auto"/>
              </w:rPr>
            </w:pPr>
          </w:p>
        </w:tc>
      </w:tr>
      <w:tr>
        <w:trPr>
          <w:trHeight w:val="421"/>
        </w:trPr>
        <w:tc>
          <w:tcPr>
            <w:tcW w:w="3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Victorino Mercado</w:t>
            </w:r>
          </w:p>
        </w:tc>
        <w:tc>
          <w:tcPr>
            <w:tcW w:w="240" w:type="dxa"/>
            <w:vAlign w:val="bottom"/>
          </w:tcPr>
          <w:p>
            <w:pPr>
              <w:spacing w:after="0"/>
              <w:rPr>
                <w:sz w:val="24"/>
                <w:szCs w:val="24"/>
                <w:color w:val="auto"/>
              </w:rPr>
            </w:pPr>
          </w:p>
        </w:tc>
        <w:tc>
          <w:tcPr>
            <w:tcW w:w="58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Director</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May 22, 2026</w:t>
            </w:r>
          </w:p>
        </w:tc>
      </w:tr>
      <w:tr>
        <w:trPr>
          <w:trHeight w:val="234"/>
        </w:trPr>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Victorino Mercado</w:t>
            </w:r>
          </w:p>
        </w:tc>
        <w:tc>
          <w:tcPr>
            <w:tcW w:w="240" w:type="dxa"/>
            <w:vAlign w:val="bottom"/>
          </w:tcPr>
          <w:p>
            <w:pPr>
              <w:spacing w:after="0"/>
              <w:rPr>
                <w:sz w:val="20"/>
                <w:szCs w:val="20"/>
                <w:color w:val="auto"/>
              </w:rPr>
            </w:pPr>
          </w:p>
        </w:tc>
        <w:tc>
          <w:tcPr>
            <w:tcW w:w="5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0" w:type="dxa"/>
            <w:vAlign w:val="bottom"/>
          </w:tcPr>
          <w:p>
            <w:pPr>
              <w:spacing w:after="0"/>
              <w:rPr>
                <w:sz w:val="20"/>
                <w:szCs w:val="20"/>
                <w:color w:val="auto"/>
              </w:rPr>
            </w:pPr>
          </w:p>
        </w:tc>
      </w:tr>
      <w:tr>
        <w:trPr>
          <w:trHeight w:val="421"/>
        </w:trPr>
        <w:tc>
          <w:tcPr>
            <w:tcW w:w="3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Kimberly A. Reed</w:t>
            </w:r>
          </w:p>
        </w:tc>
        <w:tc>
          <w:tcPr>
            <w:tcW w:w="240" w:type="dxa"/>
            <w:vAlign w:val="bottom"/>
          </w:tcPr>
          <w:p>
            <w:pPr>
              <w:spacing w:after="0"/>
              <w:rPr>
                <w:sz w:val="24"/>
                <w:szCs w:val="24"/>
                <w:color w:val="auto"/>
              </w:rPr>
            </w:pPr>
          </w:p>
        </w:tc>
        <w:tc>
          <w:tcPr>
            <w:tcW w:w="58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Director</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May 22, 2026</w:t>
            </w:r>
          </w:p>
        </w:tc>
      </w:tr>
      <w:tr>
        <w:trPr>
          <w:trHeight w:val="234"/>
        </w:trPr>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Kimberly A. Reed</w:t>
            </w:r>
          </w:p>
        </w:tc>
        <w:tc>
          <w:tcPr>
            <w:tcW w:w="240" w:type="dxa"/>
            <w:vAlign w:val="bottom"/>
          </w:tcPr>
          <w:p>
            <w:pPr>
              <w:spacing w:after="0"/>
              <w:rPr>
                <w:sz w:val="20"/>
                <w:szCs w:val="20"/>
                <w:color w:val="auto"/>
              </w:rPr>
            </w:pPr>
          </w:p>
        </w:tc>
        <w:tc>
          <w:tcPr>
            <w:tcW w:w="5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0" w:type="dxa"/>
            <w:vAlign w:val="bottom"/>
          </w:tcPr>
          <w:p>
            <w:pPr>
              <w:spacing w:after="0"/>
              <w:rPr>
                <w:sz w:val="20"/>
                <w:szCs w:val="20"/>
                <w:color w:val="auto"/>
              </w:rPr>
            </w:pPr>
          </w:p>
        </w:tc>
      </w:tr>
      <w:tr>
        <w:trPr>
          <w:trHeight w:val="421"/>
        </w:trPr>
        <w:tc>
          <w:tcPr>
            <w:tcW w:w="3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Linda J. Reiners</w:t>
            </w:r>
          </w:p>
        </w:tc>
        <w:tc>
          <w:tcPr>
            <w:tcW w:w="240" w:type="dxa"/>
            <w:vAlign w:val="bottom"/>
          </w:tcPr>
          <w:p>
            <w:pPr>
              <w:spacing w:after="0"/>
              <w:rPr>
                <w:sz w:val="24"/>
                <w:szCs w:val="24"/>
                <w:color w:val="auto"/>
              </w:rPr>
            </w:pPr>
          </w:p>
        </w:tc>
        <w:tc>
          <w:tcPr>
            <w:tcW w:w="58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Director</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May 22, 2026</w:t>
            </w:r>
          </w:p>
        </w:tc>
      </w:tr>
      <w:tr>
        <w:trPr>
          <w:trHeight w:val="234"/>
        </w:trPr>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Linda J. Reiners</w:t>
            </w:r>
          </w:p>
        </w:tc>
        <w:tc>
          <w:tcPr>
            <w:tcW w:w="240" w:type="dxa"/>
            <w:vAlign w:val="bottom"/>
          </w:tcPr>
          <w:p>
            <w:pPr>
              <w:spacing w:after="0"/>
              <w:rPr>
                <w:sz w:val="20"/>
                <w:szCs w:val="20"/>
                <w:color w:val="auto"/>
              </w:rPr>
            </w:pPr>
          </w:p>
        </w:tc>
        <w:tc>
          <w:tcPr>
            <w:tcW w:w="5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0" w:type="dxa"/>
            <w:vAlign w:val="bottom"/>
          </w:tcPr>
          <w:p>
            <w:pPr>
              <w:spacing w:after="0"/>
              <w:rPr>
                <w:sz w:val="20"/>
                <w:szCs w:val="20"/>
                <w:color w:val="auto"/>
              </w:rPr>
            </w:pPr>
          </w:p>
        </w:tc>
      </w:tr>
      <w:tr>
        <w:trPr>
          <w:trHeight w:val="515"/>
        </w:trPr>
        <w:tc>
          <w:tcPr>
            <w:tcW w:w="33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56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7" w:right="33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7">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5525770</wp:posOffset>
            </wp:positionH>
            <wp:positionV relativeFrom="paragraph">
              <wp:posOffset>156845</wp:posOffset>
            </wp:positionV>
            <wp:extent cx="1611630" cy="5575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8">
                      <a:extLst>
                        <a:ext uri="{28A0092B-C50C-407E-A947-70E740481C1C}"/>
                      </a:extLst>
                    </a:blip>
                    <a:srcRect/>
                    <a:stretch>
                      <a:fillRect/>
                    </a:stretch>
                  </pic:blipFill>
                  <pic:spPr bwMode="auto">
                    <a:xfrm>
                      <a:off x="0" y="0"/>
                      <a:ext cx="1611630" cy="557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May 22,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Momentus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1762 Automation Parkway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Jose, California 95131</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We have acted as special counsel to Momentus Inc., a Delaware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in connection with the proposed issuance by the Company of up to 500,000 shares (the “</w:t>
      </w:r>
      <w:r>
        <w:rPr>
          <w:rFonts w:ascii="Times New Roman" w:cs="Times New Roman" w:eastAsia="Times New Roman" w:hAnsi="Times New Roman"/>
          <w:sz w:val="18"/>
          <w:szCs w:val="18"/>
          <w:b w:val="1"/>
          <w:bCs w:val="1"/>
          <w:i w:val="1"/>
          <w:iCs w:val="1"/>
          <w:color w:val="auto"/>
        </w:rPr>
        <w:t>Shares</w:t>
      </w:r>
      <w:r>
        <w:rPr>
          <w:rFonts w:ascii="Times New Roman" w:cs="Times New Roman" w:eastAsia="Times New Roman" w:hAnsi="Times New Roman"/>
          <w:sz w:val="18"/>
          <w:szCs w:val="18"/>
          <w:color w:val="auto"/>
        </w:rPr>
        <w:t>”) of the Company’s Class A common stock, par value $0.00001 per share (“</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pursuant to the Momentus Inc. 2021 Equity Incentive Plan, as amended (the “</w:t>
      </w:r>
      <w:r>
        <w:rPr>
          <w:rFonts w:ascii="Times New Roman" w:cs="Times New Roman" w:eastAsia="Times New Roman" w:hAnsi="Times New Roman"/>
          <w:sz w:val="18"/>
          <w:szCs w:val="18"/>
          <w:b w:val="1"/>
          <w:bCs w:val="1"/>
          <w:i w:val="1"/>
          <w:iCs w:val="1"/>
          <w:color w:val="auto"/>
        </w:rPr>
        <w:t>2021 Plan</w:t>
      </w:r>
      <w:r>
        <w:rPr>
          <w:rFonts w:ascii="Times New Roman" w:cs="Times New Roman" w:eastAsia="Times New Roman" w:hAnsi="Times New Roman"/>
          <w:sz w:val="18"/>
          <w:szCs w:val="18"/>
          <w:color w:val="auto"/>
        </w:rPr>
        <w:t>”). The Shares are included in the Company’s Registration Statement on Form S-8 (the “</w:t>
      </w:r>
      <w:r>
        <w:rPr>
          <w:rFonts w:ascii="Times New Roman" w:cs="Times New Roman" w:eastAsia="Times New Roman" w:hAnsi="Times New Roman"/>
          <w:sz w:val="18"/>
          <w:szCs w:val="18"/>
          <w:b w:val="1"/>
          <w:bCs w:val="1"/>
          <w:i w:val="1"/>
          <w:iCs w:val="1"/>
          <w:color w:val="auto"/>
        </w:rPr>
        <w:t>Registration Statement</w:t>
      </w:r>
      <w:r>
        <w:rPr>
          <w:rFonts w:ascii="Times New Roman" w:cs="Times New Roman" w:eastAsia="Times New Roman" w:hAnsi="Times New Roman"/>
          <w:sz w:val="18"/>
          <w:szCs w:val="18"/>
          <w:color w:val="auto"/>
        </w:rPr>
        <w:t>”), filed by the Company with the U.S. Securities and Exchange Commission (the “</w:t>
      </w:r>
      <w:r>
        <w:rPr>
          <w:rFonts w:ascii="Times New Roman" w:cs="Times New Roman" w:eastAsia="Times New Roman" w:hAnsi="Times New Roman"/>
          <w:sz w:val="18"/>
          <w:szCs w:val="18"/>
          <w:b w:val="1"/>
          <w:bCs w:val="1"/>
          <w:i w:val="1"/>
          <w:iCs w:val="1"/>
          <w:color w:val="auto"/>
        </w:rPr>
        <w:t>SEC</w:t>
      </w:r>
      <w:r>
        <w:rPr>
          <w:rFonts w:ascii="Times New Roman" w:cs="Times New Roman" w:eastAsia="Times New Roman" w:hAnsi="Times New Roman"/>
          <w:sz w:val="18"/>
          <w:szCs w:val="18"/>
          <w:color w:val="auto"/>
        </w:rPr>
        <w:t>”) under the provisions of the Securities Act of 1933, as amended (the “</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on the date hereof. This opinion is being delivered to you in accordance with the requirements of Item 601(b)(5) of Regulation S-K under the Securities Act.</w:t>
      </w:r>
    </w:p>
    <w:p>
      <w:pPr>
        <w:spacing w:after="0" w:line="18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rendering the opinion set forth in this opinion letter, we have reviewed the Registration Statement, the 2021 Plan, and the originals, or photostatic or certified copies, of such records of the Company and certificates of officers of the Company, certificates of public officials and such other documents as we have deemed relevant and necessary as a basis for the opinion expressed herein.</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our examination, we have assumed the genuineness of all signatures, the legal capacity and competency of all natural persons, the authenticity of all documents submitted to us as originals, the conformity to all original documents of all documents submitted to us as copies and the accuracy and completeness of all information provided to us by the Company.</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also assumed, without independent investigation, that at the time of the issuance of the Shares: (i) all of the terms and conditions for such issuance set forth in the 2021 Plan and any related agreements will have been fully satisfied, waived or discharged; (ii) each award agreement setting forth the terms of each award granted pursuant to the 2021 Plan will be consistent with the 2021 Plan and will have been duly authorized and validly executed and delivered by the parties thereto; (iii) a sufficient number of shares of Common Stock will remain available for issuance; and (iv) the legal consideration payable in connection with the issuance of the Shares pursuant to the 2021 Plan will not be less than the par value of the Common Stock and will be otherwise proper and sufficient.</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Based upon the foregoing and the other matters stated herein, we are of the opinion that, when issued and delivered in accordance with the terms set forth in the 2021 Plan and against payment of the consideration therefor, the issuance of the Shares will have been duly authorized by all necessary corporate action of the Company, and the Shares will be validly issued, fully paid and nonassessable.</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render no opinion herein as to matters involving the laws of any jurisdiction other than the General Corporation Law of the State of Delaware, as amended (the “</w:t>
      </w:r>
      <w:r>
        <w:rPr>
          <w:rFonts w:ascii="Times New Roman" w:cs="Times New Roman" w:eastAsia="Times New Roman" w:hAnsi="Times New Roman"/>
          <w:sz w:val="18"/>
          <w:szCs w:val="18"/>
          <w:b w:val="1"/>
          <w:bCs w:val="1"/>
          <w:i w:val="1"/>
          <w:iCs w:val="1"/>
          <w:color w:val="auto"/>
        </w:rPr>
        <w:t>DGCL</w:t>
      </w:r>
      <w:r>
        <w:rPr>
          <w:rFonts w:ascii="Times New Roman" w:cs="Times New Roman" w:eastAsia="Times New Roman" w:hAnsi="Times New Roman"/>
          <w:sz w:val="18"/>
          <w:szCs w:val="18"/>
          <w:color w:val="auto"/>
        </w:rPr>
        <w:t>”), and the United States of America. This opinion is limited to the current DGCL and the current federal laws of the United States, and to the facts as they exist on the date hereof. We assume no obligation to revise or supplement our opinion should the present laws, or the interpretations thereof, be changed in respect of any circumstances or events that occur subsequent to the date hereof. This opinion letter is limited to the opinion expressly stated herein, and no other opinions are to be inferred or implied.</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4C4C4C"/>
        </w:rPr>
        <w:t>Bradley Arant Boult Cummings LLP | One Federal Place | 1819 Fifth Avenue North | Birmingham, AL 35203-2119 | 205.521.8000 | bradley.com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6" w:name="page7"/>
    <w:bookmarkEnd w:id="6"/>
    <w:p>
      <w:pPr>
        <w:jc w:val="both"/>
        <w:spacing w:after="0" w:line="266" w:lineRule="auto"/>
        <w:rPr>
          <w:sz w:val="20"/>
          <w:szCs w:val="20"/>
          <w:color w:val="auto"/>
        </w:rPr>
      </w:pPr>
      <w:r>
        <w:rPr>
          <w:rFonts w:ascii="Times New Roman" w:cs="Times New Roman" w:eastAsia="Times New Roman" w:hAnsi="Times New Roman"/>
          <w:sz w:val="18"/>
          <w:szCs w:val="18"/>
          <w:color w:val="auto"/>
        </w:rPr>
        <w:t>We hereby consent to the filing of this opinion with the SEC as an Exhibit to the above-referenced Registration Statement. In giving this consent, we do not hereby admit that we are within the category of persons whose consent is required under Section 7 of the Securities Act or the rules and regulations of the SEC promulgated thereunder.</w:t>
      </w:r>
    </w:p>
    <w:p>
      <w:pPr>
        <w:spacing w:after="0" w:line="17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Bradley Arant Boult Cummings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351790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41">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23.1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hereby consent to the incorporation by reference in this Registration Statement on Form S-8 of our report dated March 31, 2026, relating to the consolidated financial statements of Momentus Inc. and Subsidiaries, appearing in the Annual Report on Form 10-K of Momentus Inc. for the year ended December 31, 2025.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Frank, Rimerman + Co.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Francisco, California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22,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331470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8" w:name="page9"/>
    <w:bookmarkEnd w:id="8"/>
    <w:p>
      <w:pPr>
        <w:ind w:left="1034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43">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107</w:t>
      </w:r>
    </w:p>
    <w:p>
      <w:pPr>
        <w:spacing w:after="0" w:line="18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CALCULATION OF FILING FEE TABLE</w:t>
      </w:r>
    </w:p>
    <w:p>
      <w:pPr>
        <w:spacing w:after="0" w:line="19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Form S-8</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(Form Type)</w:t>
      </w:r>
    </w:p>
    <w:p>
      <w:pPr>
        <w:spacing w:after="0" w:line="20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Momentus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u w:val="single" w:color="auto"/>
          <w:color w:val="auto"/>
        </w:rPr>
        <w:t>Table 1: Newly Registered Securities</w:t>
      </w:r>
    </w:p>
    <w:p>
      <w:pPr>
        <w:spacing w:after="0" w:line="38" w:lineRule="exact"/>
        <w:rPr>
          <w:sz w:val="20"/>
          <w:szCs w:val="20"/>
          <w:color w:val="auto"/>
        </w:rPr>
      </w:pPr>
    </w:p>
    <w:tbl>
      <w:tblPr>
        <w:tblLayout w:type="fixed"/>
        <w:tblInd w:w="10" w:type="dxa"/>
        <w:tblCellMar>
          <w:top w:w="0" w:type="dxa"/>
          <w:left w:w="0" w:type="dxa"/>
          <w:bottom w:w="0" w:type="dxa"/>
          <w:right w:w="0" w:type="dxa"/>
        </w:tblCellMar>
      </w:tblPr>
      <w:tr>
        <w:trPr>
          <w:trHeight w:val="234"/>
        </w:trPr>
        <w:tc>
          <w:tcPr>
            <w:tcW w:w="1280" w:type="dxa"/>
            <w:vAlign w:val="bottom"/>
            <w:tcBorders>
              <w:top w:val="single" w:sz="8" w:color="auto"/>
              <w:left w:val="single" w:sz="8" w:color="auto"/>
              <w:right w:val="single" w:sz="8" w:color="auto"/>
            </w:tcBorders>
          </w:tcPr>
          <w:p>
            <w:pPr>
              <w:spacing w:after="0"/>
              <w:rPr>
                <w:sz w:val="20"/>
                <w:szCs w:val="20"/>
                <w:color w:val="auto"/>
              </w:rPr>
            </w:pPr>
          </w:p>
        </w:tc>
        <w:tc>
          <w:tcPr>
            <w:tcW w:w="2580" w:type="dxa"/>
            <w:vAlign w:val="bottom"/>
            <w:tcBorders>
              <w:top w:val="single" w:sz="8" w:color="auto"/>
              <w:right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180" w:type="dxa"/>
            <w:vAlign w:val="bottom"/>
            <w:tcBorders>
              <w:top w:val="single" w:sz="8" w:color="auto"/>
              <w:right w:val="single" w:sz="8" w:color="auto"/>
            </w:tcBorders>
          </w:tcPr>
          <w:p>
            <w:pPr>
              <w:spacing w:after="0"/>
              <w:rPr>
                <w:sz w:val="20"/>
                <w:szCs w:val="20"/>
                <w:color w:val="auto"/>
              </w:rPr>
            </w:pPr>
          </w:p>
        </w:tc>
        <w:tc>
          <w:tcPr>
            <w:tcW w:w="1240" w:type="dxa"/>
            <w:vAlign w:val="bottom"/>
            <w:tcBorders>
              <w:top w:val="single" w:sz="8" w:color="auto"/>
              <w:right w:val="single" w:sz="8" w:color="auto"/>
            </w:tcBorders>
          </w:tcPr>
          <w:p>
            <w:pPr>
              <w:spacing w:after="0"/>
              <w:rPr>
                <w:sz w:val="20"/>
                <w:szCs w:val="20"/>
                <w:color w:val="auto"/>
              </w:rPr>
            </w:pPr>
          </w:p>
        </w:tc>
        <w:tc>
          <w:tcPr>
            <w:tcW w:w="12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Proposed</w:t>
            </w:r>
          </w:p>
        </w:tc>
        <w:tc>
          <w:tcPr>
            <w:tcW w:w="1220" w:type="dxa"/>
            <w:vAlign w:val="bottom"/>
            <w:tcBorders>
              <w:top w:val="single" w:sz="8" w:color="auto"/>
              <w:right w:val="single" w:sz="8" w:color="auto"/>
            </w:tcBorders>
          </w:tcPr>
          <w:p>
            <w:pPr>
              <w:spacing w:after="0"/>
              <w:rPr>
                <w:sz w:val="20"/>
                <w:szCs w:val="20"/>
                <w:color w:val="auto"/>
              </w:rPr>
            </w:pPr>
          </w:p>
        </w:tc>
        <w:tc>
          <w:tcPr>
            <w:tcW w:w="1240" w:type="dxa"/>
            <w:vAlign w:val="bottom"/>
            <w:tcBorders>
              <w:top w:val="single" w:sz="8" w:color="auto"/>
              <w:right w:val="single" w:sz="8" w:color="auto"/>
            </w:tcBorders>
          </w:tcPr>
          <w:p>
            <w:pPr>
              <w:spacing w:after="0"/>
              <w:rPr>
                <w:sz w:val="20"/>
                <w:szCs w:val="20"/>
                <w:color w:val="auto"/>
              </w:rPr>
            </w:pPr>
          </w:p>
        </w:tc>
        <w:tc>
          <w:tcPr>
            <w:tcW w:w="1220" w:type="dxa"/>
            <w:vAlign w:val="bottom"/>
            <w:tcBorders>
              <w:top w:val="single" w:sz="8" w:color="auto"/>
              <w:right w:val="single" w:sz="8" w:color="auto"/>
            </w:tcBorders>
          </w:tcPr>
          <w:p>
            <w:pPr>
              <w:spacing w:after="0"/>
              <w:rPr>
                <w:sz w:val="20"/>
                <w:szCs w:val="20"/>
                <w:color w:val="auto"/>
              </w:rPr>
            </w:pPr>
          </w:p>
        </w:tc>
      </w:tr>
      <w:tr>
        <w:trPr>
          <w:trHeight w:val="216"/>
        </w:trPr>
        <w:tc>
          <w:tcPr>
            <w:tcW w:w="1280" w:type="dxa"/>
            <w:vAlign w:val="bottom"/>
            <w:tcBorders>
              <w:left w:val="single" w:sz="8" w:color="auto"/>
              <w:right w:val="single" w:sz="8" w:color="auto"/>
            </w:tcBorders>
          </w:tcPr>
          <w:p>
            <w:pPr>
              <w:spacing w:after="0"/>
              <w:rPr>
                <w:sz w:val="18"/>
                <w:szCs w:val="18"/>
                <w:color w:val="auto"/>
              </w:rPr>
            </w:pPr>
          </w:p>
        </w:tc>
        <w:tc>
          <w:tcPr>
            <w:tcW w:w="2580" w:type="dxa"/>
            <w:vAlign w:val="bottom"/>
            <w:tcBorders>
              <w:right w:val="single" w:sz="8" w:color="auto"/>
            </w:tcBorders>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Maximum</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Maximum</w:t>
            </w:r>
          </w:p>
        </w:tc>
        <w:tc>
          <w:tcPr>
            <w:tcW w:w="1240" w:type="dxa"/>
            <w:vAlign w:val="bottom"/>
            <w:tcBorders>
              <w:right w:val="single" w:sz="8" w:color="auto"/>
            </w:tcBorders>
          </w:tcPr>
          <w:p>
            <w:pPr>
              <w:spacing w:after="0"/>
              <w:rPr>
                <w:sz w:val="18"/>
                <w:szCs w:val="18"/>
                <w:color w:val="auto"/>
              </w:rPr>
            </w:pPr>
          </w:p>
        </w:tc>
        <w:tc>
          <w:tcPr>
            <w:tcW w:w="1220" w:type="dxa"/>
            <w:vAlign w:val="bottom"/>
            <w:tcBorders>
              <w:right w:val="single" w:sz="8" w:color="auto"/>
            </w:tcBorders>
          </w:tcPr>
          <w:p>
            <w:pPr>
              <w:spacing w:after="0"/>
              <w:rPr>
                <w:sz w:val="18"/>
                <w:szCs w:val="18"/>
                <w:color w:val="auto"/>
              </w:rPr>
            </w:pPr>
          </w:p>
        </w:tc>
      </w:tr>
      <w:tr>
        <w:trPr>
          <w:trHeight w:val="225"/>
        </w:trPr>
        <w:tc>
          <w:tcPr>
            <w:tcW w:w="1280" w:type="dxa"/>
            <w:vAlign w:val="bottom"/>
            <w:tcBorders>
              <w:left w:val="single" w:sz="8" w:color="auto"/>
              <w:right w:val="single" w:sz="8" w:color="auto"/>
            </w:tcBorders>
          </w:tcPr>
          <w:p>
            <w:pPr>
              <w:spacing w:after="0"/>
              <w:rPr>
                <w:sz w:val="19"/>
                <w:szCs w:val="19"/>
                <w:color w:val="auto"/>
              </w:rPr>
            </w:pPr>
          </w:p>
        </w:tc>
        <w:tc>
          <w:tcPr>
            <w:tcW w:w="2580" w:type="dxa"/>
            <w:vAlign w:val="bottom"/>
            <w:tcBorders>
              <w:right w:val="single" w:sz="8" w:color="auto"/>
            </w:tcBorders>
          </w:tcPr>
          <w:p>
            <w:pPr>
              <w:spacing w:after="0"/>
              <w:rPr>
                <w:sz w:val="19"/>
                <w:szCs w:val="19"/>
                <w:color w:val="auto"/>
              </w:rPr>
            </w:pPr>
          </w:p>
        </w:tc>
        <w:tc>
          <w:tcPr>
            <w:tcW w:w="1060" w:type="dxa"/>
            <w:vAlign w:val="bottom"/>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rPr>
              <w:t>Fee</w:t>
            </w:r>
          </w:p>
        </w:tc>
        <w:tc>
          <w:tcPr>
            <w:tcW w:w="180" w:type="dxa"/>
            <w:vAlign w:val="bottom"/>
            <w:tcBorders>
              <w:right w:val="single" w:sz="8" w:color="auto"/>
            </w:tcBorders>
          </w:tcPr>
          <w:p>
            <w:pPr>
              <w:spacing w:after="0"/>
              <w:rPr>
                <w:sz w:val="19"/>
                <w:szCs w:val="19"/>
                <w:color w:val="auto"/>
              </w:rPr>
            </w:pPr>
          </w:p>
        </w:tc>
        <w:tc>
          <w:tcPr>
            <w:tcW w:w="1240" w:type="dxa"/>
            <w:vAlign w:val="bottom"/>
            <w:tcBorders>
              <w:right w:val="single" w:sz="8" w:color="auto"/>
            </w:tcBorders>
          </w:tcPr>
          <w:p>
            <w:pPr>
              <w:spacing w:after="0"/>
              <w:rPr>
                <w:sz w:val="19"/>
                <w:szCs w:val="19"/>
                <w:color w:val="auto"/>
              </w:rPr>
            </w:pPr>
          </w:p>
        </w:tc>
        <w:tc>
          <w:tcPr>
            <w:tcW w:w="1240" w:type="dxa"/>
            <w:vAlign w:val="bottom"/>
            <w:tcBorders>
              <w:right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Aggregate</w:t>
            </w:r>
          </w:p>
        </w:tc>
        <w:tc>
          <w:tcPr>
            <w:tcW w:w="1240" w:type="dxa"/>
            <w:vAlign w:val="bottom"/>
            <w:tcBorders>
              <w:right w:val="single" w:sz="8" w:color="auto"/>
            </w:tcBorders>
          </w:tcPr>
          <w:p>
            <w:pPr>
              <w:spacing w:after="0"/>
              <w:rPr>
                <w:sz w:val="19"/>
                <w:szCs w:val="19"/>
                <w:color w:val="auto"/>
              </w:rPr>
            </w:pP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Amount of</w:t>
            </w:r>
          </w:p>
        </w:tc>
      </w:tr>
      <w:tr>
        <w:trPr>
          <w:trHeight w:val="216"/>
        </w:trPr>
        <w:tc>
          <w:tcPr>
            <w:tcW w:w="1280" w:type="dxa"/>
            <w:vAlign w:val="bottom"/>
            <w:tcBorders>
              <w:left w:val="single" w:sz="8" w:color="auto"/>
              <w:right w:val="single" w:sz="8" w:color="auto"/>
            </w:tcBorders>
          </w:tcPr>
          <w:p>
            <w:pPr>
              <w:spacing w:after="0"/>
              <w:rPr>
                <w:sz w:val="18"/>
                <w:szCs w:val="18"/>
                <w:color w:val="auto"/>
              </w:rPr>
            </w:pPr>
          </w:p>
        </w:tc>
        <w:tc>
          <w:tcPr>
            <w:tcW w:w="2580" w:type="dxa"/>
            <w:vAlign w:val="bottom"/>
            <w:tcBorders>
              <w:right w:val="single" w:sz="8" w:color="auto"/>
            </w:tcBorders>
          </w:tcPr>
          <w:p>
            <w:pPr>
              <w:spacing w:after="0"/>
              <w:rPr>
                <w:sz w:val="18"/>
                <w:szCs w:val="18"/>
                <w:color w:val="auto"/>
              </w:rPr>
            </w:pPr>
          </w:p>
        </w:tc>
        <w:tc>
          <w:tcPr>
            <w:tcW w:w="1060" w:type="dxa"/>
            <w:vAlign w:val="bottom"/>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8"/>
              </w:rPr>
              <w:t>Calculation</w:t>
            </w:r>
          </w:p>
        </w:tc>
        <w:tc>
          <w:tcPr>
            <w:tcW w:w="18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Price Per</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240" w:type="dxa"/>
            <w:vAlign w:val="bottom"/>
            <w:tcBorders>
              <w:right w:val="single" w:sz="8" w:color="auto"/>
            </w:tcBorders>
          </w:tcPr>
          <w:p>
            <w:pPr>
              <w:spacing w:after="0"/>
              <w:rPr>
                <w:sz w:val="18"/>
                <w:szCs w:val="18"/>
                <w:color w:val="auto"/>
              </w:rPr>
            </w:pP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Registration</w:t>
            </w:r>
          </w:p>
        </w:tc>
      </w:tr>
      <w:tr>
        <w:trPr>
          <w:trHeight w:val="297"/>
        </w:trPr>
        <w:tc>
          <w:tcPr>
            <w:tcW w:w="12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Security Type</w:t>
            </w:r>
          </w:p>
        </w:tc>
        <w:tc>
          <w:tcPr>
            <w:tcW w:w="2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Security Class Title</w:t>
            </w:r>
          </w:p>
        </w:tc>
        <w:tc>
          <w:tcPr>
            <w:tcW w:w="1060" w:type="dxa"/>
            <w:vAlign w:val="bottom"/>
            <w:tcBorders>
              <w:bottom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9"/>
              </w:rPr>
              <w:t>Rule</w:t>
            </w:r>
          </w:p>
        </w:tc>
        <w:tc>
          <w:tcPr>
            <w:tcW w:w="180" w:type="dxa"/>
            <w:vAlign w:val="bottom"/>
            <w:tcBorders>
              <w:bottom w:val="single" w:sz="8" w:color="auto"/>
              <w:right w:val="single" w:sz="8" w:color="auto"/>
            </w:tcBorders>
          </w:tcPr>
          <w:p>
            <w:pPr>
              <w:spacing w:after="0"/>
              <w:rPr>
                <w:sz w:val="24"/>
                <w:szCs w:val="24"/>
                <w:color w:val="auto"/>
              </w:rPr>
            </w:pPr>
          </w:p>
        </w:tc>
        <w:tc>
          <w:tcPr>
            <w:tcW w:w="1240" w:type="dxa"/>
            <w:vAlign w:val="bottom"/>
            <w:tcBorders>
              <w:bottom w:val="single" w:sz="8" w:color="auto"/>
              <w:right w:val="single" w:sz="8" w:color="auto"/>
            </w:tcBorders>
          </w:tcPr>
          <w:p>
            <w:pPr>
              <w:jc w:val="center"/>
              <w:spacing w:after="0" w:line="296" w:lineRule="exact"/>
              <w:rPr>
                <w:sz w:val="20"/>
                <w:szCs w:val="20"/>
                <w:color w:val="auto"/>
              </w:rPr>
            </w:pPr>
            <w:r>
              <w:rPr>
                <w:rFonts w:ascii="Times New Roman" w:cs="Times New Roman" w:eastAsia="Times New Roman" w:hAnsi="Times New Roman"/>
                <w:sz w:val="18"/>
                <w:szCs w:val="18"/>
                <w:b w:val="1"/>
                <w:bCs w:val="1"/>
                <w:color w:val="auto"/>
                <w:w w:val="95"/>
              </w:rPr>
              <w:t>Registered</w:t>
            </w:r>
            <w:r>
              <w:rPr>
                <w:rFonts w:ascii="Times New Roman" w:cs="Times New Roman" w:eastAsia="Times New Roman" w:hAnsi="Times New Roman"/>
                <w:sz w:val="29"/>
                <w:szCs w:val="29"/>
                <w:b w:val="1"/>
                <w:bCs w:val="1"/>
                <w:color w:val="auto"/>
                <w:w w:val="95"/>
                <w:vertAlign w:val="superscript"/>
              </w:rPr>
              <w:t>(1)</w:t>
            </w:r>
          </w:p>
        </w:tc>
        <w:tc>
          <w:tcPr>
            <w:tcW w:w="1240" w:type="dxa"/>
            <w:vAlign w:val="bottom"/>
            <w:tcBorders>
              <w:bottom w:val="single" w:sz="8" w:color="auto"/>
              <w:right w:val="single" w:sz="8" w:color="auto"/>
            </w:tcBorders>
          </w:tcPr>
          <w:p>
            <w:pPr>
              <w:jc w:val="center"/>
              <w:spacing w:after="0" w:line="296" w:lineRule="exact"/>
              <w:rPr>
                <w:sz w:val="20"/>
                <w:szCs w:val="20"/>
                <w:color w:val="auto"/>
              </w:rPr>
            </w:pPr>
            <w:r>
              <w:rPr>
                <w:rFonts w:ascii="Times New Roman" w:cs="Times New Roman" w:eastAsia="Times New Roman" w:hAnsi="Times New Roman"/>
                <w:sz w:val="18"/>
                <w:szCs w:val="18"/>
                <w:b w:val="1"/>
                <w:bCs w:val="1"/>
                <w:color w:val="auto"/>
                <w:w w:val="91"/>
              </w:rPr>
              <w:t>Share</w:t>
            </w:r>
            <w:r>
              <w:rPr>
                <w:rFonts w:ascii="Times New Roman" w:cs="Times New Roman" w:eastAsia="Times New Roman" w:hAnsi="Times New Roman"/>
                <w:sz w:val="29"/>
                <w:szCs w:val="29"/>
                <w:b w:val="1"/>
                <w:bCs w:val="1"/>
                <w:color w:val="auto"/>
                <w:w w:val="91"/>
                <w:vertAlign w:val="superscript"/>
              </w:rPr>
              <w:t>(2)</w:t>
            </w:r>
          </w:p>
        </w:tc>
        <w:tc>
          <w:tcPr>
            <w:tcW w:w="1220" w:type="dxa"/>
            <w:vAlign w:val="bottom"/>
            <w:tcBorders>
              <w:bottom w:val="single" w:sz="8" w:color="auto"/>
              <w:right w:val="single" w:sz="8" w:color="auto"/>
            </w:tcBorders>
          </w:tcPr>
          <w:p>
            <w:pPr>
              <w:jc w:val="center"/>
              <w:spacing w:after="0" w:line="296" w:lineRule="exact"/>
              <w:rPr>
                <w:sz w:val="20"/>
                <w:szCs w:val="20"/>
                <w:color w:val="auto"/>
              </w:rPr>
            </w:pPr>
            <w:r>
              <w:rPr>
                <w:rFonts w:ascii="Times New Roman" w:cs="Times New Roman" w:eastAsia="Times New Roman" w:hAnsi="Times New Roman"/>
                <w:sz w:val="18"/>
                <w:szCs w:val="18"/>
                <w:b w:val="1"/>
                <w:bCs w:val="1"/>
                <w:color w:val="auto"/>
                <w:w w:val="92"/>
              </w:rPr>
              <w:t>Price</w:t>
            </w:r>
            <w:r>
              <w:rPr>
                <w:rFonts w:ascii="Times New Roman" w:cs="Times New Roman" w:eastAsia="Times New Roman" w:hAnsi="Times New Roman"/>
                <w:sz w:val="29"/>
                <w:szCs w:val="29"/>
                <w:b w:val="1"/>
                <w:bCs w:val="1"/>
                <w:color w:val="auto"/>
                <w:w w:val="92"/>
                <w:vertAlign w:val="superscript"/>
              </w:rPr>
              <w:t>(2)</w:t>
            </w:r>
          </w:p>
        </w:tc>
        <w:tc>
          <w:tcPr>
            <w:tcW w:w="1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Fee Rate</w:t>
            </w:r>
          </w:p>
        </w:tc>
        <w:tc>
          <w:tcPr>
            <w:tcW w:w="1220" w:type="dxa"/>
            <w:vAlign w:val="bottom"/>
            <w:tcBorders>
              <w:bottom w:val="single" w:sz="8" w:color="auto"/>
              <w:right w:val="single" w:sz="8" w:color="auto"/>
            </w:tcBorders>
          </w:tcPr>
          <w:p>
            <w:pPr>
              <w:jc w:val="center"/>
              <w:spacing w:after="0" w:line="296" w:lineRule="exact"/>
              <w:rPr>
                <w:sz w:val="20"/>
                <w:szCs w:val="20"/>
                <w:color w:val="auto"/>
              </w:rPr>
            </w:pPr>
            <w:r>
              <w:rPr>
                <w:rFonts w:ascii="Times New Roman" w:cs="Times New Roman" w:eastAsia="Times New Roman" w:hAnsi="Times New Roman"/>
                <w:sz w:val="18"/>
                <w:szCs w:val="18"/>
                <w:b w:val="1"/>
                <w:bCs w:val="1"/>
                <w:color w:val="auto"/>
                <w:w w:val="92"/>
              </w:rPr>
              <w:t>Fee</w:t>
            </w:r>
            <w:r>
              <w:rPr>
                <w:rFonts w:ascii="Times New Roman" w:cs="Times New Roman" w:eastAsia="Times New Roman" w:hAnsi="Times New Roman"/>
                <w:sz w:val="29"/>
                <w:szCs w:val="29"/>
                <w:b w:val="1"/>
                <w:bCs w:val="1"/>
                <w:color w:val="auto"/>
                <w:w w:val="92"/>
                <w:vertAlign w:val="superscript"/>
              </w:rPr>
              <w:t>(3)</w:t>
            </w:r>
          </w:p>
        </w:tc>
      </w:tr>
      <w:tr>
        <w:trPr>
          <w:trHeight w:val="218"/>
        </w:trPr>
        <w:tc>
          <w:tcPr>
            <w:tcW w:w="1280" w:type="dxa"/>
            <w:vAlign w:val="bottom"/>
            <w:tcBorders>
              <w:left w:val="single" w:sz="8" w:color="auto"/>
              <w:right w:val="single" w:sz="8" w:color="auto"/>
            </w:tcBorders>
            <w:shd w:val="clear" w:color="auto" w:fill="CCEEFF"/>
          </w:tcPr>
          <w:p>
            <w:pPr>
              <w:spacing w:after="0"/>
              <w:rPr>
                <w:sz w:val="18"/>
                <w:szCs w:val="18"/>
                <w:color w:val="auto"/>
              </w:rPr>
            </w:pPr>
          </w:p>
        </w:tc>
        <w:tc>
          <w:tcPr>
            <w:tcW w:w="258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Class A Common Stock, par value</w:t>
            </w:r>
          </w:p>
        </w:tc>
        <w:tc>
          <w:tcPr>
            <w:tcW w:w="1240" w:type="dxa"/>
            <w:vAlign w:val="bottom"/>
            <w:tcBorders>
              <w:right w:val="single" w:sz="8" w:color="auto"/>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Rule 457(c) and</w:t>
            </w:r>
          </w:p>
        </w:tc>
        <w:tc>
          <w:tcPr>
            <w:tcW w:w="1240" w:type="dxa"/>
            <w:vAlign w:val="bottom"/>
            <w:tcBorders>
              <w:right w:val="single" w:sz="8" w:color="auto"/>
            </w:tcBorders>
            <w:shd w:val="clear" w:color="auto" w:fill="CCEEFF"/>
          </w:tcPr>
          <w:p>
            <w:pPr>
              <w:spacing w:after="0"/>
              <w:rPr>
                <w:sz w:val="18"/>
                <w:szCs w:val="18"/>
                <w:color w:val="auto"/>
              </w:rPr>
            </w:pPr>
          </w:p>
        </w:tc>
        <w:tc>
          <w:tcPr>
            <w:tcW w:w="1240" w:type="dxa"/>
            <w:vAlign w:val="bottom"/>
            <w:tcBorders>
              <w:right w:val="single" w:sz="8" w:color="auto"/>
            </w:tcBorders>
            <w:shd w:val="clear" w:color="auto" w:fill="CCEEFF"/>
          </w:tcPr>
          <w:p>
            <w:pPr>
              <w:spacing w:after="0"/>
              <w:rPr>
                <w:sz w:val="18"/>
                <w:szCs w:val="18"/>
                <w:color w:val="auto"/>
              </w:rPr>
            </w:pPr>
          </w:p>
        </w:tc>
        <w:tc>
          <w:tcPr>
            <w:tcW w:w="1220" w:type="dxa"/>
            <w:vAlign w:val="bottom"/>
            <w:tcBorders>
              <w:right w:val="single" w:sz="8" w:color="auto"/>
            </w:tcBorders>
            <w:shd w:val="clear" w:color="auto" w:fill="CCEEFF"/>
          </w:tcPr>
          <w:p>
            <w:pPr>
              <w:spacing w:after="0"/>
              <w:rPr>
                <w:sz w:val="18"/>
                <w:szCs w:val="18"/>
                <w:color w:val="auto"/>
              </w:rPr>
            </w:pPr>
          </w:p>
        </w:tc>
        <w:tc>
          <w:tcPr>
            <w:tcW w:w="1240" w:type="dxa"/>
            <w:vAlign w:val="bottom"/>
            <w:tcBorders>
              <w:right w:val="single" w:sz="8" w:color="auto"/>
            </w:tcBorders>
            <w:shd w:val="clear" w:color="auto" w:fill="CCEEFF"/>
          </w:tcPr>
          <w:p>
            <w:pPr>
              <w:spacing w:after="0"/>
              <w:rPr>
                <w:sz w:val="18"/>
                <w:szCs w:val="18"/>
                <w:color w:val="auto"/>
              </w:rPr>
            </w:pPr>
          </w:p>
        </w:tc>
        <w:tc>
          <w:tcPr>
            <w:tcW w:w="1220" w:type="dxa"/>
            <w:vAlign w:val="bottom"/>
            <w:tcBorders>
              <w:right w:val="single" w:sz="8" w:color="auto"/>
            </w:tcBorders>
            <w:shd w:val="clear" w:color="auto" w:fill="CCEEFF"/>
          </w:tcPr>
          <w:p>
            <w:pPr>
              <w:spacing w:after="0"/>
              <w:rPr>
                <w:sz w:val="18"/>
                <w:szCs w:val="18"/>
                <w:color w:val="auto"/>
              </w:rPr>
            </w:pPr>
          </w:p>
        </w:tc>
      </w:tr>
      <w:tr>
        <w:trPr>
          <w:trHeight w:val="266"/>
        </w:trPr>
        <w:tc>
          <w:tcPr>
            <w:tcW w:w="1280" w:type="dxa"/>
            <w:vAlign w:val="bottom"/>
            <w:tcBorders>
              <w:left w:val="single" w:sz="8" w:color="auto"/>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Equity</w:t>
            </w:r>
          </w:p>
        </w:tc>
        <w:tc>
          <w:tcPr>
            <w:tcW w:w="25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$0.00001 per share</w:t>
            </w:r>
          </w:p>
        </w:tc>
        <w:tc>
          <w:tcPr>
            <w:tcW w:w="1060" w:type="dxa"/>
            <w:vAlign w:val="bottom"/>
            <w:tcBorders>
              <w:bottom w:val="single" w:sz="8" w:color="CCEEFF"/>
            </w:tcBorders>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rPr>
              <w:t>Rule 457(h)</w:t>
            </w:r>
          </w:p>
        </w:tc>
        <w:tc>
          <w:tcPr>
            <w:tcW w:w="180" w:type="dxa"/>
            <w:vAlign w:val="bottom"/>
            <w:tcBorders>
              <w:bottom w:val="single" w:sz="8" w:color="CCEEFF"/>
              <w:right w:val="single" w:sz="8" w:color="auto"/>
            </w:tcBorders>
            <w:shd w:val="clear" w:color="auto" w:fill="CCEEFF"/>
          </w:tcPr>
          <w:p>
            <w:pPr>
              <w:spacing w:after="0"/>
              <w:rPr>
                <w:sz w:val="22"/>
                <w:szCs w:val="22"/>
                <w:color w:val="auto"/>
              </w:rPr>
            </w:pPr>
          </w:p>
        </w:tc>
        <w:tc>
          <w:tcPr>
            <w:tcW w:w="124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500,000</w:t>
            </w:r>
          </w:p>
        </w:tc>
        <w:tc>
          <w:tcPr>
            <w:tcW w:w="124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$5.45</w:t>
            </w:r>
          </w:p>
        </w:tc>
        <w:tc>
          <w:tcPr>
            <w:tcW w:w="122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$2,725,000.00</w:t>
            </w:r>
          </w:p>
        </w:tc>
        <w:tc>
          <w:tcPr>
            <w:tcW w:w="1240" w:type="dxa"/>
            <w:vAlign w:val="bottom"/>
            <w:tcBorders>
              <w:bottom w:val="single" w:sz="8" w:color="CCEEFF"/>
              <w:right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0.0001381</w:t>
            </w:r>
          </w:p>
        </w:tc>
        <w:tc>
          <w:tcPr>
            <w:tcW w:w="122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$376.32</w:t>
            </w:r>
          </w:p>
        </w:tc>
      </w:tr>
      <w:tr>
        <w:trPr>
          <w:trHeight w:val="237"/>
        </w:trPr>
        <w:tc>
          <w:tcPr>
            <w:tcW w:w="1280" w:type="dxa"/>
            <w:vAlign w:val="bottom"/>
            <w:tcBorders>
              <w:top w:val="single" w:sz="8" w:color="auto"/>
              <w:left w:val="single" w:sz="8" w:color="auto"/>
            </w:tcBorders>
          </w:tcPr>
          <w:p>
            <w:pPr>
              <w:spacing w:after="0"/>
              <w:rPr>
                <w:sz w:val="20"/>
                <w:szCs w:val="20"/>
                <w:color w:val="auto"/>
              </w:rPr>
            </w:pPr>
          </w:p>
        </w:tc>
        <w:tc>
          <w:tcPr>
            <w:tcW w:w="2580" w:type="dxa"/>
            <w:vAlign w:val="bottom"/>
            <w:tcBorders>
              <w:top w:val="single" w:sz="8" w:color="auto"/>
            </w:tcBorders>
          </w:tcPr>
          <w:p>
            <w:pPr>
              <w:spacing w:after="0"/>
              <w:rPr>
                <w:sz w:val="20"/>
                <w:szCs w:val="20"/>
                <w:color w:val="auto"/>
              </w:rPr>
            </w:pPr>
          </w:p>
        </w:tc>
        <w:tc>
          <w:tcPr>
            <w:tcW w:w="2480" w:type="dxa"/>
            <w:vAlign w:val="bottom"/>
            <w:tcBorders>
              <w:top w:val="single" w:sz="8" w:color="auto"/>
              <w:right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Total Offering Amounts</w:t>
            </w:r>
          </w:p>
        </w:tc>
        <w:tc>
          <w:tcPr>
            <w:tcW w:w="1240" w:type="dxa"/>
            <w:vAlign w:val="bottom"/>
            <w:tcBorders>
              <w:top w:val="single" w:sz="8" w:color="auto"/>
              <w:right w:val="single" w:sz="8" w:color="auto"/>
            </w:tcBorders>
          </w:tcPr>
          <w:p>
            <w:pPr>
              <w:spacing w:after="0"/>
              <w:rPr>
                <w:sz w:val="20"/>
                <w:szCs w:val="20"/>
                <w:color w:val="auto"/>
              </w:rPr>
            </w:pPr>
          </w:p>
        </w:tc>
        <w:tc>
          <w:tcPr>
            <w:tcW w:w="12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$2,725,000.00</w:t>
            </w:r>
          </w:p>
        </w:tc>
        <w:tc>
          <w:tcPr>
            <w:tcW w:w="1240" w:type="dxa"/>
            <w:vAlign w:val="bottom"/>
            <w:tcBorders>
              <w:top w:val="single" w:sz="8" w:color="auto"/>
              <w:right w:val="single" w:sz="8" w:color="auto"/>
            </w:tcBorders>
          </w:tcPr>
          <w:p>
            <w:pPr>
              <w:spacing w:after="0"/>
              <w:rPr>
                <w:sz w:val="20"/>
                <w:szCs w:val="20"/>
                <w:color w:val="auto"/>
              </w:rPr>
            </w:pPr>
          </w:p>
        </w:tc>
        <w:tc>
          <w:tcPr>
            <w:tcW w:w="12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$376.32</w:t>
            </w:r>
          </w:p>
        </w:tc>
      </w:tr>
      <w:tr>
        <w:trPr>
          <w:trHeight w:val="27"/>
        </w:trPr>
        <w:tc>
          <w:tcPr>
            <w:tcW w:w="1280" w:type="dxa"/>
            <w:vAlign w:val="bottom"/>
            <w:tcBorders>
              <w:left w:val="single" w:sz="8" w:color="auto"/>
              <w:bottom w:val="single" w:sz="8" w:color="auto"/>
            </w:tcBorders>
          </w:tcPr>
          <w:p>
            <w:pPr>
              <w:spacing w:after="0"/>
              <w:rPr>
                <w:sz w:val="2"/>
                <w:szCs w:val="2"/>
                <w:color w:val="auto"/>
              </w:rPr>
            </w:pPr>
          </w:p>
        </w:tc>
        <w:tc>
          <w:tcPr>
            <w:tcW w:w="25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r>
      <w:tr>
        <w:trPr>
          <w:trHeight w:val="268"/>
        </w:trPr>
        <w:tc>
          <w:tcPr>
            <w:tcW w:w="1280" w:type="dxa"/>
            <w:vAlign w:val="bottom"/>
            <w:tcBorders>
              <w:left w:val="single" w:sz="8" w:color="auto"/>
              <w:bottom w:val="single" w:sz="8" w:color="CCEEFF"/>
              <w:right w:val="single" w:sz="8" w:color="CCEEFF"/>
            </w:tcBorders>
            <w:shd w:val="clear" w:color="auto" w:fill="CCEEFF"/>
          </w:tcPr>
          <w:p>
            <w:pPr>
              <w:spacing w:after="0"/>
              <w:rPr>
                <w:sz w:val="22"/>
                <w:szCs w:val="22"/>
                <w:color w:val="auto"/>
              </w:rPr>
            </w:pPr>
          </w:p>
        </w:tc>
        <w:tc>
          <w:tcPr>
            <w:tcW w:w="2580" w:type="dxa"/>
            <w:vAlign w:val="bottom"/>
            <w:tcBorders>
              <w:bottom w:val="single" w:sz="8" w:color="CCEEFF"/>
              <w:right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right w:val="single" w:sz="8" w:color="auto"/>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7"/>
              </w:rPr>
              <w:t>Total Fee Offsets</w:t>
            </w:r>
          </w:p>
        </w:tc>
        <w:tc>
          <w:tcPr>
            <w:tcW w:w="1240" w:type="dxa"/>
            <w:vAlign w:val="bottom"/>
            <w:tcBorders>
              <w:bottom w:val="single" w:sz="8" w:color="CCEEFF"/>
              <w:right w:val="single" w:sz="8" w:color="auto"/>
            </w:tcBorders>
            <w:shd w:val="clear" w:color="auto" w:fill="CCEEFF"/>
          </w:tcPr>
          <w:p>
            <w:pPr>
              <w:spacing w:after="0"/>
              <w:rPr>
                <w:sz w:val="22"/>
                <w:szCs w:val="22"/>
                <w:color w:val="auto"/>
              </w:rPr>
            </w:pPr>
          </w:p>
        </w:tc>
        <w:tc>
          <w:tcPr>
            <w:tcW w:w="1220" w:type="dxa"/>
            <w:vAlign w:val="bottom"/>
            <w:tcBorders>
              <w:bottom w:val="single" w:sz="8" w:color="CCEEFF"/>
              <w:right w:val="single" w:sz="8" w:color="auto"/>
            </w:tcBorders>
            <w:shd w:val="clear" w:color="auto" w:fill="CCEEFF"/>
          </w:tcPr>
          <w:p>
            <w:pPr>
              <w:spacing w:after="0"/>
              <w:rPr>
                <w:sz w:val="22"/>
                <w:szCs w:val="22"/>
                <w:color w:val="auto"/>
              </w:rPr>
            </w:pPr>
          </w:p>
        </w:tc>
        <w:tc>
          <w:tcPr>
            <w:tcW w:w="1240" w:type="dxa"/>
            <w:vAlign w:val="bottom"/>
            <w:tcBorders>
              <w:bottom w:val="single" w:sz="8" w:color="CCEEFF"/>
              <w:right w:val="single" w:sz="8" w:color="auto"/>
            </w:tcBorders>
            <w:shd w:val="clear" w:color="auto" w:fill="CCEEFF"/>
          </w:tcPr>
          <w:p>
            <w:pPr>
              <w:spacing w:after="0"/>
              <w:rPr>
                <w:sz w:val="22"/>
                <w:szCs w:val="22"/>
                <w:color w:val="auto"/>
              </w:rPr>
            </w:pPr>
          </w:p>
        </w:tc>
        <w:tc>
          <w:tcPr>
            <w:tcW w:w="122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w:t>
            </w:r>
          </w:p>
        </w:tc>
      </w:tr>
      <w:tr>
        <w:trPr>
          <w:trHeight w:val="237"/>
        </w:trPr>
        <w:tc>
          <w:tcPr>
            <w:tcW w:w="1280" w:type="dxa"/>
            <w:vAlign w:val="bottom"/>
            <w:tcBorders>
              <w:top w:val="single" w:sz="8" w:color="auto"/>
              <w:left w:val="single" w:sz="8" w:color="auto"/>
            </w:tcBorders>
          </w:tcPr>
          <w:p>
            <w:pPr>
              <w:spacing w:after="0"/>
              <w:rPr>
                <w:sz w:val="20"/>
                <w:szCs w:val="20"/>
                <w:color w:val="auto"/>
              </w:rPr>
            </w:pPr>
          </w:p>
        </w:tc>
        <w:tc>
          <w:tcPr>
            <w:tcW w:w="25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240" w:type="dxa"/>
            <w:vAlign w:val="bottom"/>
            <w:tcBorders>
              <w:top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Net Fee Due</w:t>
            </w:r>
          </w:p>
        </w:tc>
        <w:tc>
          <w:tcPr>
            <w:tcW w:w="1240" w:type="dxa"/>
            <w:vAlign w:val="bottom"/>
            <w:tcBorders>
              <w:top w:val="single" w:sz="8" w:color="auto"/>
              <w:right w:val="single" w:sz="8" w:color="auto"/>
            </w:tcBorders>
          </w:tcPr>
          <w:p>
            <w:pPr>
              <w:spacing w:after="0"/>
              <w:rPr>
                <w:sz w:val="20"/>
                <w:szCs w:val="20"/>
                <w:color w:val="auto"/>
              </w:rPr>
            </w:pPr>
          </w:p>
        </w:tc>
        <w:tc>
          <w:tcPr>
            <w:tcW w:w="1220" w:type="dxa"/>
            <w:vAlign w:val="bottom"/>
            <w:tcBorders>
              <w:top w:val="single" w:sz="8" w:color="auto"/>
              <w:right w:val="single" w:sz="8" w:color="auto"/>
            </w:tcBorders>
          </w:tcPr>
          <w:p>
            <w:pPr>
              <w:spacing w:after="0"/>
              <w:rPr>
                <w:sz w:val="20"/>
                <w:szCs w:val="20"/>
                <w:color w:val="auto"/>
              </w:rPr>
            </w:pPr>
          </w:p>
        </w:tc>
        <w:tc>
          <w:tcPr>
            <w:tcW w:w="1240" w:type="dxa"/>
            <w:vAlign w:val="bottom"/>
            <w:tcBorders>
              <w:top w:val="single" w:sz="8" w:color="auto"/>
              <w:right w:val="single" w:sz="8" w:color="auto"/>
            </w:tcBorders>
          </w:tcPr>
          <w:p>
            <w:pPr>
              <w:spacing w:after="0"/>
              <w:rPr>
                <w:sz w:val="20"/>
                <w:szCs w:val="20"/>
                <w:color w:val="auto"/>
              </w:rPr>
            </w:pPr>
          </w:p>
        </w:tc>
        <w:tc>
          <w:tcPr>
            <w:tcW w:w="12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$376.32</w:t>
            </w:r>
          </w:p>
        </w:tc>
      </w:tr>
      <w:tr>
        <w:trPr>
          <w:trHeight w:val="27"/>
        </w:trPr>
        <w:tc>
          <w:tcPr>
            <w:tcW w:w="1280" w:type="dxa"/>
            <w:vAlign w:val="bottom"/>
            <w:tcBorders>
              <w:left w:val="single" w:sz="8" w:color="auto"/>
              <w:bottom w:val="single" w:sz="8" w:color="auto"/>
            </w:tcBorders>
          </w:tcPr>
          <w:p>
            <w:pPr>
              <w:spacing w:after="0"/>
              <w:rPr>
                <w:sz w:val="2"/>
                <w:szCs w:val="2"/>
                <w:color w:val="auto"/>
              </w:rPr>
            </w:pPr>
          </w:p>
        </w:tc>
        <w:tc>
          <w:tcPr>
            <w:tcW w:w="25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r>
    </w:tbl>
    <w:p>
      <w:pPr>
        <w:spacing w:after="0" w:line="9" w:lineRule="exact"/>
        <w:rPr>
          <w:sz w:val="20"/>
          <w:szCs w:val="20"/>
          <w:color w:val="auto"/>
        </w:rPr>
      </w:pPr>
    </w:p>
    <w:p>
      <w:pPr>
        <w:ind w:left="320" w:right="220" w:hanging="312"/>
        <w:spacing w:after="0" w:line="261" w:lineRule="auto"/>
        <w:tabs>
          <w:tab w:leader="none" w:pos="3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Rule 416(a) under the Securities Act of 1933, as amended (the “Securities Act”), this Registration Statement shall also cover any additional securities that may be offered or issued pursuant to the Momentus Inc. 2021 Equity Incentive Plan (the “2021 Plan”) as a result of adjustments for stock dividends, stock splits or similar transactions effected without receipt of consideration, that increase the number of outstanding shares of the Class A common stock, par value $0.00001 per share (the “Common Stock”) of Momentus Inc. (the “Company”).</w:t>
      </w:r>
    </w:p>
    <w:p>
      <w:pPr>
        <w:spacing w:after="0" w:line="58" w:lineRule="exact"/>
        <w:rPr>
          <w:rFonts w:ascii="Times New Roman" w:cs="Times New Roman" w:eastAsia="Times New Roman" w:hAnsi="Times New Roman"/>
          <w:sz w:val="18"/>
          <w:szCs w:val="18"/>
          <w:color w:val="auto"/>
        </w:rPr>
      </w:pPr>
    </w:p>
    <w:p>
      <w:pPr>
        <w:ind w:left="320" w:right="540" w:hanging="312"/>
        <w:spacing w:after="0" w:line="282" w:lineRule="auto"/>
        <w:tabs>
          <w:tab w:leader="none" w:pos="3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solely for the purpose of calculating the registration fee pursuant to Rule 457(c) and Rule 457(h) of the Securities Act, based upon the average of the high and low sales prices of the Common Stock on the Nasdaq Capital Market on May 15, 2026.</w:t>
      </w:r>
    </w:p>
    <w:p>
      <w:pPr>
        <w:spacing w:after="0" w:line="40" w:lineRule="exact"/>
        <w:rPr>
          <w:rFonts w:ascii="Times New Roman" w:cs="Times New Roman" w:eastAsia="Times New Roman" w:hAnsi="Times New Roman"/>
          <w:sz w:val="18"/>
          <w:szCs w:val="18"/>
          <w:color w:val="auto"/>
        </w:rPr>
      </w:pPr>
    </w:p>
    <w:p>
      <w:pPr>
        <w:ind w:left="320" w:right="400" w:hanging="312"/>
        <w:spacing w:after="0" w:line="282" w:lineRule="auto"/>
        <w:tabs>
          <w:tab w:leader="none" w:pos="3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registering 500,000 shares of Common Stock relating to the 2021 Plan. Pursuant to General Instruction E to Form S-8, the fee set forth in the table above is only with respect to those additional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182880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60"/>
      </w:cols>
      <w:pgMar w:left="320" w:top="306"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lowerRoman"/>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33" Type="http://schemas.openxmlformats.org/officeDocument/2006/relationships/image" Target="media/image13.png"/><Relationship Id="rId37" Type="http://schemas.openxmlformats.org/officeDocument/2006/relationships/image" Target="media/image14.png"/><Relationship Id="rId38" Type="http://schemas.openxmlformats.org/officeDocument/2006/relationships/image" Target="media/image15.jpeg"/><Relationship Id="rId39" Type="http://schemas.openxmlformats.org/officeDocument/2006/relationships/image" Target="media/image16.png"/><Relationship Id="rId40" Type="http://schemas.openxmlformats.org/officeDocument/2006/relationships/image" Target="media/image17.png"/><Relationship Id="rId41" Type="http://schemas.openxmlformats.org/officeDocument/2006/relationships/image" Target="media/image18.png"/><Relationship Id="rId42" Type="http://schemas.openxmlformats.org/officeDocument/2006/relationships/image" Target="media/image19.png"/><Relationship Id="rId43" Type="http://schemas.openxmlformats.org/officeDocument/2006/relationships/image" Target="media/image20.png"/><Relationship Id="rId44" Type="http://schemas.openxmlformats.org/officeDocument/2006/relationships/image" Target="media/image21.png"/><Relationship Id="rId20" Type="http://schemas.openxmlformats.org/officeDocument/2006/relationships/hyperlink" Target="https://www.sec.gov/ix?doc=/Archives/edgar/data/0001781162/000162828026022291/mnts-20251231.htm" TargetMode="External"/><Relationship Id="rId21" Type="http://schemas.openxmlformats.org/officeDocument/2006/relationships/hyperlink" Target="https://www.sec.gov/ix?doc=/Archives/edgar/data/0001781162/000114036126014277/ny20066708x1_def14a.htm" TargetMode="External"/><Relationship Id="rId22" Type="http://schemas.openxmlformats.org/officeDocument/2006/relationships/hyperlink" Target="https://www.sec.gov/ix?doc=/Archives/edgar/data/0001781162/000162828026034490/mnts-20260331.htm" TargetMode="External"/><Relationship Id="rId23" Type="http://schemas.openxmlformats.org/officeDocument/2006/relationships/hyperlink" Target="https://www.sec.gov/Archives/edgar/data/1781162/000114036125014782/ny20047547x1_ex4-19.htm" TargetMode="External"/><Relationship Id="rId24" Type="http://schemas.openxmlformats.org/officeDocument/2006/relationships/hyperlink" Target="https://www.sec.gov/ix?doc=/Archives/edgar/data/0001781162/000114036126000853/ef20062616_8k.htm" TargetMode="External"/><Relationship Id="rId25" Type="http://schemas.openxmlformats.org/officeDocument/2006/relationships/hyperlink" Target="https://www.sec.gov/ix?doc=/Archives/edgar/data/0001781162/000114036126001016/ef20062613_8k.htm" TargetMode="External"/><Relationship Id="rId26" Type="http://schemas.openxmlformats.org/officeDocument/2006/relationships/hyperlink" Target="https://www.sec.gov/ix?doc=/Archives/edgar/data/0001781162/000114036126004972/ef20065509_8k.htm" TargetMode="External"/><Relationship Id="rId27" Type="http://schemas.openxmlformats.org/officeDocument/2006/relationships/hyperlink" Target="https://www.sec.gov/ix?doc=/Archives/edgar/data/0001781162/000114036126006335/ef20066258_8k.htm" TargetMode="External"/><Relationship Id="rId28" Type="http://schemas.openxmlformats.org/officeDocument/2006/relationships/hyperlink" Target="https://www.sec.gov/ix?doc=/Archives/edgar/data/0001781162/000114036126014365/ef20070362_8k.htm" TargetMode="External"/><Relationship Id="rId29" Type="http://schemas.openxmlformats.org/officeDocument/2006/relationships/hyperlink" Target="https://www.sec.gov/ix?doc=/Archives/edgar/data/0001781162/000114036126014988/ef20070575_8k.htm" TargetMode="External"/><Relationship Id="rId30" Type="http://schemas.openxmlformats.org/officeDocument/2006/relationships/hyperlink" Target="https://www.sec.gov/ix?doc=/Archives/edgar/data/0001781162/000114036126015530/ef20070972_8k.htm" TargetMode="External"/><Relationship Id="rId31" Type="http://schemas.openxmlformats.org/officeDocument/2006/relationships/hyperlink" Target="https://www.sec.gov/ix?doc=/Archives/edgar/data/0001781162/000114036126019009/ef20072374_8k.htm" TargetMode="External"/><Relationship Id="rId32" Type="http://schemas.openxmlformats.org/officeDocument/2006/relationships/hyperlink" Target="https://www.sec.gov/ix?doc=/Archives/edgar/data/0001781162/000114036126022497/ef20074640_8k.htm" TargetMode="External"/><Relationship Id="rId34" Type="http://schemas.openxmlformats.org/officeDocument/2006/relationships/hyperlink" Target="https://www.sec.gov/Archives/edgar/data/1781162/000121390021043676/ea146069ex10-5_momentusinc.htm" TargetMode="External"/><Relationship Id="rId35" Type="http://schemas.openxmlformats.org/officeDocument/2006/relationships/hyperlink" Target="https://www.sec.gov/Archives/edgar/data/1781162/000114036125019803/ef20049298_ex10-1.htm" TargetMode="External"/><Relationship Id="rId36" Type="http://schemas.openxmlformats.org/officeDocument/2006/relationships/hyperlink" Target="https://www.sec.gov/Archives/edgar/data/1781162/000114036126022497/ef20074640_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2026-05-22T13:55:35Z</dcterms:created>
  <dcterms:modified xsi:type="dcterms:W3CDTF">2026-05-22T13:55:35Z</dcterms:modified>
</cp:coreProperties>
</file>