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12001" w:type="dxa"/>
        <w:jc w:val="center"/>
        <w:tblInd w:w="0" w:type="dxa"/>
        <w:tblLayout w:type="fixed"/>
        <w:tblCellMar>
          <w:top w:w="28" w:type="dxa"/>
          <w:left w:w="28" w:type="dxa"/>
          <w:bottom w:w="28" w:type="dxa"/>
          <w:right w:w="28" w:type="dxa"/>
        </w:tblCellMar>
      </w:tblPr>
      <w:tblGrid>
        <w:gridCol w:w="2011"/>
        <w:gridCol w:w="9836"/>
        <w:gridCol w:w="154"/>
      </w:tblGrid>
      <w:tr>
        <w:trPr/>
        <w:tc>
          <w:tcPr>
            <w:tcW w:w="2011" w:type="dxa"/>
            <w:tcBorders/>
            <w:vAlign w:val="center"/>
          </w:tcPr>
          <w:p>
            <w:pPr>
              <w:pStyle w:val="TableContents"/>
              <w:bidi w:val="0"/>
              <w:spacing w:before="0" w:after="0"/>
              <w:jc w:val="center"/>
              <w:rPr>
                <w:rFonts w:ascii="arial;helvetica;sans-serif" w:hAnsi="arial;helvetica;sans-serif"/>
                <w:b/>
                <w:sz w:val="28"/>
              </w:rPr>
            </w:pPr>
            <w:r>
              <w:rPr>
                <w:rFonts w:ascii="arial;helvetica;sans-serif" w:hAnsi="arial;helvetica;sans-serif"/>
                <w:b/>
                <w:sz w:val="28"/>
              </w:rPr>
              <w:t>UNITED STATES</w:t>
            </w:r>
          </w:p>
          <w:tbl>
            <w:tblPr>
              <w:tblW w:w="5000" w:type="pct"/>
              <w:jc w:val="center"/>
              <w:tblInd w:w="0" w:type="dxa"/>
              <w:tblLayout w:type="fixed"/>
              <w:tblCellMar>
                <w:top w:w="28" w:type="dxa"/>
                <w:left w:w="28" w:type="dxa"/>
                <w:bottom w:w="28" w:type="dxa"/>
                <w:right w:w="28" w:type="dxa"/>
              </w:tblCellMar>
            </w:tblPr>
            <w:tblGrid>
              <w:gridCol w:w="1955"/>
            </w:tblGrid>
            <w:tr>
              <w:trPr/>
              <w:tc>
                <w:tcPr>
                  <w:tcW w:w="1955"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019"/>
                    <w:gridCol w:w="49"/>
                    <w:gridCol w:w="831"/>
                  </w:tblGrid>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3235-0080</w:t>
                        </w:r>
                      </w:p>
                    </w:tc>
                  </w:tr>
                  <w:tr>
                    <w:trPr/>
                    <w:tc>
                      <w:tcPr>
                        <w:tcW w:w="1019"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Expires:</w:t>
                        </w:r>
                      </w:p>
                    </w:tc>
                    <w:tc>
                      <w:tcPr>
                        <w:tcW w:w="880" w:type="dxa"/>
                        <w:gridSpan w:val="2"/>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March 31, 2018</w:t>
                        </w:r>
                      </w:p>
                    </w:tc>
                  </w:tr>
                  <w:tr>
                    <w:trPr/>
                    <w:tc>
                      <w:tcPr>
                        <w:tcW w:w="1899"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0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831"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1.7</w:t>
                        </w:r>
                      </w:p>
                    </w:tc>
                  </w:tr>
                </w:tbl>
                <w:p>
                  <w:pPr>
                    <w:pStyle w:val="TableContents"/>
                    <w:bidi w:val="0"/>
                    <w:spacing w:before="0" w:after="283"/>
                    <w:jc w:val="left"/>
                    <w:rPr/>
                  </w:pPr>
                  <w:r>
                    <w:rPr/>
                  </w:r>
                </w:p>
              </w:tc>
            </w:tr>
            <w:tr>
              <w:trPr/>
              <w:tc>
                <w:tcPr>
                  <w:tcW w:w="1955"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9836" w:type="dxa"/>
            <w:vMerge w:val="restart"/>
            <w:tcBorders/>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SECURITIES AND EXCHANGE COMMISSION</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Washington, D.C. 20549</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25</w:t>
            </w:r>
          </w:p>
        </w:tc>
        <w:tc>
          <w:tcPr>
            <w:tcW w:w="9836" w:type="dxa"/>
            <w:vMerge w:val="continue"/>
            <w:tcBorders/>
          </w:tcPr>
          <w:p>
            <w:pPr>
              <w:pStyle w:val="Normal"/>
              <w:bidi w:val="0"/>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NOTIFICATION OF REMOVAL FROM LISTING AND/OR REGISTRATION</w:t>
              <w:br/>
              <w:t xml:space="preserve">UNDER SECTION 12(b) OF THE SECURITIES EXCHANGE ACT OF 1934. </w:t>
            </w:r>
          </w:p>
        </w:tc>
        <w:tc>
          <w:tcPr>
            <w:tcW w:w="154" w:type="dxa"/>
            <w:tcBorders/>
          </w:tcPr>
          <w:p>
            <w:pPr>
              <w:pStyle w:val="TableContents"/>
              <w:bidi w:val="0"/>
              <w:spacing w:before="0" w:after="283"/>
              <w:jc w:val="left"/>
              <w:rPr>
                <w:sz w:val="4"/>
                <w:szCs w:val="4"/>
              </w:rPr>
            </w:pPr>
            <w:r>
              <w:rPr>
                <w:sz w:val="4"/>
                <w:szCs w:val="4"/>
              </w:rPr>
            </w:r>
          </w:p>
        </w:tc>
      </w:tr>
      <w:tr>
        <w:trPr/>
        <w:tc>
          <w:tcPr>
            <w:tcW w:w="2011"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 xml:space="preserve">Commission File Number </w:t>
            </w:r>
          </w:p>
        </w:tc>
        <w:tc>
          <w:tcPr>
            <w:tcW w:w="9836" w:type="dxa"/>
            <w:tcBorders/>
            <w:vAlign w:val="center"/>
          </w:tcPr>
          <w:p>
            <w:pPr>
              <w:pStyle w:val="TableContents"/>
              <w:bidi w:val="0"/>
              <w:spacing w:before="0" w:after="0"/>
              <w:jc w:val="left"/>
              <w:rPr/>
            </w:pPr>
            <w:hyperlink r:id="rId2">
              <w:r>
                <w:rPr>
                  <w:rStyle w:val="InternetLink"/>
                </w:rPr>
                <w:t>001-39128</w:t>
              </w:r>
            </w:hyperlink>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top w:val="single" w:sz="4" w:space="0" w:color="000000"/>
                    <w:left w:val="single" w:sz="4" w:space="0" w:color="000000"/>
                    <w:bottom w:val="single" w:sz="4" w:space="0" w:color="000000"/>
                    <w:right w:val="single" w:sz="4" w:space="0" w:color="000000"/>
                  </w:tcBorders>
                  <w:vAlign w:val="bottom"/>
                </w:tcPr>
                <w:tbl>
                  <w:tblPr>
                    <w:tblW w:w="3992" w:type="dxa"/>
                    <w:jc w:val="center"/>
                    <w:tblInd w:w="0" w:type="dxa"/>
                    <w:tblLayout w:type="fixed"/>
                    <w:tblCellMar>
                      <w:top w:w="28" w:type="dxa"/>
                      <w:left w:w="28" w:type="dxa"/>
                      <w:bottom w:w="28" w:type="dxa"/>
                      <w:right w:w="28" w:type="dxa"/>
                    </w:tblCellMar>
                  </w:tblPr>
                  <w:tblGrid>
                    <w:gridCol w:w="1261"/>
                    <w:gridCol w:w="2731"/>
                  </w:tblGrid>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Issuer:</w:t>
                        </w:r>
                      </w:p>
                    </w:tc>
                    <w:tc>
                      <w:tcPr>
                        <w:tcW w:w="2731" w:type="dxa"/>
                        <w:tcBorders/>
                        <w:vAlign w:val="center"/>
                      </w:tcPr>
                      <w:p>
                        <w:pPr>
                          <w:pStyle w:val="TableContents"/>
                          <w:bidi w:val="0"/>
                          <w:spacing w:before="0" w:after="283"/>
                          <w:jc w:val="left"/>
                          <w:rPr/>
                        </w:pPr>
                        <w:hyperlink r:id="rId3">
                          <w:r>
                            <w:rPr>
                              <w:rStyle w:val="InternetLink"/>
                            </w:rPr>
                            <w:t>Momentus Inc.</w:t>
                          </w:r>
                        </w:hyperlink>
                      </w:p>
                    </w:tc>
                  </w:tr>
                  <w:tr>
                    <w:trPr/>
                    <w:tc>
                      <w:tcPr>
                        <w:tcW w:w="1261"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Exchange:</w:t>
                        </w:r>
                      </w:p>
                    </w:tc>
                    <w:tc>
                      <w:tcPr>
                        <w:tcW w:w="27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Nasdaq Stock Market LLC</w:t>
                        </w:r>
                      </w:p>
                    </w:tc>
                  </w:tr>
                </w:tbl>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0"/>
                    <w:jc w:val="left"/>
                    <w:rPr>
                      <w:rFonts w:ascii="arial;helvetica;sans-serif" w:hAnsi="arial;helvetica;sans-serif"/>
                      <w:sz w:val="14"/>
                    </w:rPr>
                  </w:pPr>
                  <w:r>
                    <w:rPr>
                      <w:rFonts w:ascii="arial;helvetica;sans-serif" w:hAnsi="arial;helvetica;sans-serif"/>
                      <w:sz w:val="14"/>
                    </w:rPr>
                    <w:t xml:space="preserve">(Exact name of Issuer as specified in its charter, and name of Exchange where security is listed and/or registered) </w:t>
                  </w:r>
                </w:p>
                <w:tbl>
                  <w:tblPr>
                    <w:tblW w:w="7044" w:type="dxa"/>
                    <w:jc w:val="center"/>
                    <w:tblInd w:w="0" w:type="dxa"/>
                    <w:tblLayout w:type="fixed"/>
                    <w:tblCellMar>
                      <w:top w:w="28" w:type="dxa"/>
                      <w:left w:w="28" w:type="dxa"/>
                      <w:bottom w:w="28" w:type="dxa"/>
                      <w:right w:w="28" w:type="dxa"/>
                    </w:tblCellMar>
                  </w:tblPr>
                  <w:tblGrid>
                    <w:gridCol w:w="2206"/>
                    <w:gridCol w:w="931"/>
                    <w:gridCol w:w="1591"/>
                    <w:gridCol w:w="706"/>
                    <w:gridCol w:w="109"/>
                    <w:gridCol w:w="1501"/>
                  </w:tblGrid>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337" w:type="dxa"/>
                        <w:gridSpan w:val="4"/>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1762 Automation Parkway</w:t>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Jose</w:t>
                        </w:r>
                      </w:p>
                    </w:tc>
                    <w:tc>
                      <w:tcPr>
                        <w:tcW w:w="159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CALIFORNIA</w:t>
                        </w:r>
                      </w:p>
                    </w:tc>
                    <w:tc>
                      <w:tcPr>
                        <w:tcW w:w="706"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95131</w:t>
                        </w:r>
                      </w:p>
                    </w:tc>
                    <w:tc>
                      <w:tcPr>
                        <w:tcW w:w="109" w:type="dxa"/>
                        <w:tcBorders/>
                      </w:tcPr>
                      <w:p>
                        <w:pPr>
                          <w:pStyle w:val="TableContents"/>
                          <w:bidi w:val="0"/>
                          <w:spacing w:before="0" w:after="283"/>
                          <w:jc w:val="left"/>
                          <w:rPr>
                            <w:sz w:val="4"/>
                            <w:szCs w:val="4"/>
                          </w:rPr>
                        </w:pPr>
                        <w:r>
                          <w:rPr>
                            <w:sz w:val="4"/>
                            <w:szCs w:val="4"/>
                          </w:rPr>
                        </w:r>
                      </w:p>
                    </w:tc>
                    <w:tc>
                      <w:tcPr>
                        <w:tcW w:w="1501" w:type="dxa"/>
                        <w:tcBorders/>
                      </w:tcPr>
                      <w:p>
                        <w:pPr>
                          <w:pStyle w:val="TableContents"/>
                          <w:bidi w:val="0"/>
                          <w:spacing w:before="0" w:after="283"/>
                          <w:jc w:val="left"/>
                          <w:rPr>
                            <w:sz w:val="4"/>
                            <w:szCs w:val="4"/>
                          </w:rPr>
                        </w:pPr>
                        <w:r>
                          <w:rPr>
                            <w:sz w:val="4"/>
                            <w:szCs w:val="4"/>
                          </w:rPr>
                        </w:r>
                      </w:p>
                    </w:tc>
                  </w:tr>
                  <w:tr>
                    <w:trPr/>
                    <w:tc>
                      <w:tcPr>
                        <w:tcW w:w="2206" w:type="dxa"/>
                        <w:tcBorders/>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Telephone number:</w:t>
                        </w:r>
                      </w:p>
                    </w:tc>
                    <w:tc>
                      <w:tcPr>
                        <w:tcW w:w="3337" w:type="dxa"/>
                        <w:gridSpan w:val="4"/>
                        <w:tcBorders/>
                        <w:vAlign w:val="center"/>
                      </w:tcPr>
                      <w:p>
                        <w:pPr>
                          <w:pStyle w:val="TableContents"/>
                          <w:bidi w:val="0"/>
                          <w:spacing w:before="0" w:after="283"/>
                          <w:jc w:val="left"/>
                          <w:rPr>
                            <w:sz w:val="4"/>
                            <w:szCs w:val="4"/>
                          </w:rPr>
                        </w:pPr>
                        <w:r>
                          <w:rPr>
                            <w:sz w:val="4"/>
                            <w:szCs w:val="4"/>
                          </w:rPr>
                        </w:r>
                      </w:p>
                    </w:tc>
                    <w:tc>
                      <w:tcPr>
                        <w:tcW w:w="1501"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650-564-7820</w:t>
                        </w:r>
                      </w:p>
                    </w:tc>
                  </w:tr>
                </w:tbl>
                <w:p>
                  <w:pPr>
                    <w:pStyle w:val="TableContents"/>
                    <w:bidi w:val="0"/>
                    <w:spacing w:before="0" w:after="283"/>
                    <w:jc w:val="left"/>
                    <w:rPr/>
                  </w:pPr>
                  <w:r>
                    <w:rPr/>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left"/>
                    <w:rPr>
                      <w:sz w:val="4"/>
                      <w:szCs w:val="4"/>
                    </w:rPr>
                  </w:pPr>
                  <w:r>
                    <w:rPr>
                      <w:sz w:val="4"/>
                      <w:szCs w:val="4"/>
                    </w:rPr>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(Address, including zip code, and telephone number, including area code, of Issuer's principal executive offices) </w:t>
                  </w:r>
                </w:p>
              </w:tc>
            </w:tr>
            <w:tr>
              <w:trPr/>
              <w:tc>
                <w:tcPr>
                  <w:tcW w:w="9750"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Warrant expiring 8/12/2026</w:t>
                  </w:r>
                </w:p>
              </w:tc>
            </w:tr>
            <w:tr>
              <w:trPr/>
              <w:tc>
                <w:tcPr>
                  <w:tcW w:w="9750" w:type="dxa"/>
                  <w:tcBorders/>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(Description of class of securities)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Please place an X in the box to designate the rule provision relied upon to strike the class of securities from listing and registration: </w:t>
            </w:r>
          </w:p>
          <w:tbl>
            <w:tblPr>
              <w:tblW w:w="9750" w:type="dxa"/>
              <w:jc w:val="center"/>
              <w:tblInd w:w="0" w:type="dxa"/>
              <w:tblLayout w:type="fixed"/>
              <w:tblCellMar>
                <w:top w:w="28" w:type="dxa"/>
                <w:left w:w="28" w:type="dxa"/>
                <w:bottom w:w="28" w:type="dxa"/>
                <w:right w:w="28" w:type="dxa"/>
              </w:tblCellMar>
            </w:tblPr>
            <w:tblGrid>
              <w:gridCol w:w="9750"/>
            </w:tblGrid>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240.12d2-2(a)(1)</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240.12d2-2(a)(2)</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240.12d2-2(a)(3)</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17 CFR 240.12d2-2(a)(4)</w:t>
                  </w:r>
                </w:p>
              </w:tc>
            </w:tr>
            <w:tr>
              <w:trPr/>
              <w:tc>
                <w:tcPr>
                  <w:tcW w:w="9750" w:type="dxa"/>
                  <w:tcBorders/>
                  <w:vAlign w:val="center"/>
                </w:tcPr>
                <w:p>
                  <w:pPr>
                    <w:pStyle w:val="TableContents"/>
                    <w:bidi w:val="0"/>
                    <w:spacing w:before="0" w:after="283"/>
                    <w:jc w:val="left"/>
                    <w:rPr/>
                  </w:pPr>
                  <w:r>
                    <w:rPr>
                      <w:rFonts w:ascii="arial;helvetica;sans-serif" w:hAnsi="arial;helvetica;sans-serif"/>
                      <w:b w:val="false"/>
                      <w:sz w:val="24"/>
                    </w:rPr>
                    <w:t xml:space="preserve">Pursuant to 17 CFR 240.12d2-2(b), the Exchange has complied with its rules to strike the class of securities from listing and/or withdraw registration on the Exchange. </w:t>
                  </w:r>
                  <w:hyperlink w:anchor="Footnote1">
                    <w:r>
                      <w:rPr>
                        <w:rStyle w:val="InternetLink"/>
                        <w:rFonts w:ascii="arial;helvetica;sans-serif" w:hAnsi="arial;helvetica;sans-serif"/>
                        <w:b w:val="false"/>
                        <w:position w:val="8"/>
                        <w:sz w:val="19"/>
                        <w:sz w:val="24"/>
                      </w:rPr>
                      <w:t>1</w:t>
                    </w:r>
                  </w:hyperlink>
                  <w:r>
                    <w:rPr>
                      <w:rFonts w:ascii="arial;helvetica;sans-serif" w:hAnsi="arial;helvetica;sans-serif"/>
                      <w:b w:val="false"/>
                      <w:sz w:val="24"/>
                    </w:rPr>
                    <w:t xml:space="preserve"> </w:t>
                  </w:r>
                </w:p>
              </w:tc>
            </w:tr>
            <w:tr>
              <w:trPr/>
              <w:tc>
                <w:tcPr>
                  <w:tcW w:w="975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 xml:space="preserve">Pursuant to 17 CFR 240.12d2-2(c), the Issuer has complied with its rules of the Exchange and the requirements of 17 CFR 240.12d-2(c) governing the voluntary withdrawal of the class of securities from listing and registration on the Exchange.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0"/>
              <w:jc w:val="left"/>
              <w:rPr>
                <w:rFonts w:ascii="arial;helvetica;sans-serif" w:hAnsi="arial;helvetica;sans-serif"/>
                <w:b w:val="false"/>
                <w:sz w:val="24"/>
              </w:rPr>
            </w:pPr>
            <w:r>
              <w:rPr>
                <w:rFonts w:ascii="arial;helvetica;sans-serif" w:hAnsi="arial;helvetica;sans-serif"/>
                <w:b w:val="false"/>
                <w:sz w:val="24"/>
              </w:rPr>
              <w:t xml:space="preserve">Pursuant to the requirements fo the Securities Exchange Act of 1934, </w:t>
            </w:r>
            <w:r>
              <w:rPr>
                <w:rFonts w:ascii="Times;serif" w:hAnsi="Times;serif"/>
                <w:b w:val="false"/>
                <w:color w:val="0000FF"/>
                <w:sz w:val="24"/>
                <w:shd w:fill="FFFFFF" w:val="clear"/>
              </w:rPr>
              <w:t>Nasdaq Stock Market LLC</w:t>
            </w:r>
            <w:r>
              <w:rPr>
                <w:rFonts w:ascii="arial;helvetica;sans-serif" w:hAnsi="arial;helvetica;sans-serif"/>
                <w:b w:val="false"/>
                <w:sz w:val="24"/>
              </w:rPr>
              <w:t xml:space="preserve"> certifies that it has reasonable grounds to believe that it meets all of the requirements for filing the Form 25 and has caused this notification to be signed on its behalf by the undersigned duly authorized person. </w:t>
            </w:r>
          </w:p>
          <w:tbl>
            <w:tblPr>
              <w:tblW w:w="9750" w:type="dxa"/>
              <w:jc w:val="center"/>
              <w:tblInd w:w="0" w:type="dxa"/>
              <w:tblLayout w:type="fixed"/>
              <w:tblCellMar>
                <w:top w:w="28" w:type="dxa"/>
                <w:left w:w="28" w:type="dxa"/>
                <w:bottom w:w="28" w:type="dxa"/>
                <w:right w:w="28" w:type="dxa"/>
              </w:tblCellMar>
            </w:tblPr>
            <w:tblGrid>
              <w:gridCol w:w="2319"/>
              <w:gridCol w:w="1020"/>
              <w:gridCol w:w="3766"/>
              <w:gridCol w:w="287"/>
              <w:gridCol w:w="2358"/>
            </w:tblGrid>
            <w:tr>
              <w:trPr/>
              <w:tc>
                <w:tcPr>
                  <w:tcW w:w="2319"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2026-08-11</w:t>
                  </w:r>
                </w:p>
              </w:tc>
              <w:tc>
                <w:tcPr>
                  <w:tcW w:w="10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By</w:t>
                  </w:r>
                </w:p>
              </w:tc>
              <w:tc>
                <w:tcPr>
                  <w:tcW w:w="3766"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Jennifer Fainer</w:t>
                  </w:r>
                </w:p>
              </w:tc>
              <w:tc>
                <w:tcPr>
                  <w:tcW w:w="287" w:type="dxa"/>
                  <w:tcBorders/>
                  <w:vAlign w:val="center"/>
                </w:tcPr>
                <w:p>
                  <w:pPr>
                    <w:pStyle w:val="TableContents"/>
                    <w:bidi w:val="0"/>
                    <w:spacing w:before="0" w:after="283"/>
                    <w:jc w:val="left"/>
                    <w:rPr>
                      <w:sz w:val="4"/>
                      <w:szCs w:val="4"/>
                    </w:rPr>
                  </w:pPr>
                  <w:r>
                    <w:rPr>
                      <w:sz w:val="4"/>
                      <w:szCs w:val="4"/>
                    </w:rPr>
                  </w:r>
                </w:p>
              </w:tc>
              <w:tc>
                <w:tcPr>
                  <w:tcW w:w="2358" w:type="dxa"/>
                  <w:tcBorders>
                    <w:top w:val="single" w:sz="4" w:space="0" w:color="000000"/>
                    <w:left w:val="single" w:sz="4" w:space="0" w:color="000000"/>
                    <w:bottom w:val="single" w:sz="4" w:space="0" w:color="000000"/>
                    <w:right w:val="single" w:sz="4" w:space="0" w:color="000000"/>
                  </w:tcBorders>
                  <w:vAlign w:val="bottom"/>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CDO Analyst</w:t>
                  </w:r>
                </w:p>
              </w:tc>
            </w:tr>
            <w:tr>
              <w:trPr/>
              <w:tc>
                <w:tcPr>
                  <w:tcW w:w="2319"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Date</w:t>
                  </w:r>
                </w:p>
              </w:tc>
              <w:tc>
                <w:tcPr>
                  <w:tcW w:w="1020" w:type="dxa"/>
                  <w:tcBorders/>
                  <w:vAlign w:val="center"/>
                </w:tcPr>
                <w:p>
                  <w:pPr>
                    <w:pStyle w:val="TableContents"/>
                    <w:bidi w:val="0"/>
                    <w:spacing w:before="0" w:after="283"/>
                    <w:jc w:val="left"/>
                    <w:rPr>
                      <w:sz w:val="4"/>
                      <w:szCs w:val="4"/>
                    </w:rPr>
                  </w:pPr>
                  <w:r>
                    <w:rPr>
                      <w:sz w:val="4"/>
                      <w:szCs w:val="4"/>
                    </w:rPr>
                  </w:r>
                </w:p>
              </w:tc>
              <w:tc>
                <w:tcPr>
                  <w:tcW w:w="4053"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2358"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tbl>
            <w:tblPr>
              <w:tblW w:w="9750" w:type="dxa"/>
              <w:jc w:val="center"/>
              <w:tblInd w:w="0" w:type="dxa"/>
              <w:tblLayout w:type="fixed"/>
              <w:tblCellMar>
                <w:top w:w="28" w:type="dxa"/>
                <w:left w:w="28" w:type="dxa"/>
                <w:bottom w:w="28" w:type="dxa"/>
                <w:right w:w="28" w:type="dxa"/>
              </w:tblCellMar>
            </w:tblPr>
            <w:tblGrid>
              <w:gridCol w:w="496"/>
              <w:gridCol w:w="9254"/>
            </w:tblGrid>
            <w:tr>
              <w:trPr/>
              <w:tc>
                <w:tcPr>
                  <w:tcW w:w="496" w:type="dxa"/>
                  <w:tcBorders/>
                </w:tcPr>
                <w:p>
                  <w:pPr>
                    <w:pStyle w:val="TableContents"/>
                    <w:bidi w:val="0"/>
                    <w:spacing w:before="0" w:after="283"/>
                    <w:jc w:val="left"/>
                    <w:rPr>
                      <w:position w:val="8"/>
                      <w:sz w:val="19"/>
                    </w:rPr>
                  </w:pPr>
                  <w:bookmarkStart w:id="4" w:name="Footnote1"/>
                  <w:bookmarkEnd w:id="4"/>
                  <w:r>
                    <w:rPr>
                      <w:position w:val="8"/>
                      <w:sz w:val="19"/>
                    </w:rPr>
                    <w:t>1</w:t>
                  </w:r>
                </w:p>
              </w:tc>
              <w:tc>
                <w:tcPr>
                  <w:tcW w:w="9254" w:type="dxa"/>
                  <w:tcBorders/>
                  <w:vAlign w:val="center"/>
                </w:tcPr>
                <w:p>
                  <w:pPr>
                    <w:pStyle w:val="TableContents"/>
                    <w:bidi w:val="0"/>
                    <w:spacing w:before="0" w:after="283"/>
                    <w:jc w:val="left"/>
                    <w:rPr/>
                  </w:pPr>
                  <w:r>
                    <w:rPr>
                      <w:rFonts w:ascii="arial;helvetica;sans-serif" w:hAnsi="arial;helvetica;sans-serif"/>
                      <w:b w:val="false"/>
                      <w:sz w:val="24"/>
                    </w:rPr>
                    <w:t xml:space="preserve">Form 25 and attached Notice will be considered compliance with the provisions of 17 CFR 240.19d-1 as applicable. </w:t>
                  </w:r>
                  <w:hyperlink r:id="rId4">
                    <w:r>
                      <w:rPr>
                        <w:rStyle w:val="InternetLink"/>
                        <w:rFonts w:ascii="arial;helvetica;sans-serif" w:hAnsi="arial;helvetica;sans-serif"/>
                        <w:b w:val="false"/>
                        <w:sz w:val="24"/>
                      </w:rPr>
                      <w:t>See</w:t>
                    </w:r>
                  </w:hyperlink>
                  <w:r>
                    <w:rPr>
                      <w:rFonts w:ascii="arial;helvetica;sans-serif" w:hAnsi="arial;helvetica;sans-serif"/>
                      <w:b w:val="false"/>
                      <w:sz w:val="24"/>
                    </w:rPr>
                    <w:t xml:space="preserve"> General Instructions. </w:t>
                  </w:r>
                </w:p>
              </w:tc>
            </w:tr>
          </w:tbl>
          <w:p>
            <w:pPr>
              <w:pStyle w:val="TableContents"/>
              <w:bidi w:val="0"/>
              <w:spacing w:before="0" w:after="283"/>
              <w:jc w:val="left"/>
              <w:rPr/>
            </w:pPr>
            <w:r>
              <w:rPr/>
            </w:r>
          </w:p>
        </w:tc>
        <w:tc>
          <w:tcPr>
            <w:tcW w:w="154" w:type="dxa"/>
            <w:tcBorders/>
          </w:tcPr>
          <w:p>
            <w:pPr>
              <w:pStyle w:val="TableContents"/>
              <w:bidi w:val="0"/>
              <w:spacing w:before="0" w:after="283"/>
              <w:jc w:val="left"/>
              <w:rPr>
                <w:sz w:val="4"/>
                <w:szCs w:val="4"/>
              </w:rPr>
            </w:pPr>
            <w:r>
              <w:rPr>
                <w:sz w:val="4"/>
                <w:szCs w:val="4"/>
              </w:rPr>
            </w:r>
          </w:p>
        </w:tc>
      </w:tr>
      <w:tr>
        <w:trPr/>
        <w:tc>
          <w:tcPr>
            <w:tcW w:w="11847" w:type="dxa"/>
            <w:gridSpan w:val="2"/>
            <w:tcBorders/>
            <w:vAlign w:val="center"/>
          </w:tcPr>
          <w:p>
            <w:pPr>
              <w:pStyle w:val="TableContents"/>
              <w:bidi w:val="0"/>
              <w:spacing w:before="0" w:after="283"/>
              <w:jc w:val="left"/>
              <w:rPr>
                <w:sz w:val="4"/>
                <w:szCs w:val="4"/>
              </w:rPr>
            </w:pPr>
            <w:r>
              <w:rPr>
                <w:sz w:val="4"/>
                <w:szCs w:val="4"/>
              </w:rPr>
            </w:r>
          </w:p>
        </w:tc>
        <w:tc>
          <w:tcPr>
            <w:tcW w:w="154" w:type="dxa"/>
            <w:tcBorders/>
          </w:tcPr>
          <w:p>
            <w:pPr>
              <w:pStyle w:val="TableContents"/>
              <w:bidi w:val="0"/>
              <w:spacing w:before="0" w:after="283"/>
              <w:jc w:val="left"/>
              <w:rPr>
                <w:sz w:val="4"/>
                <w:szCs w:val="4"/>
              </w:rPr>
            </w:pPr>
            <w:r>
              <w:rPr>
                <w:sz w:val="4"/>
                <w:szCs w:val="4"/>
              </w:rPr>
            </w:r>
          </w:p>
        </w:tc>
      </w:tr>
      <w:tr>
        <w:trPr/>
        <w:tc>
          <w:tcPr>
            <w:tcW w:w="12001" w:type="dxa"/>
            <w:gridSpan w:val="3"/>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Persons who respond to the collection of information contained in this form are not required to respond unless the form displays a currently valid OMB Number. </w:t>
            </w:r>
          </w:p>
        </w:tc>
      </w:tr>
    </w:tbl>
    <w:p>
      <w:pPr>
        <w:pStyle w:val="PreformattedText"/>
        <w:bidi w:val="0"/>
        <w:jc w:val="left"/>
        <w:rPr/>
      </w:pPr>
      <w:bookmarkStart w:id="5" w:name="form25.txt"/>
      <w:bookmarkStart w:id="6" w:name="ksform25"/>
      <w:bookmarkEnd w:id="5"/>
      <w:bookmarkEnd w:id="6"/>
      <w:r>
        <w:rPr/>
        <w:t>Form25</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VisitedInternetLink">
    <w:name w:val="FollowedHyperlink"/>
    <w:rPr>
      <w:color w:val="80000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1-39128" TargetMode="External"/><Relationship Id="rId3" Type="http://schemas.openxmlformats.org/officeDocument/2006/relationships/hyperlink" Target="http://www.sec.gov/cgi-bin/browse-edgar?action=getcompany&amp;CIK=0001781162" TargetMode="External"/><Relationship Id="rId4" Type="http://schemas.openxmlformats.org/officeDocument/2006/relationships/hyperlink" Target="#"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320</Words>
  <Characters>1778</Characters>
  <CharactersWithSpaces>2060</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