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 2026</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333-296218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6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MOMENTUS INC.</w:t>
      </w:r>
    </w:p>
    <w:p>
      <w:pPr>
        <w:spacing w:after="0" w:line="50" w:lineRule="exact"/>
        <w:rPr>
          <w:sz w:val="24"/>
          <w:szCs w:val="24"/>
          <w:color w:val="auto"/>
        </w:rPr>
      </w:pPr>
    </w:p>
    <w:tbl>
      <w:tblPr>
        <w:tblLayout w:type="fixed"/>
        <w:tblInd w:w="50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44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1660" w:type="dxa"/>
            <w:vAlign w:val="bottom"/>
          </w:tcPr>
          <w:p>
            <w:pPr>
              <w:spacing w:after="0"/>
              <w:rPr>
                <w:sz w:val="19"/>
                <w:szCs w:val="19"/>
                <w:color w:val="auto"/>
              </w:rPr>
            </w:pPr>
          </w:p>
        </w:tc>
      </w:tr>
      <w:tr>
        <w:trPr>
          <w:trHeight w:val="236"/>
        </w:trPr>
        <w:tc>
          <w:tcPr>
            <w:tcW w:w="226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40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3714</w:t>
            </w:r>
          </w:p>
        </w:tc>
        <w:tc>
          <w:tcPr>
            <w:tcW w:w="1660" w:type="dxa"/>
            <w:vAlign w:val="bottom"/>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84-1905538</w:t>
            </w:r>
          </w:p>
        </w:tc>
      </w:tr>
      <w:tr>
        <w:trPr>
          <w:trHeight w:val="216"/>
        </w:trPr>
        <w:tc>
          <w:tcPr>
            <w:tcW w:w="226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40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(Primary Standard Industrial</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226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40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233"/>
        </w:trPr>
        <w:tc>
          <w:tcPr>
            <w:tcW w:w="2260" w:type="dxa"/>
            <w:vAlign w:val="bottom"/>
          </w:tcPr>
          <w:p>
            <w:pPr>
              <w:spacing w:after="0"/>
              <w:rPr>
                <w:sz w:val="20"/>
                <w:szCs w:val="20"/>
                <w:color w:val="auto"/>
              </w:rPr>
            </w:pPr>
          </w:p>
        </w:tc>
        <w:tc>
          <w:tcPr>
            <w:tcW w:w="440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1762 Automation Parkway</w:t>
            </w:r>
          </w:p>
        </w:tc>
        <w:tc>
          <w:tcPr>
            <w:tcW w:w="166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440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San Jose, CA 95131</w:t>
            </w:r>
          </w:p>
        </w:tc>
        <w:tc>
          <w:tcPr>
            <w:tcW w:w="1660" w:type="dxa"/>
            <w:vAlign w:val="bottom"/>
          </w:tcPr>
          <w:p>
            <w:pPr>
              <w:spacing w:after="0"/>
              <w:rPr>
                <w:sz w:val="17"/>
                <w:szCs w:val="17"/>
                <w:color w:val="auto"/>
              </w:rPr>
            </w:pPr>
          </w:p>
        </w:tc>
      </w:tr>
      <w:tr>
        <w:trPr>
          <w:trHeight w:val="226"/>
        </w:trPr>
        <w:tc>
          <w:tcPr>
            <w:tcW w:w="2260" w:type="dxa"/>
            <w:vAlign w:val="bottom"/>
          </w:tcPr>
          <w:p>
            <w:pPr>
              <w:spacing w:after="0"/>
              <w:rPr>
                <w:sz w:val="19"/>
                <w:szCs w:val="19"/>
                <w:color w:val="auto"/>
              </w:rPr>
            </w:pPr>
          </w:p>
        </w:tc>
        <w:tc>
          <w:tcPr>
            <w:tcW w:w="44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(650) 564-7820</w:t>
            </w:r>
          </w:p>
        </w:tc>
        <w:tc>
          <w:tcPr>
            <w:tcW w:w="1660" w:type="dxa"/>
            <w:vAlign w:val="bottom"/>
          </w:tcPr>
          <w:p>
            <w:pPr>
              <w:spacing w:after="0"/>
              <w:rPr>
                <w:sz w:val="19"/>
                <w:szCs w:val="19"/>
                <w:color w:val="auto"/>
              </w:rPr>
            </w:pPr>
          </w:p>
        </w:tc>
      </w:tr>
    </w:tbl>
    <w:p>
      <w:pPr>
        <w:spacing w:after="0" w:line="48"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John C. Rood</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1762 Automation Parkway</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San Jose, California 95131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(650) 564-7820</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Stephen C. Hinton, Esq.</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Bradley Arant Boult Cummings LLP</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1221 Broadway</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Nashville, Tennessee 37203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(615) 252-3585</w:t>
      </w:r>
    </w:p>
    <w:p>
      <w:pPr>
        <w:spacing w:after="0" w:line="5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 as determined by market conditions.</w:t>
      </w:r>
    </w:p>
    <w:p>
      <w:pPr>
        <w:spacing w:after="0" w:line="11"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77" w:lineRule="exact"/>
        <w:rPr>
          <w:sz w:val="24"/>
          <w:szCs w:val="24"/>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spacing w:after="0" w:line="1"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88"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7"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77"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7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6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7"/>
          <w:szCs w:val="17"/>
          <w:color w:val="auto"/>
        </w:rPr>
        <w:t>☐</w:t>
      </w:r>
    </w:p>
    <w:p>
      <w:pPr>
        <w:spacing w:after="0" w:line="7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191770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328930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587"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Pre-Effective Amendment No. 1 to the Registration Statement on Form S-3 (File No. 333-296218 is being filed by Momentus Inc. (the “Company”) to register 3,089,100 shares of the Company’s Class A common stock, par value $0.00001 per share, for resale by the selling stockholders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right="80"/>
        <w:spacing w:after="0" w:line="263" w:lineRule="auto"/>
        <w:rPr>
          <w:sz w:val="20"/>
          <w:szCs w:val="20"/>
          <w:color w:val="auto"/>
        </w:rPr>
      </w:pPr>
      <w:r>
        <w:rPr>
          <w:rFonts w:ascii="Arial" w:cs="Arial" w:eastAsia="Arial" w:hAnsi="Arial"/>
          <w:sz w:val="16"/>
          <w:szCs w:val="16"/>
          <w:b w:val="1"/>
          <w:bCs w:val="1"/>
          <w:color w:val="FC0014"/>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C0014"/>
        </w:rPr>
        <w:t>Subject to Completion, Dated June 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173990</wp:posOffset>
            </wp:positionV>
            <wp:extent cx="1183005"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300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MOMENTUS INC.</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 </w:t>
      </w:r>
    </w:p>
    <w:p>
      <w:pPr>
        <w:ind w:left="4120"/>
        <w:spacing w:after="0" w:line="230" w:lineRule="auto"/>
        <w:rPr>
          <w:sz w:val="20"/>
          <w:szCs w:val="20"/>
          <w:color w:val="auto"/>
        </w:rPr>
      </w:pPr>
      <w:r>
        <w:rPr>
          <w:rFonts w:ascii="Times New Roman" w:cs="Times New Roman" w:eastAsia="Times New Roman" w:hAnsi="Times New Roman"/>
          <w:sz w:val="22"/>
          <w:szCs w:val="22"/>
          <w:b w:val="1"/>
          <w:bCs w:val="1"/>
          <w:color w:val="auto"/>
        </w:rPr>
        <w:t>$200,000,000</w:t>
      </w:r>
    </w:p>
    <w:p>
      <w:pPr>
        <w:ind w:left="4620"/>
        <w:spacing w:after="0" w:line="231" w:lineRule="auto"/>
        <w:rPr>
          <w:sz w:val="20"/>
          <w:szCs w:val="20"/>
          <w:color w:val="auto"/>
        </w:rPr>
      </w:pPr>
      <w:r>
        <w:rPr>
          <w:rFonts w:ascii="Times New Roman" w:cs="Times New Roman" w:eastAsia="Times New Roman" w:hAnsi="Times New Roman"/>
          <w:sz w:val="22"/>
          <w:szCs w:val="22"/>
          <w:b w:val="1"/>
          <w:bCs w:val="1"/>
          <w:color w:val="auto"/>
        </w:rPr>
        <w:t>of</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auto"/>
        </w:rPr>
        <w:t>Common Stock</w:t>
      </w:r>
    </w:p>
    <w:p>
      <w:pPr>
        <w:ind w:left="3980"/>
        <w:spacing w:after="0" w:line="231" w:lineRule="auto"/>
        <w:rPr>
          <w:sz w:val="20"/>
          <w:szCs w:val="20"/>
          <w:color w:val="auto"/>
        </w:rPr>
      </w:pPr>
      <w:r>
        <w:rPr>
          <w:rFonts w:ascii="Times New Roman" w:cs="Times New Roman" w:eastAsia="Times New Roman" w:hAnsi="Times New Roman"/>
          <w:sz w:val="22"/>
          <w:szCs w:val="22"/>
          <w:b w:val="1"/>
          <w:bCs w:val="1"/>
          <w:color w:val="auto"/>
        </w:rPr>
        <w:t>Preferred Stock</w:t>
      </w:r>
    </w:p>
    <w:p>
      <w:pPr>
        <w:ind w:left="4020"/>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ind w:left="4280"/>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ind w:left="4500"/>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ind w:left="2640"/>
        <w:spacing w:after="0" w:line="231" w:lineRule="auto"/>
        <w:rPr>
          <w:sz w:val="20"/>
          <w:szCs w:val="20"/>
          <w:color w:val="auto"/>
        </w:rPr>
      </w:pPr>
      <w:r>
        <w:rPr>
          <w:rFonts w:ascii="Times New Roman" w:cs="Times New Roman" w:eastAsia="Times New Roman" w:hAnsi="Times New Roman"/>
          <w:sz w:val="22"/>
          <w:szCs w:val="22"/>
          <w:b w:val="1"/>
          <w:bCs w:val="1"/>
          <w:color w:val="auto"/>
        </w:rPr>
        <w:t>Offered, from time to time, by Momentus Inc.</w:t>
      </w:r>
    </w:p>
    <w:p>
      <w:pPr>
        <w:ind w:left="4640"/>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ind w:left="2820"/>
        <w:spacing w:after="0" w:line="231" w:lineRule="auto"/>
        <w:rPr>
          <w:sz w:val="20"/>
          <w:szCs w:val="20"/>
          <w:color w:val="auto"/>
        </w:rPr>
      </w:pPr>
      <w:r>
        <w:rPr>
          <w:rFonts w:ascii="Times New Roman" w:cs="Times New Roman" w:eastAsia="Times New Roman" w:hAnsi="Times New Roman"/>
          <w:sz w:val="22"/>
          <w:szCs w:val="22"/>
          <w:b w:val="1"/>
          <w:bCs w:val="1"/>
          <w:color w:val="auto"/>
        </w:rPr>
        <w:t>Up to 3,089,100 Shares of Common Stock</w:t>
      </w:r>
    </w:p>
    <w:p>
      <w:pPr>
        <w:ind w:left="3100"/>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from time to time, offer and sell up to $200,000,000 of any combination of our Class A common stock, par value $0.00001 (the “common stock”</w:t>
      </w:r>
    </w:p>
    <w:p>
      <w:pPr>
        <w:spacing w:after="0" w:line="19"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5"/>
          <w:szCs w:val="15"/>
          <w:color w:val="auto"/>
        </w:rPr>
        <w:t>or “Common Stock”), preferred stock, par value $0.00001 (the “preferred stock”), debt securities, warrants or units described in this prospectus, either individually or in combination with other securities, at prices and on terms described in one or more supplements to this prospectus. We may also offer common stock or preferred stock upon conversion of debt securities, common stock upon conversion of preferred stock, or common stock, preferred stock, or debt securities upon the exercise of warrants.</w:t>
      </w:r>
    </w:p>
    <w:p>
      <w:pPr>
        <w:spacing w:after="0" w:line="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This prospectus also relates to the offer and sale from time-to-time of up to 3,089,100 shares of Common Stock by the Selling Stockholders identified in this prospectus or their permitted transferees (collectively, the “Selling Stockholders”). The shares of Common Stock registered for resale pursuant to this prospectus consist of (i) 2,173,420 shares of Common Stock (the “Private Placement Shares”) issued to the Selling Stockholders pursuant to the Securities Purchase Agreement dated May 26, 2026 (the “May 2026 SPA”); (ii) 768,580 shares of Common Stock (the “Pre-Funded Warrant Shares”) issuable upon</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the exercise of certain pre-funded warrants issued to the Selling Stockholders on May 28, 2026 (the “Pre-Funded Warrants”); and (iii) 147,100 shares of Common Stock (the “PA Warrant Shares” and, together with the Private Placement Shares, and Pre-Funded Warrant Shares, the “Shares”) issuable upon exercise of certain warrants issued to the Selling Stockholders on May 28, 2026 (the “PA Warrants“ and, together with the Pre-Funded Warrants, the “Warrants”).</w:t>
      </w:r>
    </w:p>
    <w:p>
      <w:pPr>
        <w:spacing w:after="0" w:line="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This prospectus provides you with a general description of the securities that we may offer. 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w:t>
      </w:r>
    </w:p>
    <w:p>
      <w:pPr>
        <w:jc w:val="both"/>
        <w:spacing w:after="0" w:line="234" w:lineRule="auto"/>
        <w:rPr>
          <w:sz w:val="20"/>
          <w:szCs w:val="20"/>
          <w:color w:val="auto"/>
        </w:rPr>
      </w:pPr>
      <w:r>
        <w:rPr>
          <w:rFonts w:ascii="Times New Roman" w:cs="Times New Roman" w:eastAsia="Times New Roman" w:hAnsi="Times New Roman"/>
          <w:sz w:val="15"/>
          <w:szCs w:val="15"/>
          <w:color w:val="auto"/>
        </w:rPr>
        <w:t>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 may be sold by us to or through underwriters or dealers, directly to purchasers or through agents designated from time to time. For additional</w:t>
      </w:r>
    </w:p>
    <w:p>
      <w:pPr>
        <w:spacing w:after="0" w:line="19"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5"/>
          <w:szCs w:val="15"/>
          <w:color w:val="auto"/>
        </w:rPr>
        <w:t>information on the methods of sale, you should refer to the section entitled “Plan of Distribution” in this prospectus and in the applicable prospectus supplement.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price to the public of such securities and the net proceeds we expect to receive from such sale will also be set forth in a</w:t>
      </w:r>
    </w:p>
    <w:p>
      <w:pPr>
        <w:jc w:val="both"/>
        <w:spacing w:after="0" w:line="239" w:lineRule="auto"/>
        <w:rPr>
          <w:sz w:val="20"/>
          <w:szCs w:val="20"/>
          <w:color w:val="auto"/>
        </w:rPr>
      </w:pPr>
      <w:r>
        <w:rPr>
          <w:rFonts w:ascii="Times New Roman" w:cs="Times New Roman" w:eastAsia="Times New Roman" w:hAnsi="Times New Roman"/>
          <w:sz w:val="15"/>
          <w:szCs w:val="15"/>
          <w:color w:val="auto"/>
        </w:rPr>
        <w:t>prospectus supplement. No securities may be sold without delivery of this prospectus and the applicable prospectus supplement describing the method and terms of the offering of such securities.</w:t>
      </w:r>
    </w:p>
    <w:p>
      <w:pPr>
        <w:spacing w:after="0" w:line="1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5"/>
          <w:szCs w:val="15"/>
          <w:color w:val="auto"/>
        </w:rPr>
        <w:t>Sales of the Shares by the Selling Stockholders may occur at fixed prices, at market prices prevailing at the time of sale, at prices related to the prevailing market or at negotiated prices. The Selling Stockholders may sell shares to or through underwriters, broker-dealer or agents, who may receive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compensation in the form of discounts, concessions or commissions from the Selling Stockholders, the purchasers of the shares, or both.</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We will not receive any of the proceeds from such sales of the shares of Common Stock by the Selling Stockholders. We will bear all costs, expenses and fees in connection with the registration of these securities, including with regard to compliance with state securities or “blue sky” laws. The Selling</w:t>
      </w:r>
    </w:p>
    <w:p>
      <w:pPr>
        <w:spacing w:after="0" w:line="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5"/>
          <w:szCs w:val="15"/>
          <w:color w:val="auto"/>
        </w:rPr>
        <w:t>Stockholders will bear all commissions and discounts, if any, attributable to its sale of shares of Common Stock. See “Plan of Distribution” of this prospectus.</w:t>
      </w:r>
    </w:p>
    <w:p>
      <w:pPr>
        <w:spacing w:after="0" w:line="1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5"/>
          <w:szCs w:val="15"/>
          <w:color w:val="auto"/>
        </w:rPr>
        <w:t>Our common stock is listed on The Nasdaq Stock Market LLC (“Nasdaq”) under the symbol “MNTS.” On May 29, 2026, the last reported sale price of our common stock on Nasdaq was $16.85 per share. The applicable prospectus supplement will contain information, where applicable, as to 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listing, if any, on any securities market or other exchange of the specific security covered by such prospectus supplement.</w:t>
      </w:r>
    </w:p>
    <w:p>
      <w:pPr>
        <w:spacing w:after="0" w:line="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As of the date of this prospectus, the aggregate market value of our outstanding common stock held by non-affiliates is approximately $315 million, which is calculated based on 16,153,355 shares of our outstanding common stock held by non-affiliates and a price of $19.50 per share, the closing price of our common stock on May 27, 2026, which is the highest closing price of our common stock on Nasdaq within the prior 60 days of this prospectus.</w:t>
      </w:r>
    </w:p>
    <w:p>
      <w:pPr>
        <w:spacing w:after="0" w:line="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b w:val="1"/>
          <w:bCs w:val="1"/>
          <w:color w:val="auto"/>
        </w:rPr>
        <w:t xml:space="preserve">Investing in our securities involves a high degree of risk. You should review carefully the risks and uncertainties described under the heading “Risk Factors” beginning on page </w:t>
      </w:r>
      <w:r>
        <w:rPr>
          <w:rFonts w:ascii="Times New Roman" w:cs="Times New Roman" w:eastAsia="Times New Roman" w:hAnsi="Times New Roman"/>
          <w:sz w:val="15"/>
          <w:szCs w:val="15"/>
          <w:b w:val="1"/>
          <w:bCs w:val="1"/>
          <w:u w:val="single" w:color="auto"/>
          <w:color w:val="0000EE"/>
        </w:rPr>
        <w:t>8</w:t>
      </w:r>
      <w:r>
        <w:rPr>
          <w:rFonts w:ascii="Times New Roman" w:cs="Times New Roman" w:eastAsia="Times New Roman" w:hAnsi="Times New Roman"/>
          <w:sz w:val="15"/>
          <w:szCs w:val="15"/>
          <w:b w:val="1"/>
          <w:bCs w:val="1"/>
          <w:color w:val="auto"/>
        </w:rPr>
        <w:t xml:space="preserve"> of this prospectus and contained in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127000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35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5"/>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58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540" w:type="dxa"/>
            <w:vAlign w:val="bottom"/>
            <w:gridSpan w:val="7"/>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ii</w:t>
            </w:r>
          </w:p>
        </w:tc>
      </w:tr>
      <w:tr>
        <w:trPr>
          <w:trHeight w:val="189"/>
        </w:trPr>
        <w:tc>
          <w:tcPr>
            <w:tcW w:w="1580" w:type="dxa"/>
            <w:vAlign w:val="bottom"/>
            <w:tcBorders>
              <w:top w:val="single" w:sz="8" w:color="0000EE"/>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6540" w:type="dxa"/>
            <w:vAlign w:val="bottom"/>
            <w:tcBorders>
              <w:top w:val="single" w:sz="8" w:color="CCEEFF"/>
            </w:tcBorders>
            <w:gridSpan w:val="7"/>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220" w:type="dxa"/>
            <w:vAlign w:val="bottom"/>
            <w:gridSpan w:val="14"/>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1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940" w:type="dxa"/>
            <w:vAlign w:val="bottom"/>
            <w:gridSpan w:val="3"/>
            <w:shd w:val="clear" w:color="auto" w:fill="CCEEFF"/>
          </w:tcPr>
          <w:p>
            <w:pPr>
              <w:spacing w:after="0"/>
              <w:rPr>
                <w:sz w:val="16"/>
                <w:szCs w:val="16"/>
                <w:color w:val="auto"/>
              </w:rPr>
            </w:pP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940" w:type="dxa"/>
            <w:vAlign w:val="bottom"/>
            <w:gridSpan w:val="3"/>
          </w:tcPr>
          <w:p>
            <w:pPr>
              <w:spacing w:after="0"/>
              <w:rPr>
                <w:sz w:val="16"/>
                <w:szCs w:val="16"/>
                <w:color w:val="auto"/>
              </w:rPr>
            </w:pP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9"/>
          </w:tcPr>
          <w:p>
            <w:pPr>
              <w:spacing w:after="0"/>
              <w:rPr>
                <w:sz w:val="16"/>
                <w:szCs w:val="16"/>
                <w:color w:val="auto"/>
              </w:rPr>
            </w:pP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13"/>
            <w:shd w:val="clear" w:color="auto" w:fill="CCEEFF"/>
          </w:tcPr>
          <w:p>
            <w:pPr>
              <w:spacing w:after="0"/>
              <w:rPr>
                <w:sz w:val="16"/>
                <w:szCs w:val="16"/>
                <w:color w:val="auto"/>
              </w:rPr>
            </w:pP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3"/>
          </w:tcPr>
          <w:p>
            <w:pPr>
              <w:spacing w:after="0"/>
              <w:rPr>
                <w:sz w:val="16"/>
                <w:szCs w:val="16"/>
                <w:color w:val="auto"/>
              </w:rPr>
            </w:pP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8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5260" w:type="dxa"/>
            <w:vAlign w:val="bottom"/>
            <w:gridSpan w:val="2"/>
            <w:shd w:val="clear" w:color="auto" w:fill="CCEEFF"/>
          </w:tcPr>
          <w:p>
            <w:pPr>
              <w:spacing w:after="0"/>
              <w:rPr>
                <w:sz w:val="16"/>
                <w:szCs w:val="16"/>
                <w:color w:val="auto"/>
              </w:rPr>
            </w:pP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statement, we and the Selling Stockholders may sell from time to time in one or more offerings securities in the amounts and types described in this prospectus. 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Neither we, the Selling Stockholders,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to “Momentus,” “the Company,” “we,” “us,” “our” and similar references refer to Momentus Inc., an entity incorporated under the laws of the State of Delaware, and where appropriate our consolidated subsidiaries.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herein and does not contain all the information that may be important to purchasers of our securities. Prospective purchasers of our securities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Prospective purchasers of our securities should also carefully read the information incorporated by reference into this prospectus, including our financial statements, and the exhibits to the registration statement of which this prospectus is a part.</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 customers.</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provide or plan to provide satellites, satellite buses, solar arrays, and other satellite components. Our satellites and satellite technologies offer competitive advantages to customers such as greater payload capability, significant on-orbit power, flexibility of design and the ability to accommodate a range of sensors, communications equipment, and other space instruments, low cost, and speed of delivery.</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developing an innovative Tape Spring Solar Array (“TASSA”) that has the potential to produce power at substantially lower cost than competing solar arrays. TASSA also has important advantages in its ability to be deployed and retracted to protect the array from in-space collisions with debris and to easily maneuver the satellite to different locations or adjust its characteristics.</w:t>
      </w:r>
    </w:p>
    <w:p>
      <w:pPr>
        <w:spacing w:after="0" w:line="72"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Over the past several years, Momentus has developed other innovative technologies, such as our Microwave Electrothermal Thruster (“MET”) that uses water as a propellant, designed to efficiently accomplish missions such as transportation of customer payloads and small satellites to custom orbits. The MET’s water propellant is safe, environmentally-friendly, and easy to transport and handle, in contrast to the highly-toxic and difficult to handle propellants commonly used in the space industry. The MET has high specific impulse, or ISP, which is a measure of efficiency, making it well-suited for transportation missions with significantly higher thrust than missions more suitable for low thrust electric propulsion.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requirements.</w:t>
      </w:r>
    </w:p>
    <w:p>
      <w:pPr>
        <w:spacing w:after="0" w:line="84"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provide or plan to provide services, including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when utilizing our MET with water as a propellant.</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plan to provide these services with Orbital Service Vehicles (“OSVs”) that we design and manufacture. While we plan to eventually operate a family of progressively larger and more capable OSVs, we are currently focused on Vigoride, which was originally designed to operate in low-Earth orbit (“LEO”), but is undergoing enhancements designed to allow it to operate in Geostationary-Earth Orbit (“GEO”), Lunar, and Deep Space orbits.</w:t>
      </w:r>
    </w:p>
    <w:p>
      <w:pPr>
        <w:spacing w:after="0" w:line="72"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We believe that Vigoride has the ability to deliver fast, versatile, and cost-effective transportation and infrastructure services to our customers. We conducted our inaugural test and demonstration mission with Vigoride in 2022. 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w:t>
      </w:r>
    </w:p>
    <w:p>
      <w:pPr>
        <w:spacing w:after="0" w:line="72"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Our OSVs are currently expendable, meaning they are used to perform services before they de-orbit themselves upon completion of their mission. However, our goal is to eventually make our OSVs reusable, or capable of remaining in space to conduct follow-on missions, which has the potential to lower our cost of delivering services to our customers. To achieve reusability, we need to develop additional technologies that will allow our vehicles to locate and navigate to customer satellites in space, physically connect to them, and perform a variety of robotic operations including fluid transfer. The first of these technologies is related to Rendezvous and Proximity Operations (“RPO”) which is the ability for the OSV to locate and maneuver to another object in space.</w:t>
      </w:r>
    </w:p>
    <w:p>
      <w:pPr>
        <w:spacing w:after="0" w:line="84"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In 2025, the U.S. Air Force Research Labs SpaceWERX organization—which is the innovation arm of the U.S. Space Force—awarded Momentus a Direct to Phase II Small Business Innovation Research (“SBIR”) contract. The award supports the in-space flight demonstration of a novel, low-cost multi-spectral sensor suite for RPO, scheduled for 2026.</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also offering variants of our Vigoride OSV to government and commercial customers as a traditional bus manufacturer and satellite prime contractor. Vigoride, and its variants, M-500 and M-1000, are being offered to support missions such as communication, sensing and tracking of missiles, positioning, navigation, and timing (“PNT”) as well as payload technology demonstrations.</w:t>
      </w:r>
    </w:p>
    <w:p>
      <w:pPr>
        <w:spacing w:after="0" w:line="72" w:lineRule="exact"/>
        <w:rPr>
          <w:sz w:val="20"/>
          <w:szCs w:val="20"/>
          <w:color w:val="auto"/>
        </w:rPr>
      </w:pPr>
    </w:p>
    <w:p>
      <w:pPr>
        <w:jc w:val="both"/>
        <w:ind w:left="320" w:right="299"/>
        <w:spacing w:after="0" w:line="289" w:lineRule="auto"/>
        <w:rPr>
          <w:sz w:val="20"/>
          <w:szCs w:val="20"/>
          <w:color w:val="auto"/>
        </w:rPr>
      </w:pPr>
      <w:r>
        <w:rPr>
          <w:rFonts w:ascii="Times New Roman" w:cs="Times New Roman" w:eastAsia="Times New Roman" w:hAnsi="Times New Roman"/>
          <w:sz w:val="17"/>
          <w:szCs w:val="17"/>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w:t>
      </w:r>
    </w:p>
    <w:p>
      <w:pPr>
        <w:spacing w:after="0" w:line="50"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Momentus is offering high-volume production of buses, based on Vigoride’s technologies, for hosted payloads by integrating customer’s unique payloads for a variety of missions and for customer-owned satellites for use in constellations. A hosted payload is a module attached to a satellite that can be operated independently from the main spacecraft but which shares the satellite’s power supply and communications equipment. Hosted payloads are often used by commercial and government customers seeking to operate or test a capability for uses such as communications and sensing in orbit without having to pay the cost of building and launching an entire satellite. Using a hosted payload on a commercial satellite can reduce both the expense and time required to get communications and other technologies into space.</w:t>
      </w:r>
    </w:p>
    <w:p>
      <w:pPr>
        <w:spacing w:after="0" w:line="84"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Vigoride OSVs are intended to provide safe, affordable, reliable, and regular in-space services to our customers, including space transportation, payload hosting, and in-orbit servicing. We designed our Vigoride vehicle to deliver small customer payloads anywhere in LEO. However, we also plan to design and produce larger vehicles and satellite buses to carry larger payloads to more distant orbits such as GEO.</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currently plan to offer the following infrastructure services to the space economy:</w:t>
      </w:r>
    </w:p>
    <w:p>
      <w:pPr>
        <w:spacing w:after="0" w:line="113" w:lineRule="exact"/>
        <w:rPr>
          <w:sz w:val="20"/>
          <w:szCs w:val="20"/>
          <w:color w:val="auto"/>
        </w:rPr>
      </w:pPr>
    </w:p>
    <w:p>
      <w:pPr>
        <w:jc w:val="both"/>
        <w:ind w:left="1020" w:right="299" w:hanging="350"/>
        <w:spacing w:after="0" w:line="282" w:lineRule="auto"/>
        <w:tabs>
          <w:tab w:leader="none" w:pos="10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Satellites and Constellation Bus: </w:t>
      </w:r>
      <w:r>
        <w:rPr>
          <w:rFonts w:ascii="Times New Roman" w:cs="Times New Roman" w:eastAsia="Times New Roman" w:hAnsi="Times New Roman"/>
          <w:sz w:val="17"/>
          <w:szCs w:val="17"/>
          <w:color w:val="auto"/>
        </w:rPr>
        <w:t>Momentus offers or plans to offer production and operation of small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satellites to meet a range of defense, government, and commercial needs such as communications, tracking of missiles, remote sensing, and space domain awareness. Technologies used to support the Hosted Payload market are directly applicable to offering customer-owned satellites for use in constellations.</w:t>
      </w:r>
    </w:p>
    <w:p>
      <w:pPr>
        <w:spacing w:after="0" w:line="53" w:lineRule="exact"/>
        <w:rPr>
          <w:rFonts w:ascii="Times New Roman" w:cs="Times New Roman" w:eastAsia="Times New Roman" w:hAnsi="Times New Roman"/>
          <w:sz w:val="17"/>
          <w:szCs w:val="17"/>
          <w:color w:val="auto"/>
        </w:rPr>
      </w:pPr>
    </w:p>
    <w:p>
      <w:pPr>
        <w:jc w:val="both"/>
        <w:ind w:left="1020" w:right="299" w:hanging="350"/>
        <w:spacing w:after="0" w:line="25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Technologies: </w:t>
      </w:r>
      <w:r>
        <w:rPr>
          <w:rFonts w:ascii="Times New Roman" w:cs="Times New Roman" w:eastAsia="Times New Roman" w:hAnsi="Times New Roman"/>
          <w:sz w:val="18"/>
          <w:szCs w:val="18"/>
          <w:color w:val="auto"/>
        </w:rPr>
        <w:t>Momentus is developing and plans to offer satellite technologies such as our Tape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Spring Solar Array, 3D printed propulsion tanks, and other components used on the Vigoride OSV. These technologies and components have been flown in space, or are scheduled to be flown in space, and offer important competitive advantages such as lower cost and flexibility to meet the needs of owners and operators of satellites.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Transportation: </w:t>
      </w:r>
      <w:r>
        <w:rPr>
          <w:rFonts w:ascii="Times New Roman" w:cs="Times New Roman" w:eastAsia="Times New Roman" w:hAnsi="Times New Roman"/>
          <w:sz w:val="18"/>
          <w:szCs w:val="18"/>
          <w:color w:val="auto"/>
        </w:rPr>
        <w:t>Momentus offers a transportation service to deliver customers’ satellites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precision orbits. Under this model, our customers would deliver their payload to us a few months prior to launch for integration onto our vehicle. Once we have integrated our customers’ payloads, we would then ship our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99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4994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66" w:lineRule="auto"/>
        <w:rPr>
          <w:sz w:val="20"/>
          <w:szCs w:val="20"/>
          <w:color w:val="auto"/>
        </w:rPr>
      </w:pPr>
      <w:r>
        <w:rPr>
          <w:rFonts w:ascii="Times New Roman" w:cs="Times New Roman" w:eastAsia="Times New Roman" w:hAnsi="Times New Roman"/>
          <w:sz w:val="18"/>
          <w:szCs w:val="18"/>
          <w:color w:val="auto"/>
        </w:rPr>
        <w:t>vehicle, holding the customer payload, to the launch site, where it would be integrated onto the launch vehicle. The launch vehicle would then transport our vehicle to the drop-off orbit. After separation from the launch vehicle, our OSV would transport our customers’ payloads to their chosen final orbit.</w:t>
      </w:r>
    </w:p>
    <w:p>
      <w:pPr>
        <w:spacing w:after="0" w:line="68"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w:t>
      </w:r>
    </w:p>
    <w:p>
      <w:pPr>
        <w:spacing w:after="0" w:line="64" w:lineRule="exact"/>
        <w:rPr>
          <w:sz w:val="20"/>
          <w:szCs w:val="20"/>
          <w:color w:val="auto"/>
        </w:rPr>
      </w:pPr>
    </w:p>
    <w:p>
      <w:pPr>
        <w:jc w:val="both"/>
        <w:ind w:left="1020" w:right="299" w:hanging="350"/>
        <w:spacing w:after="0" w:line="25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Hosted Payload: </w:t>
      </w:r>
      <w:r>
        <w:rPr>
          <w:rFonts w:ascii="Times New Roman" w:cs="Times New Roman" w:eastAsia="Times New Roman" w:hAnsi="Times New Roman"/>
          <w:sz w:val="18"/>
          <w:szCs w:val="18"/>
          <w:color w:val="auto"/>
        </w:rPr>
        <w:t>There are a broad range of payloads, satellite components, and other space technologies,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customers want to operate, test, or validate 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p>
      <w:pPr>
        <w:spacing w:after="0" w:line="77" w:lineRule="exact"/>
        <w:rPr>
          <w:rFonts w:ascii="Times New Roman" w:cs="Times New Roman" w:eastAsia="Times New Roman" w:hAnsi="Times New Roman"/>
          <w:sz w:val="18"/>
          <w:szCs w:val="18"/>
          <w:color w:val="auto"/>
        </w:rPr>
      </w:pPr>
    </w:p>
    <w:p>
      <w:pPr>
        <w:jc w:val="both"/>
        <w:ind w:left="1020" w:right="299" w:hanging="350"/>
        <w:spacing w:after="0" w:line="25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In-Orbit Servicing: </w:t>
      </w:r>
      <w:r>
        <w:rPr>
          <w:rFonts w:ascii="Times New Roman" w:cs="Times New Roman" w:eastAsia="Times New Roman" w:hAnsi="Times New Roman"/>
          <w:sz w:val="18"/>
          <w:szCs w:val="18"/>
          <w:color w:val="auto"/>
        </w:rPr>
        <w:t>As the number of satellites in space increases, so does their need to be serviced.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actively developing and testing Momentus’ vehicles to be capable of performing in-orbit servicing. We plan to equip future vehicles with robotic arms and an ability to maneuver in close proximity to other spacecraft and grapple, dock, or berth with them. We believe these capabilities could allow us to offer a suite of different in-orbit services, such as inspection, refueling, life extension, re-positioning, salvage missions, maintenance and repair, and de-orbiting.</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Bus: </w:t>
      </w:r>
      <w:r>
        <w:rPr>
          <w:rFonts w:ascii="Times New Roman" w:cs="Times New Roman" w:eastAsia="Times New Roman" w:hAnsi="Times New Roman"/>
          <w:sz w:val="18"/>
          <w:szCs w:val="18"/>
          <w:color w:val="auto"/>
        </w:rPr>
        <w:t>Technologies used to support the hosted payload market are directly applicable to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customer-owned satellite buses for use in constellations. Momentus is offering high-volume production of low-cost buses, based on Vigoride’s technologies, and integrating customers’ unique payloads for a variety of missions ranging from communications to Earth Observation. We introduced variants of Vigoride tailored specifically for constellation applications as M-500 and M-1000 in August 2023.</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risks associated with our business, see “Risk Factors.” Investors are cautioned to review the following description of Momentus’ business together with the entirety of this prospectus, including the within-mentioned risk factors.</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January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January 5, 2026, the Company engaged in a private placement pursuant to which the Company agreed with an investor (the “January PIPE Investor”) to sell and issue to such stockholder (i) pre-funded warrants to purchase up to 925,926 shares of Common Stock (the “January 2026 Pre-Funded Warrants”), and (ii) warrants to purchase up to 925,926 shares of Common Stock (the “January 2026 Common Warrants”).</w:t>
      </w:r>
    </w:p>
    <w:p>
      <w:pPr>
        <w:spacing w:after="0" w:line="72"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The purchase price of each January 2026 Pre-Funded Warrant equals $5.39999, and the exercise price of each January 2026 Pre-Funded Warrant equals $0.00001 per share. The January 2026 Pre-Funded Warrants are exercisable at any time after their original issuance and will not expire until exercised in full. The January 2026 Common Warrants have an exercise price per share of Common Stock equal to $5.40 per share. The January 2026 Common Warrants will be exercisable immediately following receipt of shareholder approval and will expire five years from the initial exercise date. The exercise price and the number of shares of Common Stock issuable upon exercise of the January 2026 Common Warrants is subject to appropriate adjustments in the event of certain stock dividends and distributions, stock splits, stock combinations, reclassifications or similar events affecting the Common Stock.</w:t>
      </w:r>
    </w:p>
    <w:p>
      <w:pPr>
        <w:spacing w:after="0" w:line="80"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January 5, 2028,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46,296 shares of Common Stock (the “January 2026 PA Warrants”) at an exercise price of $5.94, which are exercisable on or after July 6, 2026. The January 2026 PA Warrants have a term of five years from January 6, 2026.</w:t>
      </w:r>
    </w:p>
    <w:p>
      <w:pPr>
        <w:spacing w:after="0" w:line="7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33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85337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58" w:lineRule="auto"/>
        <w:rPr>
          <w:sz w:val="20"/>
          <w:szCs w:val="20"/>
          <w:color w:val="auto"/>
        </w:rPr>
      </w:pPr>
      <w:r>
        <w:rPr>
          <w:rFonts w:ascii="Times New Roman" w:cs="Times New Roman" w:eastAsia="Times New Roman" w:hAnsi="Times New Roman"/>
          <w:sz w:val="18"/>
          <w:szCs w:val="18"/>
          <w:color w:val="auto"/>
        </w:rPr>
        <w:t>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Also in connection with the private placement, the Company and the January 2026 PIPE Investor agreed to reduce the exercise price of certain warrants issued to the 2026 PIPE Investor on October 15, 2025 and December 11, 2025 from $13.74 per share to $5.40 per share.</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April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April 14, 2026, the Company engaged in a private placement pursuant to which the Company agreed with an investor (the “April PIPE Investor”) to sell and issue to such stockholder (i) 450,000 shares of Common Stock (the “April 2026 Private Placement Shares”) and (ii) pre-funded warrants to purchase up to 883,334 shares of Common Stock (the “April 2026 Pre-Funded Warrants”).</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purchase price of each April 2026 Private Placement Share equals $3.75. The purchase price of each April 2026 Pre-Funded Warrant equals $3.74999, and the exercise price of each April 2026 Pre-Funded Warrant equals $0.00001 per share. The April 2026 Pre-Funded Warrants are exercisable at any time after their original issuance and will not expire until exercised in full.</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April 14,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66,666 shares of Common Stock (the “April 2026 PA Warrants”) at an exercise price of $4.125, which are exercisable on or after October 11, 2026. The April 2026 PA Warrants have a term of five years from April 15, 2026.</w:t>
      </w:r>
    </w:p>
    <w:p>
      <w:pPr>
        <w:spacing w:after="0" w:line="7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 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May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May 26, 2026, the Company engaged in a private placement pursuant to which the Company agreed with investors (the “May PIPE Investors”) to sell and issue to such stockholders (i) 2,173,420 shares of Common Stock (the “May 2026 Private Placement Shares”) and (ii) pre-funded warrants to purchase up to768,580 shares of Common Stock (the “May 2026 Pre-Funded Warrants”).</w:t>
      </w:r>
    </w:p>
    <w:p>
      <w:pPr>
        <w:spacing w:after="0" w:line="72"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The purchase price of each May 2026 Private Placement Share equals $8.50. The purchase price of each May 2026 Pre-Funded Warrant equals $8.49999, and the exercise price of each May 2026 Pre-Funded Warrant equals $0.00001 per share. The May 2026 Pre-Funded Warrants are exercisable at any time after their original issuance and will not expire until exercised in full.</w:t>
      </w:r>
    </w:p>
    <w:p>
      <w:pPr>
        <w:spacing w:after="0" w:line="72"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May 26,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Placement Agent warrants to purchase up to 147,100 shares of Common Stock (the “May 2026 PA Warrants”) at an exercise price of $9.35, which are exercisable on or after November 23, 2026. The May 2026 PA Warrants have a term of five years from May 26, 2026.</w:t>
      </w:r>
    </w:p>
    <w:p>
      <w:pPr>
        <w:spacing w:after="0" w:line="7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private placement closed on May 28, 2026, and the Company received aggregate gross proceeds from the private placement of approximately $25 million, before deducting placement agent commissions and expenses in connection with the private placement, which were paid by the Company. After deducting the approximately $1.75 million paid to the Placement Agent pursuant to the Placement Agency Agreement, the Company received approximately $23.25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9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assuming that the Company will continue as a going concern. The going concern basis of presentation assumes that the Company will continue in operation one year after the date the consolidated financial statements are issued and will be able to realize its assets and discharge its liabilities and commitments in the normal course of business. The Company previously disclosed that conditions and events raised substantial doubt regarding its ability to continue as a going concern. Management believes that, as a result of the financings and related transactions completed since December 31, 2025, substantial doubt no longer exists.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As a company with less than $100 million of annual revenue in our most recently completed fiscal year and the market value of our stock held by non-affiliates as of June 30, 2025, was less than $700 million, we qualify as a “smaller reporting company” as defined in Rule 12b-2 of the Securities Exchange Act of 1934, as amended. A smaller reporting company may take advantage of specified reduced reporting requirements that are otherwise applicable generally to public companies. These reduced reporting requirements include, but are not limited to, reduced disclosure about our executive compensation arrangements and an exemption from the requirements to obtain a non-binding advisory vote on golden parachute arrangements. Accordingly, the information contained herein may be different from the information you receive from other public companies in which you hold stock.</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Delaware in May 2019 as a special purpose acquisition company under the name Stable Road Acquisition Corp. On November 13, 2019, we completed our initial public offering. On August 12, 2021, we consummated a business combination with Momentus Inc. (a separate legal entity from the Company) pursuant to that Agreement and Plan of Merger, dated October 7, 2020. In connection with such business combination, we changed our name from Stable Road Acquisition Corp. to Momentus Inc.</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1762 Automation Parkway, San Jose, California 95131. Our telephone number is (650) 564-7820. Our website address is www.momentus.space. Information contained on our website or connected thereto does not constitute part of, and is not incorporated by reference into, this prospectus or the registration statement of which it forms a part.</w:t>
      </w:r>
    </w:p>
    <w:p>
      <w:pPr>
        <w:spacing w:after="0" w:line="72"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Momentus, the Momentus logo and our other registered or common law trademarks, service marks or trade names appearing in this prospectus are the property of Momentus. Other trademarks, service marks and trade names used in this prospectus are the property of their respective owners.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preferred stock, various series of debt securities and/or warrants to purchase any of such securities, either individually or as units in combination with other securities, with a total value of up to $200,000,000 from time to time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79" w:lineRule="exact"/>
        <w:rPr>
          <w:sz w:val="20"/>
          <w:szCs w:val="20"/>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50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85509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considerations, if any.</w:t>
      </w:r>
    </w:p>
    <w:p>
      <w:pPr>
        <w:spacing w:after="0" w:line="117"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72" w:lineRule="exact"/>
        <w:rPr>
          <w:sz w:val="20"/>
          <w:szCs w:val="20"/>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securities we may offer with this prospectus.</w:t>
      </w: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We may issue shares of our common stock from time to time. Each holder of our common stock is entitled to one vote for each share on all matters submitted to a vote of the stockholders, including the election of directors. Under our second amended and restated certificate of incorporation, as amended (the “Certificate of Incorporation”) and second amended and restated bylaws (the “Bylaws”), our stockholders do not have cumulative voting rights. Subject to preferences that may be applicable to any then-outstanding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Holders of shares of our common stock do not have preemptive, subscription, redemption, or conversion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the holder’s option and would be at prescribed conversion rates. 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w:t>
      </w:r>
    </w:p>
    <w:p>
      <w:pPr>
        <w:spacing w:after="0" w:line="82"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739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87395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79"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as units in combination with common stock, preferred stock and/or debt securities, and the warrants may be attached to or separate from these securities. In this prospectus, we have summarized certain general features of the warrants.</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urge you, however, to read the applicable prospectus supplement (and any free writing prospectus that we may authorize to be provided to you) related to the series of warrants being offered, as well as any warrant agreements and warrant certificates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79"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75"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In this prospectus, we have summarized certain general features of the units under “Description of Units.” We urge you, however, to read the applicable prospectus supplement (and any related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specific unit agreement that contains the terms of the particular series of units we are offering, before the issuance of such units.</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Securities the Selling Stockholders May Offer</w:t>
      </w:r>
    </w:p>
    <w:p>
      <w:pPr>
        <w:spacing w:after="0" w:line="121"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The Selling Stockholders may offer up to 3,089,100 shares of Common Stock consisting of (i) 2,173,420 Private Placement Shares (ii) 768,580 Pre-Funded Warrant Shares issuable to the Selling Stockholders upon the exercise of the Pre-Funded Warrants; and (iii) 147,100 PA Warrant Shares issuable to the Selling Stockholders upon exercise of the PA Warrants.</w:t>
      </w:r>
    </w:p>
    <w:p>
      <w:pPr>
        <w:spacing w:after="0" w:line="72"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sell the Shares offered in this prospectus, as described in “Plan of Distribution.”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will not receive any proceeds from the sale by the Selling Stockholders of the Shares covered by this prospectus.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as may be updated by subsequent annual, quarterly and other reports that are incorporated by reference into this prospectus in their entirety.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“Forward-Looking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contains, and any applicable prospectus supplement or free writing prospectus including the documents we incorporate by reference therein may contain, forward-looking statements within the meaning of Section 27A of the Securities Act of 1933, as amended (the “Securities Act”) and Section 21E of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Forward-looking statements include statements regarding our intentions, beliefs, projections, outlook, analyses or current expectations.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including our most recent Annual Report on Form 10-K and our Quarterly Reports on Form 10-Q and our Current Reports on Form 8-K, as well as any amendments thereto.</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in their entirety, many of these risks and uncertainties under the heading “Risk Factors” contained in the applicable prospectus supplement, in any free writing prospectus we may authorize for use in connection with a specific offering, and in the documents incorporated by reference herein. These statements reflect our current views with respect to future events and are based on assumptions and subject to risks and uncertainties.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by us of the securities offered hereby. Except as described in any prospectus supplement or in any related free writing prospectus that we may authorize to be provided to you, we currently intend to use the net proceeds from the sale of the securities offered by us hereunder primarily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by the Selling Stockholders pursuant to this prospectus. We will bear all fees and expenses incident to our obligation to register such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capital stock. This is a summary only and does not purport to be complete. It is subject to and qualified in its entirety by reference to our Second Amended and Restated Certificate of Incorporation, as amended, and our Amended and Restated Bylaws, as amended, each of which are incorporated by reference as an exhibit to the registration statement of which this prospectus forms a part. We encourage you to read our Second Amended and Restated Certificate of Incorporation, as amended, and our Amended and Restated Bylaws, as amended, and the applicable provisions of the Delaware General Corporation Law (the “DGCL”), for additional information.</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terms of our Second Amended and Restated Certificate of Incorporation, as amended, our authorized capital stock consists of:</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 shares of the Common Stock, $0.00001 par value per share;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undesignated Preferred Stock, $0.00001 par value per share (“Preferred Stock”), of which 673,408 shares have been designated as the Series A Convertible Preferred Stock.</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1, 2026, there were 16,215,379 shares of the Common Stock issued and outstanding and no shares of Preferred Stock outstanding.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submitted to a vote of stockholders. The holders of Common Stock will generally vote together as a single class on all matters submitted to a vote of stockholders, unless otherwise required by Delaware law or the Second Amended and Restated Certificate of Incorporation, as amended.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Second Amended and Restated Certificate of Incorporation, as amended, and the Amended and Restated Bylaws, as amended (collectively, our “Organizational Documents”), established a classified board of directors (the “board”)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 The Second Amended and Restated Certificate of Incorporation does not provide for cumulative voting for the election of directors.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Common Stock are entitled to receive dividends out of funds legally available if the board, in its discretion, determines to issue dividends and then only at the times and in the amounts that the board may determine.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the Common Stock to date and do not intend to pay cash dividends in the foreseeable future.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Common Stock are not entitled to preemptive rights and are not subject to conversion (except as noted above), redemption or sinking fund provisions.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Fully Paid and Non-Assessable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is authorized, subject to limitations prescribed by Delaware law, to issue Preferred Stock in one or more series, to establish from time to time the number of shares to be included in each series, and to fix the designation, vesting, powers, preferences, and rights of the shares of each series and any of its qualifications, limitations, or restrictions, in each case without further vote or action by the stockholders. Our board can also increase or decrease the number of shares of any series of Preferred Stock, but not below the number of shares of that series then outstanding, without any further vote or action by the stockholders.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Common Stock and the voting and other rights of the holders of Common Stock.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filed the Certificate of Designations, which designated 673,408 shares of our preferred stock as “Series A Convertible Preferred Stock”, none of which are issued and outstanding as of May 21, 2026.</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With respect to (i) payment of dividends, (ii) distribution of assets, and (iii) all other liquidation, winding up, dissolution, dividend and redemption rights, the Series A Convertible Preferred Stock shall rank pari passu in priority of payment to all Parity Stock (defined below) and senior in priority of payment to all Junior Stock (defined below) in any liquidation, dissolution, winding up or distribution of the Company, and junior to any indebtedness of the Company.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“Junior Stock” means (i) the Common Stock and (ii) any other equity interest of the Company, in each case which by its terms ranks junior to the Series A Convertible Preferred Stock with respect to payment of dividends and/or distribution of assets.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“Parity Stock” means any equity interest of the Company hereinafter created which by its terms ranks pari passu with the Series A Convertible Preferred Stock.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Series A Convertible Preferred Stock shall participate in any dividends or distributions paid to the holders of Common Stock as if such Series A Convertible Preferred Stock had been converted into Common Stock as of the record date for such dividend or distribution.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holders of Series A Convertible Preferred Stock are not entitled to vote on any matters presented to the stockholders for their action or consideration, except as required by law or as otherwise provided in the Certificate of Designations.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Holders of Series A Convertible Preferred Stock may convert all of their respective shares of Series A Convertible Preferred Stock into shares of Common Stock at any time, subject to certain ownership limitations set forth in the Certificate of Designations.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A Convertible Preferred Stock will receive upon conversion of such holder’s shares of Series A Convertible Preferred Stock will be equal to the quotient of the stated value of the shares of Series A Convertible Preferred Stock to be converted, which is $20.80 per share divided by the Conversion Price, which is $37.13. No fractional shares of Common Stock shall be issued upon the exercise of any conversion right. Any fractional shares of Common Stock that a holder would otherwise be entitled to will be rounded up to the next whole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Holders of Series A Convertible Preferred Stock will have rights to certain adjustments for stock dividends, stock splits and other combinations or subdivisions of its outstanding shares of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Some provisions of Delaware law, the Second Amended and Restated Certificate of Incorporation, as amended, and the Amended and Restated Bylaws, as amended,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outweighs the disadvantages of discouraging these proposals because negotiation of these proposals could result in an improvement of their terms.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72"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the board does not approve in advance. We also anticipate that Section 203 may also discourage attempts that might result in a premium over the market price for the shares of common stock held by stockholders.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Documents Provisions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Provisions of our Organizational Documents could make it more difficult to acquire us by means of a tender offer, a proxy contest or otherwise, or to remove incumbent officers and directors.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and our Amended and Restated Bylaws, as amended, provide for certain provisions that may have an anti-takeover effect:</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“blank check” preferred stock, which could be issued by our board of directors without stockholder approval and may contain voting, liquidation, dividend and other rights superior to the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can be called only by our board of directors acting by a written resolution by a majority of our directors then in office, the Chairperson of our board of directors, our Chief Executive Officer, or our Lead Independent Director;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advance notice of stockholder proposals for business to be conducted at meetings of our stockholders and for nominations of candidates for election to our board of directors;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be removed only for cause and by a two-thirds (2/3) vote of the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vacancies on our board of directors may be filled only by a majority of directors then in office or by a sole remaining director (subject to limited exceptions), even though less than a quorum;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the approval of the board of directors or the holders of at least two-thirds of our outstanding shares of capital stock to amend our bylaws and certain provisions of our certificate of incorporation.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Our Amended and Restated Bylaws, as amended, provide that we will indemnify our directors and officers, and may indemnify our employees and other agents, to the fullest extent permitted by Delaware law.</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Delaware law prohibits the Second Amended and Restated Certificate of Incorporation, as amended, from limiting the liability of our directors for the following:</w:t>
      </w:r>
    </w:p>
    <w:p>
      <w:pPr>
        <w:spacing w:after="0" w:line="54"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The Second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as amended, we can purchase insurance on behalf of any person whom we are required or permitted to indemnify.</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Organizational Documents, we have entered into an indemnification agreement with each member of our board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us,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the Company, no indemnification will be provided for any claim where a court determines that the indemnified party is prohibited from receiving indemnification. We believe that these certificate of incorporation and bylaw provisions and indemnification agreements are necessary to attract and retain qualified persons as directors and officers.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Organizational Documents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Common Stock and Public Warrants are listed on the Nasdaq Capital Market under the symbols “MNTS” and “MNTSW,” respectively.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 and any related free writing prospectus related to the debt securities that we may offer under this prospectus, as well as the complete indenture that contains the terms of the debt securities.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indenture will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34"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3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2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2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4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34"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2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2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1"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68"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08"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17"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5"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such securities will be set forth in the applicable prospectus supplement.</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81"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w:t>
      </w:r>
    </w:p>
    <w:p>
      <w:pPr>
        <w:spacing w:after="0" w:line="3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filed or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 to the extent applicable:</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warrants and the related securities will be separately transferable;</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consequences of holding or exercising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or warrant certificate representing the warrants to be exercised together with specified information, and paying the required amount to the warrant agent, if applicable, in immediately available funds, as provided in the applicable prospectus supplement. We will set forth on the reverse side of any warrant certificate and in the applicable prospectus supplement the information that the holder of the warrant will be required to deliver to any warrant agent in connection with the exercise of the warrant.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fewer than all of the warrants (or the warrants represented by such warrant certificate) are exercised, a new warrant or a new warrant certificate, as applicable, will be issued for the remaining warrants.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related free writing prospectus, summarizes the material terms and provisions of the units that we may offer under this prospectus. We may issue units consisting of any combination of the other types of securities offered under this prospectus in one or more series.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may evidence each series of units by unit certificates that we will issue under a separate agreement. We may enter into unit agreements with a unit agent. Each unit agent will be a bank or trust company that we select. We will indicate the name and address of any unit agent in the applicable prospectus supplement relating to a particular series of units. The summary below and that contained in any prospectus supplement is qualified in its entirety by reference to all of the provisions of the unit agreement and/or unit certificate, and depositary arrangements, if applicable. We urge you to read the applicable prospectus supplements and any related free writing prospectuses related to the units that we may offer under this prospectus, as well as the complete unit agreement and/or unit certificate, and depositary arrangements, as applicable, that contain the terms of the units.</w:t>
      </w:r>
    </w:p>
    <w:p>
      <w:pPr>
        <w:spacing w:after="0" w:line="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reports that we file with the SEC, the form of unit agreement and/or unit certificate, and depositary arrangements, as applicable, that contain the terms of the particular series of units we are offering, and any supplemental agreements, before the issuance of such units.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8"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Generally, all securities represented by the same global securities will have the same terms.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54" w:lineRule="exact"/>
        <w:rPr>
          <w:sz w:val="20"/>
          <w:szCs w:val="20"/>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prospectus covers the resale or other disposition by the Selling Stockholders identified in the table below of the Shares, consisting of up to an aggregate of 3,089,100 shares of Common Stock. The Selling Stockholders acquired the Shares in the transaction described above under the heading “Prospectus Summary—May 2026 Private Placement.”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Pre-Funded Warrants provide that the Selling Stockholders will not have the right to exercise any portion of the Pre-Funded Warrants if such exercise would cause the aggregate number of shares of Common Stock beneficially owned by the applicable Selling Stockholder (together with its affiliates) to exceed 9.99% (the “Pre-Funded Warrant Ownership Limitation”) of the number of shares of Common Stock outstanding immediately after giving effect to the exercise, as such percentage ownership is determined in accordance with the terms of the Pre-Funded Warrants. By written notice to the Company, a Selling Stockholder may decrease or increase the Pre-Funded Warrant Ownership Limitation to any other percentage, provided that in no event can the Pre-Funded Warrant Ownership Limitation exceed 9.99%. Any such increase will not be effective until the 61st day after such notice is delivered to the Company by the Selling Stockholders.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 Warrants provide that the Selling Stockholders will not have the right to exercise any portion of the PA Warrants before November 23, 2026. In addition, the PA Warrants provide that the Selling Stockholders will not have the right to exercise any portion of the PA Warrants if such exercise would cause the aggregate number of shares of Common Stock beneficially owned by the applicable Selling Stockholder (together with its affiliates) to exceed 4.99% (the “PA Warrant Ownership Limitation”) of the number of shares of Common Stock outstanding immediately after giving effect to the exercise, as such percentage ownership is determined in accordance with the terms of the PA Warrants. By written notice to the Company, a Selling Stockholder may decrease or increase the PA Warrant Ownership Limitation to any other percentage, provided that in no event can the PA Warrant Ownership Limitation exceed 9.99%. Any such increase will not be effective until the 61st day after such notice is delivered to the Company by the Selling Stockholders.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table below sets forth, as of June 1, 2026, the following information regarding the Selling Stockholders:</w:t>
      </w:r>
    </w:p>
    <w:p>
      <w:pPr>
        <w:spacing w:after="0" w:line="117"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Selling Stockholders;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beneficially owned by the Selling Stockholders prior to exercise of the Warrants;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issuable upon the exercise of the Warrants;</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shares owned are those beneficially owned, as determined under the rules of the SEC, and the information is not necessarily indicative of beneficial ownership for any other purpose.</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All information with respect to the Common Stock ownership of the Selling Stockholders has been furnished by or on behalf of the Selling Stockholders. We believe, based on information supplied by the Selling Stockholders, that except as may otherwise be indicated in the footnotes to the table below, the Selling Stockholders have sole voting and dispositive power with respect to the shares of Common Stock reported as beneficially owned by the Selling Stockholders. Because the Selling Stockholders identified in the table may sell some or all of the shares of Common Stock beneficially owned by them and covered by this prospectus, and because there are currently no agreement, arrangements, or understanding with respect to the sale of any of the shares of Common Stock, no estimate can be given as to the number of shares of Common Stock available for resale hereby that will be held by the Selling Stockholders upon termination of this offering. In addition, the Selling Stockholders may have sold, transferred or otherwise disposed of, or may sell, transfer or otherwise dispose of, at any time from time to time, the shares of Common Stock they beneficially own in transactions exempt from the registration requirements of the Securities Act after the date on which it provided the information set forth in the table below. We have, therefore, assumed for the purposes of the following table, that the Selling Stockholders will sell all of their respective shares of Common Stock owned beneficially by them that are covered by this prospectus, but will not sell any other shares of Common Stock that they presently own. Except as set forth below, the Selling Stockholders have not held any position or office, or has otherwise had a material relationship, with us or any of our subsidiaries within the past three years other than as a result of the ownership of our shares of Common Stock or other securities.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0"/>
        </w:trPr>
        <w:tc>
          <w:tcPr>
            <w:tcW w:w="3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Sale Hereby</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6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Citadel CEMF Investments Ltd.</w:t>
            </w:r>
            <w:r>
              <w:rPr>
                <w:rFonts w:ascii="Times New Roman" w:cs="Times New Roman" w:eastAsia="Times New Roman" w:hAnsi="Times New Roman"/>
                <w:sz w:val="28"/>
                <w:szCs w:val="28"/>
                <w:color w:val="auto"/>
                <w:vertAlign w:val="superscript"/>
              </w:rPr>
              <w:t>(1)</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1,742,000</w:t>
            </w:r>
            <w:r>
              <w:rPr>
                <w:rFonts w:ascii="Times New Roman" w:cs="Times New Roman" w:eastAsia="Times New Roman" w:hAnsi="Times New Roman"/>
                <w:sz w:val="28"/>
                <w:szCs w:val="28"/>
                <w:color w:val="auto"/>
                <w:vertAlign w:val="superscript"/>
              </w:rPr>
              <w:t>(2)</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39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Davidson Kempner Arbitrage, Equities and Relative</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Value LP</w:t>
            </w:r>
            <w:r>
              <w:rPr>
                <w:rFonts w:ascii="Times New Roman" w:cs="Times New Roman" w:eastAsia="Times New Roman" w:hAnsi="Times New Roman"/>
                <w:sz w:val="29"/>
                <w:szCs w:val="29"/>
                <w:color w:val="auto"/>
                <w:vertAlign w:val="superscript"/>
              </w:rPr>
              <w:t>(4)</w:t>
            </w:r>
          </w:p>
        </w:tc>
        <w:tc>
          <w:tcPr>
            <w:tcW w:w="180" w:type="dxa"/>
            <w:vAlign w:val="bottom"/>
          </w:tcPr>
          <w:p>
            <w:pPr>
              <w:spacing w:after="0"/>
              <w:rPr>
                <w:sz w:val="22"/>
                <w:szCs w:val="22"/>
                <w:color w:val="auto"/>
              </w:rPr>
            </w:pP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1,177,320</w:t>
            </w:r>
          </w:p>
        </w:tc>
        <w:tc>
          <w:tcPr>
            <w:tcW w:w="180" w:type="dxa"/>
            <w:vAlign w:val="bottom"/>
          </w:tcPr>
          <w:p>
            <w:pPr>
              <w:spacing w:after="0"/>
              <w:rPr>
                <w:sz w:val="22"/>
                <w:szCs w:val="22"/>
                <w:color w:val="auto"/>
              </w:rPr>
            </w:pPr>
          </w:p>
        </w:tc>
        <w:tc>
          <w:tcPr>
            <w:tcW w:w="880" w:type="dxa"/>
            <w:vAlign w:val="bottom"/>
          </w:tcPr>
          <w:p>
            <w:pPr>
              <w:jc w:val="right"/>
              <w:spacing w:after="0" w:line="258"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(3)</w:t>
            </w: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3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M.H. Davidson &amp; Co.</w:t>
            </w:r>
            <w:r>
              <w:rPr>
                <w:rFonts w:ascii="Times New Roman" w:cs="Times New Roman" w:eastAsia="Times New Roman" w:hAnsi="Times New Roman"/>
                <w:sz w:val="28"/>
                <w:szCs w:val="28"/>
                <w:color w:val="auto"/>
                <w:vertAlign w:val="superscript"/>
              </w:rPr>
              <w:t>(5)</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22,680</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A.G.P. / Alliance Global Partners</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267,874</w:t>
            </w:r>
            <w:r>
              <w:rPr>
                <w:rFonts w:ascii="Times New Roman" w:cs="Times New Roman" w:eastAsia="Times New Roman" w:hAnsi="Times New Roman"/>
                <w:sz w:val="29"/>
                <w:szCs w:val="29"/>
                <w:color w:val="auto"/>
                <w:vertAlign w:val="superscript"/>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147,100</w:t>
            </w:r>
            <w:r>
              <w:rPr>
                <w:rFonts w:ascii="Times New Roman" w:cs="Times New Roman" w:eastAsia="Times New Roman" w:hAnsi="Times New Roman"/>
                <w:sz w:val="29"/>
                <w:szCs w:val="29"/>
                <w:color w:val="auto"/>
                <w:vertAlign w:val="superscript"/>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120,774</w:t>
            </w:r>
            <w:r>
              <w:rPr>
                <w:rFonts w:ascii="Times New Roman" w:cs="Times New Roman" w:eastAsia="Times New Roman" w:hAnsi="Times New Roman"/>
                <w:sz w:val="29"/>
                <w:szCs w:val="29"/>
                <w:color w:val="auto"/>
                <w:vertAlign w:val="superscript"/>
              </w:rPr>
              <w:t>(3)</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jc w:val="both"/>
        <w:ind w:left="640" w:right="299" w:hanging="348"/>
        <w:spacing w:after="0" w:line="251"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Florida 33131.</w:t>
      </w:r>
    </w:p>
    <w:p>
      <w:pPr>
        <w:spacing w:after="0" w:line="83"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973,420 shares of Common Stock and (ii) 768,580 shares of Common Stock issuable to the Selling Stockholder upon exercise of the Pre-Funded Warrants. The Pre-Funded Warrants are subject to a beneficial ownership limitation of 9.99%, which such limitation restricts the Selling Stockholders from exercising that portion of the warrants that would result in the Selling Stockholders and their respective affiliates owning, after exercise, a number of shares of Common Stock in excess of the beneficial ownership limitation</w:t>
      </w:r>
    </w:p>
    <w:p>
      <w:pPr>
        <w:spacing w:after="0" w:line="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sale of all securities offered hereby.</w:t>
      </w:r>
    </w:p>
    <w:p>
      <w:pPr>
        <w:spacing w:after="0" w:line="117"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Davidson Kempner Arbitrage, Equities and Relative Value LP. Anthony A. Yoseloff may be deemed to have shared power to vote or direct the vote of, and/or shared power to dispose or to direct the disposition over, the securities. This disclosure is not and shall not be construed as an admission that Mr. Yoseloff is the beneficial owner of any securities of the Company other than the securities actually owned by such person (if any). The address of Davidson Kempner Arbitrage, Equities and Relative Value LP is c/o Davidson Kempner Capital Management LP, 9 West 57th Street, New York, New York 10019.</w:t>
      </w:r>
    </w:p>
    <w:p>
      <w:pPr>
        <w:spacing w:after="0" w:line="79"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M.H. Davidson &amp; Co. Anthony A. Yoseloff may be deemed to have shared power to vote or direct the vote of, and/or shared power to dispose or to direct the disposition over, the securities. This disclosure is not and shall not be construed as an admission that Mr. Yoseloff is the beneficial owner of any securities of the Company other than the securities actually owned by such person (if any). The address of M.H. Davidson &amp; Co. is c/o Davidson Kempner Capital Management LP, 9 West 57th Street, New York, New York 10019.</w:t>
      </w:r>
    </w:p>
    <w:p>
      <w:pPr>
        <w:spacing w:after="0" w:line="79"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A.G.P./Alliance Global Partners. The address of A.G.P./Alliance Global Partners is 590 Madison Avenue, 28th Floor, New York, New York 10022.</w:t>
      </w:r>
    </w:p>
    <w:p>
      <w:pPr>
        <w:spacing w:after="0" w:line="53" w:lineRule="exact"/>
        <w:rPr>
          <w:rFonts w:ascii="Times New Roman" w:cs="Times New Roman" w:eastAsia="Times New Roman" w:hAnsi="Times New Roman"/>
          <w:sz w:val="18"/>
          <w:szCs w:val="18"/>
          <w:color w:val="auto"/>
        </w:rPr>
      </w:pPr>
    </w:p>
    <w:p>
      <w:pPr>
        <w:jc w:val="both"/>
        <w:ind w:left="640" w:right="319" w:hanging="348"/>
        <w:spacing w:after="0" w:line="26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147,100 shares of Common Stock issuable to the Selling Stockholder upon exercise of the PA Warrants; and (ii) 120,774 shares of Common Stock issuable to the Selling Stockholder upon exercise of certain warrants.</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147,100 shares of Common Stock issuable to the Selling Stockholder upon exercise of the PA Warrants. None of the PA Warrants may be exercised prior to November 23, 2026. In addition, the PA Warrants are subject to a beneficial ownership limitation of 4.99% (or, at the election of the applicable Selling Stockholder, 9.99%), which such limitation restricts the Selling Stockholders from exercising that portion of the warrants that would result in the Selling Stockholders and their respective affiliates owning, after exercise, a number of shares of Common Stock in excess of the beneficial ownership limitation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the Company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 the market”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w:t>
      </w:r>
    </w:p>
    <w:p>
      <w:pPr>
        <w:spacing w:after="0" w:line="72"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5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agents or other purchasers,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we will receive from the sale;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to purchase additional shares or other options under which underwriters, dealers, agents or other purchasers may purchase additional securities from us;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to be allowed or paid to the agent or underwriters and other items constituting agents’ or underwriters’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8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or their affiliates may engage in transactions with, or perform services for, us in the ordinary course of business.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option to purchase additional shares or in the open market after the distribution is completed, to cover short positions.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Nasdaq may engage in passive market making transactions in our common stock on Nasdaq in accordance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the Selling Stockholders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of their respective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The Selling Stockholders may use any one or more of the following methods when selling securities:</w:t>
      </w:r>
    </w:p>
    <w:p>
      <w:pPr>
        <w:spacing w:after="0" w:line="72"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applicable Selling Stockholder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“Securities Act“), if available, rather than under this prospectus.</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Broker-dealers engaged by the applicable Selling Stockholder may arrange for other brokers-dealers to participate in sales. Broker-dealers may receive commissions or discounts from the applicable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applicable Selling Stockholder may enter into hedging transactions with broker-dealers or other financial institutions, which may in turn engage in short sales of the securities in the course of hedging the positions they assume. The applicable Selling Stockholder may also sell securities short and deliver these securities to close out its short positions, or loan or pledge the securities to broker-dealers that in turn may sell these securities. The applicable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Applicable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have informed the Company that they do not have any written or oral agreement or understanding, directly or indirectly, with any person to distribute the securities.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spacing w:after="0" w:line="80"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securities by the applicable Selling Stockholder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Bradley Arant Boult Cummings LLP. Additional legal matters may be passed upon for us or any underwriters, dealers or agents, by counsel that we will name in the applicable prospectus supplement.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and subsidiaries as of and for the year ended December 31, 2025 and 2024, incorporated by reference in this prospectus, have been audited by Frank, Rimerman + Co.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requirements of the Exchange Act, and we will file periodic reports, proxy statements and other information with the SEC. These periodic reports, proxy statements and other information are available at www.sec.gov. We also maintain a website at </w:t>
      </w:r>
      <w:r>
        <w:rPr>
          <w:rFonts w:ascii="Times New Roman" w:cs="Times New Roman" w:eastAsia="Times New Roman" w:hAnsi="Times New Roman"/>
          <w:sz w:val="18"/>
          <w:szCs w:val="18"/>
          <w:i w:val="1"/>
          <w:iCs w:val="1"/>
          <w:color w:val="auto"/>
        </w:rPr>
        <w:t>www.momentus.space</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spacing w:after="0" w:line="1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Attn: John C. Rood</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Telephone: (650) 564-7820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001-12584):</w:t>
      </w:r>
    </w:p>
    <w:p>
      <w:pPr>
        <w:spacing w:after="0" w:line="54" w:lineRule="exact"/>
        <w:rPr>
          <w:sz w:val="20"/>
          <w:szCs w:val="20"/>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58">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auto"/>
          </w:rPr>
          <w:t xml:space="preserve">our Quarterly Reports on Form 10-Q for the quarter ended March 31, 2026,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60">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Exhibit 4.19 to our Registration Statement on Form S-1, as filed with the SEC on </w:t>
      </w:r>
      <w:hyperlink r:id="rId61">
        <w:r>
          <w:rPr>
            <w:rFonts w:ascii="Times New Roman" w:cs="Times New Roman" w:eastAsia="Times New Roman" w:hAnsi="Times New Roman"/>
            <w:sz w:val="18"/>
            <w:szCs w:val="18"/>
            <w:u w:val="single" w:color="auto"/>
            <w:color w:val="0000EE"/>
          </w:rPr>
          <w:t>April 21, 2025</w:t>
        </w:r>
      </w:hyperlink>
      <w:r>
        <w:rPr>
          <w:rFonts w:ascii="Times New Roman" w:cs="Times New Roman" w:eastAsia="Times New Roman" w:hAnsi="Times New Roman"/>
          <w:sz w:val="18"/>
          <w:szCs w:val="18"/>
          <w:color w:val="auto"/>
        </w:rPr>
        <w:t>, and including any further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auto"/>
          </w:rPr>
          <w:t xml:space="preserve">our Current Reports filed on Form 8-K with the SEC on </w:t>
        </w:r>
        <w:r>
          <w:rPr>
            <w:rFonts w:ascii="Times New Roman" w:cs="Times New Roman" w:eastAsia="Times New Roman" w:hAnsi="Times New Roman"/>
            <w:sz w:val="18"/>
            <w:szCs w:val="18"/>
            <w:u w:val="single" w:color="auto"/>
            <w:color w:val="0000EE"/>
          </w:rPr>
          <w:t>January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February 20,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April 13,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April 16,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April 20,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May 5, 2026</w:t>
        </w:r>
      </w:hyperlink>
      <w:hyperlink r:id="rId6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 xml:space="preserve">May 22, 2026 </w:t>
        </w:r>
      </w:hyperlink>
      <w:hyperlink r:id="rId62">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69">
        <w:r>
          <w:rPr>
            <w:rFonts w:ascii="Times New Roman" w:cs="Times New Roman" w:eastAsia="Times New Roman" w:hAnsi="Times New Roman"/>
            <w:sz w:val="18"/>
            <w:szCs w:val="18"/>
            <w:u w:val="single" w:color="auto"/>
            <w:color w:val="0000EE"/>
          </w:rPr>
          <w:t>May 29, 2026</w:t>
        </w:r>
      </w:hyperlink>
      <w:r>
        <w:rPr>
          <w:rFonts w:ascii="Times New Roman" w:cs="Times New Roman" w:eastAsia="Times New Roman" w:hAnsi="Times New Roman"/>
          <w:sz w:val="18"/>
          <w:szCs w:val="18"/>
          <w:color w:val="000000"/>
        </w:rPr>
        <w:t>.</w:t>
      </w:r>
    </w:p>
    <w:p>
      <w:pPr>
        <w:spacing w:after="0" w:line="68" w:lineRule="exact"/>
        <w:rPr>
          <w:rFonts w:ascii="Times New Roman" w:cs="Times New Roman" w:eastAsia="Times New Roman" w:hAnsi="Times New Roman"/>
          <w:sz w:val="18"/>
          <w:szCs w:val="18"/>
          <w:color w:val="0000EE"/>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on or after the date of the filing of the registration statement of which this prospectus forms a part and prior to effectiveness of the registration statement, and on or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above.</w:t>
      </w:r>
    </w:p>
    <w:p>
      <w:pPr>
        <w:spacing w:after="0" w:line="1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0350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6035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1902460</wp:posOffset>
            </wp:positionV>
            <wp:extent cx="1474470" cy="1345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474470" cy="134556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of</w:t>
      </w:r>
    </w:p>
    <w:p>
      <w:pPr>
        <w:jc w:val="center"/>
        <w:ind w:right="-160"/>
        <w:spacing w:after="0" w:line="230" w:lineRule="auto"/>
        <w:rPr>
          <w:sz w:val="20"/>
          <w:szCs w:val="20"/>
          <w:color w:val="auto"/>
        </w:rPr>
      </w:pPr>
      <w:r>
        <w:rPr>
          <w:rFonts w:ascii="Times New Roman" w:cs="Times New Roman" w:eastAsia="Times New Roman" w:hAnsi="Times New Roman"/>
          <w:sz w:val="22"/>
          <w:szCs w:val="22"/>
          <w:b w:val="1"/>
          <w:bCs w:val="1"/>
          <w:color w:val="auto"/>
        </w:rPr>
        <w:t>Common Stock</w:t>
      </w:r>
    </w:p>
    <w:p>
      <w:pPr>
        <w:jc w:val="center"/>
        <w:ind w:right="-160"/>
        <w:spacing w:after="0" w:line="231" w:lineRule="auto"/>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60"/>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60"/>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60"/>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Offered, from time to time, by Momentus Inc.</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 </w:t>
      </w:r>
    </w:p>
    <w:p>
      <w:pPr>
        <w:ind w:left="2820"/>
        <w:spacing w:after="0" w:line="231" w:lineRule="auto"/>
        <w:rPr>
          <w:sz w:val="20"/>
          <w:szCs w:val="20"/>
          <w:color w:val="auto"/>
        </w:rPr>
      </w:pPr>
      <w:r>
        <w:rPr>
          <w:rFonts w:ascii="Times New Roman" w:cs="Times New Roman" w:eastAsia="Times New Roman" w:hAnsi="Times New Roman"/>
          <w:sz w:val="22"/>
          <w:szCs w:val="22"/>
          <w:b w:val="1"/>
          <w:bCs w:val="1"/>
          <w:color w:val="auto"/>
        </w:rPr>
        <w:t>Up to 3,089,100 Shares of Common Stock</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7"/>
          <w:szCs w:val="2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6035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222885</wp:posOffset>
            </wp:positionV>
            <wp:extent cx="60350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351790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type w:val="continuous"/>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sets forth the estimated costs and expenses, all of which shall be borne by Momentus Inc. (the “Registrant”), in connection with the offering of the securities pursuant to this registration statement.</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​33,622</w:t>
            </w:r>
          </w:p>
        </w:tc>
        <w:tc>
          <w:tcPr>
            <w:tcW w:w="180" w:type="dxa"/>
            <w:vAlign w:val="bottom"/>
            <w:shd w:val="clear" w:color="auto" w:fill="CCEEFF"/>
          </w:tcPr>
          <w:p>
            <w:pPr>
              <w:spacing w:after="0"/>
              <w:rPr>
                <w:sz w:val="24"/>
                <w:szCs w:val="24"/>
                <w:color w:val="auto"/>
              </w:rPr>
            </w:pP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expenses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47"/>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3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47"/>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r>
      <w:tr>
        <w:trPr>
          <w:trHeight w:val="25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20" w:type="dxa"/>
            <w:vAlign w:val="bottom"/>
          </w:tcPr>
          <w:p>
            <w:pPr>
              <w:spacing w:after="0"/>
              <w:rPr>
                <w:sz w:val="21"/>
                <w:szCs w:val="21"/>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w w:val="91"/>
              </w:rPr>
              <w:t>(1)</w:t>
            </w:r>
          </w:p>
        </w:tc>
      </w:tr>
      <w:tr>
        <w:trPr>
          <w:trHeight w:val="277"/>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1"/>
              </w:rPr>
              <w:t>(1)</w:t>
            </w:r>
          </w:p>
        </w:tc>
      </w:tr>
      <w:tr>
        <w:trPr>
          <w:trHeight w:val="20"/>
        </w:trPr>
        <w:tc>
          <w:tcPr>
            <w:tcW w:w="6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corporation, or is or was serving at the request of the corporation as a director, officer, employee or agent of another corporation, partnership, joint venture, trust or other enterprise. The DGCL provides that Section 145 is not exclusive of other rights to which those seeking indemnification may be entitled under any bylaws, agreement, vote of stockholders or disinterested directors or otherwise. The registrant’s Second Amended and Restated Certificate of Incorporation, as amended, and Amended and Restated Bylaws, as amended, provide for indemnification by the registrant of its directors and officers to the fullest extent permitted by the DGCL.</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Second Amended and Restated Certificate of Incorporation, as amended, provides for such limitation of liability to the fullest extent permitted by the DGCL.</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registrant has entered into, and expects to continue to enter into, indemnification agreements with each of its directors and executive officers. These agreements provide that the registrant will indemnify each of its directors and such officers to the fullest extent permitted by law.</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registrant also maintains standard policies of insurance under which coverage is provided to its directors and officers against loss arising from claims made by reason of breach of duty or other wrongful act, while acting in their capacity as directors and officers of the registrant.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immediately precedes the Signature Page and which Exhibit Index is hereby incorporated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undertakings set forth in paragraphs (1)(i), (1)(ii) and (1)(iii) above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77" w:lineRule="exact"/>
        <w:rPr>
          <w:sz w:val="20"/>
          <w:szCs w:val="20"/>
          <w:color w:val="auto"/>
        </w:rPr>
      </w:pPr>
    </w:p>
    <w:p>
      <w:pPr>
        <w:jc w:val="both"/>
        <w:ind w:left="1000" w:right="31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left="1000" w:right="299" w:firstLine="3"/>
        <w:spacing w:after="0" w:line="260" w:lineRule="auto"/>
        <w:tabs>
          <w:tab w:leader="none" w:pos="124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310 of the Trust Indenture Act in accordance with the rules and regulations prescribed by the SEC under Section 305(b)(2) of the Trust Indenture Act.</w:t>
      </w:r>
    </w:p>
    <w:p>
      <w:pPr>
        <w:spacing w:after="0" w:line="7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91"/>
        </w:trPr>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7680" w:type="dxa"/>
            <w:vAlign w:val="bottom"/>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 w:type="dxa"/>
            <w:vAlign w:val="bottom"/>
            <w:gridSpan w:val="2"/>
            <w:shd w:val="clear" w:color="auto" w:fill="CCEEFF"/>
          </w:tcPr>
          <w:p>
            <w:pPr>
              <w:spacing w:after="0" w:line="201"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Agreement, dated September 19, 2025, by and between Momentus Inc. and Alliance Global</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(incorporated by reference to Exhibit 1.1 to the Company’s Registration Statement on Form S-3</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 No. 333-290425) filed on September 22, 2025).</w:t>
            </w:r>
          </w:p>
        </w:tc>
        <w:tc>
          <w:tcPr>
            <w:tcW w:w="0" w:type="dxa"/>
            <w:vAlign w:val="bottom"/>
          </w:tcPr>
          <w:p>
            <w:pPr>
              <w:spacing w:after="0"/>
              <w:rPr>
                <w:sz w:val="1"/>
                <w:szCs w:val="1"/>
                <w:color w:val="auto"/>
              </w:rPr>
            </w:pPr>
          </w:p>
        </w:tc>
      </w:tr>
      <w:tr>
        <w:trPr>
          <w:trHeight w:val="229"/>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176"/>
        </w:trPr>
        <w:tc>
          <w:tcPr>
            <w:tcW w:w="6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October 7, 2020, by and among Stable Road Acquisition</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 Project Marvel First Merger Sub, Inc., Project Marvel Second Merger Sub, LLC, and</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Momentus Inc. (incorporated by reference to Exhibit 2.1 to the Company’s Current Report on Form 8-K</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October 7, 2020).</w:t>
            </w:r>
          </w:p>
        </w:tc>
        <w:tc>
          <w:tcPr>
            <w:tcW w:w="0" w:type="dxa"/>
            <w:vAlign w:val="bottom"/>
          </w:tcPr>
          <w:p>
            <w:pPr>
              <w:spacing w:after="0"/>
              <w:rPr>
                <w:sz w:val="1"/>
                <w:szCs w:val="1"/>
                <w:color w:val="auto"/>
              </w:rPr>
            </w:pP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Amendment No. 1 to Agreement and Plan of Merger, dated March 5, 2021, by and among Stable Road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Project Marvel First Merger Sub, Inc., Project Marvel Second Merger Sub, LLC, and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Momentus Inc. (incorporated by reference to Exhibit 2.2 to the Company’s Registration Statement on</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S-4 (Registration No. 333-249787) filed on March 8, 2021).</w:t>
            </w:r>
          </w:p>
        </w:tc>
        <w:tc>
          <w:tcPr>
            <w:tcW w:w="0" w:type="dxa"/>
            <w:vAlign w:val="bottom"/>
          </w:tcPr>
          <w:p>
            <w:pPr>
              <w:spacing w:after="0"/>
              <w:rPr>
                <w:sz w:val="1"/>
                <w:szCs w:val="1"/>
                <w:color w:val="auto"/>
              </w:rPr>
            </w:pP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Amendment No. 2 to Agreement and Plan of Merger, dated as of April 6, 2021, by and among Stable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Road Acquisition Corp., Project Marvel First Merger Sub, Inc., Project Marvel Second Merger Sub, LLC,</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Momentus Inc. (incorporated by reference to Exhibit 2.1 to the Company’s Current Report on</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April 8, 2021).</w:t>
            </w:r>
          </w:p>
        </w:tc>
        <w:tc>
          <w:tcPr>
            <w:tcW w:w="0" w:type="dxa"/>
            <w:vAlign w:val="bottom"/>
          </w:tcPr>
          <w:p>
            <w:pPr>
              <w:spacing w:after="0"/>
              <w:rPr>
                <w:sz w:val="1"/>
                <w:szCs w:val="1"/>
                <w:color w:val="auto"/>
              </w:rPr>
            </w:pPr>
          </w:p>
        </w:tc>
      </w:tr>
      <w:tr>
        <w:trPr>
          <w:trHeight w:val="176"/>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Amendment No. 3 to Agreement and Plan of Merger, dated as of June 29, 2021, by and among Stable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Road Acquisition Corp., Project Marvel First Merger Sub, Inc., Project Marvel Second Merger Sub, LLC,</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and Momentus Inc. (incorporated by reference to Exhibit 2.1 to the Company’s Current Report on</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June 29, 2021).</w:t>
            </w:r>
          </w:p>
        </w:tc>
        <w:tc>
          <w:tcPr>
            <w:tcW w:w="0" w:type="dxa"/>
            <w:vAlign w:val="bottom"/>
          </w:tcPr>
          <w:p>
            <w:pPr>
              <w:spacing w:after="0"/>
              <w:rPr>
                <w:sz w:val="1"/>
                <w:szCs w:val="1"/>
                <w:color w:val="auto"/>
              </w:rPr>
            </w:pP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Warrant Agreement, dated November 7, 2019, between Continental Stock Transfer &amp; Trust Company and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SRAC (incorporated by reference to the Company’s Current Report on Form 8-K filed on November 13,</w:t>
            </w: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75"/>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Specimen Warrant Certificate (incorporated by reference to Exhibit 4.3 to the Company’s Registration</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(Registration No. 333-233980) filed on October 10, 2019).</w:t>
            </w:r>
          </w:p>
        </w:tc>
        <w:tc>
          <w:tcPr>
            <w:tcW w:w="0" w:type="dxa"/>
            <w:vAlign w:val="bottom"/>
          </w:tcPr>
          <w:p>
            <w:pPr>
              <w:spacing w:after="0"/>
              <w:rPr>
                <w:sz w:val="1"/>
                <w:szCs w:val="1"/>
                <w:color w:val="auto"/>
              </w:rPr>
            </w:pP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Class A Warrant (incorporated by reference to Exhibit 4.2 to the Company’s Current Report on</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September 16, 2024).</w:t>
            </w:r>
          </w:p>
        </w:tc>
        <w:tc>
          <w:tcPr>
            <w:tcW w:w="0" w:type="dxa"/>
            <w:vAlign w:val="bottom"/>
          </w:tcPr>
          <w:p>
            <w:pPr>
              <w:spacing w:after="0"/>
              <w:rPr>
                <w:sz w:val="1"/>
                <w:szCs w:val="1"/>
                <w:color w:val="auto"/>
              </w:rPr>
            </w:pPr>
          </w:p>
        </w:tc>
      </w:tr>
      <w:tr>
        <w:trPr>
          <w:trHeight w:val="175"/>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Warrant (incorporated by reference to Exhibit 4.1 to the Company’s Current Report on Form 8-K</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filed on December 16, 2024).</w:t>
            </w:r>
          </w:p>
        </w:tc>
        <w:tc>
          <w:tcPr>
            <w:tcW w:w="0" w:type="dxa"/>
            <w:vAlign w:val="bottom"/>
          </w:tcPr>
          <w:p>
            <w:pPr>
              <w:spacing w:after="0"/>
              <w:rPr>
                <w:sz w:val="1"/>
                <w:szCs w:val="1"/>
                <w:color w:val="auto"/>
              </w:rPr>
            </w:pP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Common Warrant (incorporated by reference to Exhibit 4.1 to the Company’s Current Report on</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December 18, 2024).</w:t>
            </w:r>
          </w:p>
        </w:tc>
        <w:tc>
          <w:tcPr>
            <w:tcW w:w="0" w:type="dxa"/>
            <w:vAlign w:val="bottom"/>
          </w:tcPr>
          <w:p>
            <w:pPr>
              <w:spacing w:after="0"/>
              <w:rPr>
                <w:sz w:val="1"/>
                <w:szCs w:val="1"/>
                <w:color w:val="auto"/>
              </w:rPr>
            </w:pPr>
          </w:p>
        </w:tc>
      </w:tr>
      <w:tr>
        <w:trPr>
          <w:trHeight w:val="175"/>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Placement Agent Warrant (incorporated by reference to Exhibit 4.3 to the Company’s Current</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December 18, 2024).</w:t>
            </w:r>
          </w:p>
        </w:tc>
        <w:tc>
          <w:tcPr>
            <w:tcW w:w="0" w:type="dxa"/>
            <w:vAlign w:val="bottom"/>
          </w:tcPr>
          <w:p>
            <w:pPr>
              <w:spacing w:after="0"/>
              <w:rPr>
                <w:sz w:val="1"/>
                <w:szCs w:val="1"/>
                <w:color w:val="auto"/>
              </w:rPr>
            </w:pP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Common Warrant (incorporated by reference to Exhibit 4.1 to the Company’s Current Report on</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February 13, 2025).</w:t>
            </w:r>
          </w:p>
        </w:tc>
        <w:tc>
          <w:tcPr>
            <w:tcW w:w="0" w:type="dxa"/>
            <w:vAlign w:val="bottom"/>
          </w:tcPr>
          <w:p>
            <w:pPr>
              <w:spacing w:after="0"/>
              <w:rPr>
                <w:sz w:val="1"/>
                <w:szCs w:val="1"/>
                <w:color w:val="auto"/>
              </w:rPr>
            </w:pPr>
          </w:p>
        </w:tc>
      </w:tr>
      <w:tr>
        <w:trPr>
          <w:trHeight w:val="175"/>
        </w:trPr>
        <w:tc>
          <w:tcPr>
            <w:tcW w:w="300" w:type="dxa"/>
            <w:vAlign w:val="bottom"/>
            <w:gridSpan w:val="2"/>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Amendment to Common Stock Purchase Warrants (incorporated by reference to Exhibit 4.3 to the</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February 13, 2025).</w:t>
            </w:r>
          </w:p>
        </w:tc>
        <w:tc>
          <w:tcPr>
            <w:tcW w:w="0" w:type="dxa"/>
            <w:vAlign w:val="bottom"/>
          </w:tcPr>
          <w:p>
            <w:pPr>
              <w:spacing w:after="0"/>
              <w:rPr>
                <w:sz w:val="1"/>
                <w:szCs w:val="1"/>
                <w:color w:val="auto"/>
              </w:rPr>
            </w:pPr>
          </w:p>
        </w:tc>
      </w:tr>
      <w:tr>
        <w:trPr>
          <w:trHeight w:val="182"/>
        </w:trPr>
        <w:tc>
          <w:tcPr>
            <w:tcW w:w="30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Placement Agent Warrant (incorporated by reference to Exhibit 4.4 to the Company’s Current</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on February 13, 2025).</w:t>
            </w:r>
          </w:p>
        </w:tc>
        <w:tc>
          <w:tcPr>
            <w:tcW w:w="0" w:type="dxa"/>
            <w:vAlign w:val="bottom"/>
          </w:tcPr>
          <w:p>
            <w:pPr>
              <w:spacing w:after="0"/>
              <w:rPr>
                <w:sz w:val="1"/>
                <w:szCs w:val="1"/>
                <w:color w:val="auto"/>
              </w:rPr>
            </w:pPr>
          </w:p>
        </w:tc>
      </w:tr>
      <w:tr>
        <w:trPr>
          <w:trHeight w:val="175"/>
        </w:trPr>
        <w:tc>
          <w:tcPr>
            <w:tcW w:w="640" w:type="dxa"/>
            <w:vAlign w:val="bottom"/>
            <w:gridSpan w:val="3"/>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Inducement Warrant (incorporated by reference to Exhibit 4.1 to the Company’s Current Report</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March 21, 2025).</w:t>
            </w:r>
          </w:p>
        </w:tc>
        <w:tc>
          <w:tcPr>
            <w:tcW w:w="0" w:type="dxa"/>
            <w:vAlign w:val="bottom"/>
          </w:tcPr>
          <w:p>
            <w:pPr>
              <w:spacing w:after="0"/>
              <w:rPr>
                <w:sz w:val="1"/>
                <w:szCs w:val="1"/>
                <w:color w:val="auto"/>
              </w:rPr>
            </w:pPr>
          </w:p>
        </w:tc>
      </w:tr>
      <w:tr>
        <w:trPr>
          <w:trHeight w:val="182"/>
        </w:trPr>
        <w:tc>
          <w:tcPr>
            <w:tcW w:w="300" w:type="dxa"/>
            <w:vAlign w:val="bottom"/>
            <w:tcBorders>
              <w:bottom w:val="single" w:sz="8" w:color="0000EE"/>
            </w:tcBorders>
            <w:gridSpan w:val="2"/>
            <w:shd w:val="clear" w:color="auto" w:fill="CCEEFF"/>
          </w:tcPr>
          <w:p>
            <w:pPr>
              <w:spacing w:after="0" w:line="182" w:lineRule="exact"/>
              <w:rPr>
                <w:rFonts w:ascii="Times New Roman" w:cs="Times New Roman" w:eastAsia="Times New Roman" w:hAnsi="Times New Roman"/>
                <w:sz w:val="18"/>
                <w:szCs w:val="18"/>
                <w:color w:val="0000EE"/>
                <w:w w:val="88"/>
              </w:rPr>
            </w:pPr>
            <w:hyperlink r:id="rId61">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hyperlink>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Description of Securities (incorporated by reference to Exhibit 4.19 to the Company’s Registration</w:t>
            </w:r>
          </w:p>
        </w:tc>
        <w:tc>
          <w:tcPr>
            <w:tcW w:w="0" w:type="dxa"/>
            <w:vAlign w:val="bottom"/>
          </w:tcPr>
          <w:p>
            <w:pPr>
              <w:spacing w:after="0"/>
              <w:rPr>
                <w:sz w:val="1"/>
                <w:szCs w:val="1"/>
                <w:color w:val="auto"/>
              </w:rPr>
            </w:pPr>
          </w:p>
        </w:tc>
      </w:tr>
      <w:tr>
        <w:trPr>
          <w:trHeight w:val="250"/>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S-1 filed on April 21, 2025).</w:t>
            </w:r>
          </w:p>
        </w:tc>
        <w:tc>
          <w:tcPr>
            <w:tcW w:w="0" w:type="dxa"/>
            <w:vAlign w:val="bottom"/>
          </w:tcPr>
          <w:p>
            <w:pPr>
              <w:spacing w:after="0"/>
              <w:rPr>
                <w:sz w:val="1"/>
                <w:szCs w:val="1"/>
                <w:color w:val="auto"/>
              </w:rPr>
            </w:pPr>
          </w:p>
        </w:tc>
      </w:tr>
      <w:tr>
        <w:trPr>
          <w:trHeight w:val="175"/>
        </w:trPr>
        <w:tc>
          <w:tcPr>
            <w:tcW w:w="640" w:type="dxa"/>
            <w:vAlign w:val="bottom"/>
            <w:gridSpan w:val="3"/>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Common Stock Purchase Warrant (incorporated by reference to Exhibit 4.12 to the Company’s</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333-287712) filed on May 30, 2025).</w:t>
            </w:r>
          </w:p>
        </w:tc>
        <w:tc>
          <w:tcPr>
            <w:tcW w:w="0" w:type="dxa"/>
            <w:vAlign w:val="bottom"/>
          </w:tcPr>
          <w:p>
            <w:pPr>
              <w:spacing w:after="0"/>
              <w:rPr>
                <w:sz w:val="1"/>
                <w:szCs w:val="1"/>
                <w:color w:val="auto"/>
              </w:rPr>
            </w:pPr>
          </w:p>
        </w:tc>
      </w:tr>
      <w:tr>
        <w:trPr>
          <w:trHeight w:val="182"/>
        </w:trPr>
        <w:tc>
          <w:tcPr>
            <w:tcW w:w="640" w:type="dxa"/>
            <w:vAlign w:val="bottom"/>
            <w:gridSpan w:val="3"/>
            <w:shd w:val="clear" w:color="auto" w:fill="CCEEFF"/>
          </w:tcPr>
          <w:p>
            <w:pPr>
              <w:spacing w:after="0" w:line="18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Common Stock Purchase Warrant (incorporated by reference to Exhibit 4.1 to the Company’s</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 filed on July 2, 2025).</w:t>
            </w:r>
          </w:p>
        </w:tc>
        <w:tc>
          <w:tcPr>
            <w:tcW w:w="0" w:type="dxa"/>
            <w:vAlign w:val="bottom"/>
          </w:tcPr>
          <w:p>
            <w:pPr>
              <w:spacing w:after="0"/>
              <w:rPr>
                <w:sz w:val="1"/>
                <w:szCs w:val="1"/>
                <w:color w:val="auto"/>
              </w:rPr>
            </w:pPr>
          </w:p>
        </w:tc>
      </w:tr>
      <w:tr>
        <w:trPr>
          <w:trHeight w:val="176"/>
        </w:trPr>
        <w:tc>
          <w:tcPr>
            <w:tcW w:w="640" w:type="dxa"/>
            <w:vAlign w:val="bottom"/>
            <w:gridSpan w:val="3"/>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Amendment to Common Stock Purchase Warrants (incorporated by reference to Exhibit 4.3 to the</w:t>
            </w:r>
          </w:p>
        </w:tc>
        <w:tc>
          <w:tcPr>
            <w:tcW w:w="0" w:type="dxa"/>
            <w:vAlign w:val="bottom"/>
          </w:tcPr>
          <w:p>
            <w:pPr>
              <w:spacing w:after="0"/>
              <w:rPr>
                <w:sz w:val="1"/>
                <w:szCs w:val="1"/>
                <w:color w:val="auto"/>
              </w:rPr>
            </w:pPr>
          </w:p>
        </w:tc>
      </w:tr>
      <w:tr>
        <w:trPr>
          <w:trHeight w:val="243"/>
        </w:trPr>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July 2, 2025).</w:t>
            </w:r>
          </w:p>
        </w:tc>
        <w:tc>
          <w:tcPr>
            <w:tcW w:w="0" w:type="dxa"/>
            <w:vAlign w:val="bottom"/>
          </w:tcPr>
          <w:p>
            <w:pPr>
              <w:spacing w:after="0"/>
              <w:rPr>
                <w:sz w:val="1"/>
                <w:szCs w:val="1"/>
                <w:color w:val="auto"/>
              </w:rPr>
            </w:pPr>
          </w:p>
        </w:tc>
      </w:tr>
      <w:tr>
        <w:trPr>
          <w:trHeight w:val="182"/>
        </w:trPr>
        <w:tc>
          <w:tcPr>
            <w:tcW w:w="640" w:type="dxa"/>
            <w:vAlign w:val="bottom"/>
            <w:gridSpan w:val="3"/>
            <w:shd w:val="clear" w:color="auto" w:fill="CCEEFF"/>
          </w:tcPr>
          <w:p>
            <w:pPr>
              <w:spacing w:after="0" w:line="18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Inducement Warrant (incorporated by reference to Exhibit 4.1 to the Company’s Current Report</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Form 8-K filed on August 14, 2025).</w:t>
            </w:r>
          </w:p>
        </w:tc>
        <w:tc>
          <w:tcPr>
            <w:tcW w:w="0" w:type="dxa"/>
            <w:vAlign w:val="bottom"/>
          </w:tcPr>
          <w:p>
            <w:pPr>
              <w:spacing w:after="0"/>
              <w:rPr>
                <w:sz w:val="1"/>
                <w:szCs w:val="1"/>
                <w:color w:val="auto"/>
              </w:rPr>
            </w:pPr>
          </w:p>
        </w:tc>
      </w:tr>
      <w:tr>
        <w:trPr>
          <w:trHeight w:val="175"/>
        </w:trPr>
        <w:tc>
          <w:tcPr>
            <w:tcW w:w="640" w:type="dxa"/>
            <w:vAlign w:val="bottom"/>
            <w:gridSpan w:val="3"/>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hyperlink>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9"/>
              </w:rPr>
              <w:t>Form of Class A Common Stock Purchase Warrant (incorporated by reference to Exhibit C to Exhibit 10.1</w:t>
            </w: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 the Company’s Current Report on Form 8-K filed on September 11, 2025).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680" w:type="dxa"/>
            <w:vAlign w:val="bottom"/>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0" w:type="dxa"/>
            <w:vAlign w:val="bottom"/>
            <w:gridSpan w:val="2"/>
            <w:shd w:val="clear" w:color="auto" w:fill="CCEEFF"/>
          </w:tcPr>
          <w:p>
            <w:pPr>
              <w:spacing w:after="0" w:line="201"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hyperlink>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Junior Secured Convertible Note Due September 25, 2026, dated September 25, 2025, between</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Momentus Inc. and Yield Point NY, LLC (incorporated by reference to Exhibit 4.1 to the Company’s</w:t>
            </w:r>
          </w:p>
        </w:tc>
        <w:tc>
          <w:tcPr>
            <w:tcW w:w="0" w:type="dxa"/>
            <w:vAlign w:val="bottom"/>
          </w:tcPr>
          <w:p>
            <w:pPr>
              <w:spacing w:after="0"/>
              <w:rPr>
                <w:sz w:val="1"/>
                <w:szCs w:val="1"/>
                <w:color w:val="auto"/>
              </w:rPr>
            </w:pPr>
          </w:p>
        </w:tc>
      </w:tr>
      <w:tr>
        <w:trPr>
          <w:trHeight w:val="248"/>
        </w:trPr>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 filed on September 29, 2025).</w:t>
            </w:r>
          </w:p>
        </w:tc>
        <w:tc>
          <w:tcPr>
            <w:tcW w:w="0" w:type="dxa"/>
            <w:vAlign w:val="bottom"/>
          </w:tcPr>
          <w:p>
            <w:pPr>
              <w:spacing w:after="0"/>
              <w:rPr>
                <w:sz w:val="1"/>
                <w:szCs w:val="1"/>
                <w:color w:val="auto"/>
              </w:rPr>
            </w:pPr>
          </w:p>
        </w:tc>
      </w:tr>
      <w:tr>
        <w:trPr>
          <w:trHeight w:val="175"/>
        </w:trPr>
        <w:tc>
          <w:tcPr>
            <w:tcW w:w="360" w:type="dxa"/>
            <w:vAlign w:val="bottom"/>
            <w:gridSpan w:val="2"/>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Purchase Warrant, dated September 25, 2025, between Momentus Inc. and Yield Point</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NY, LLC (incorporated by reference to Exhibit 4.2 to the Company’s Current Report on Form 8-K filed</w:t>
            </w: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September 29, 2025).</w:t>
            </w:r>
          </w:p>
        </w:tc>
        <w:tc>
          <w:tcPr>
            <w:tcW w:w="0" w:type="dxa"/>
            <w:vAlign w:val="bottom"/>
          </w:tcPr>
          <w:p>
            <w:pPr>
              <w:spacing w:after="0"/>
              <w:rPr>
                <w:sz w:val="1"/>
                <w:szCs w:val="1"/>
                <w:color w:val="auto"/>
              </w:rPr>
            </w:pPr>
          </w:p>
        </w:tc>
      </w:tr>
      <w:tr>
        <w:trPr>
          <w:trHeight w:val="182"/>
        </w:trPr>
        <w:tc>
          <w:tcPr>
            <w:tcW w:w="36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hyperlink>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AIR Warrant, dated September 25, 2025, between Momentus Inc. and Yield Point NY, LLC (incorporated</w:t>
            </w:r>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by reference to Exhibit 4.3 to the Company’s Current Report on Form 8-K filed on September 29, 2025).</w:t>
            </w:r>
          </w:p>
        </w:tc>
        <w:tc>
          <w:tcPr>
            <w:tcW w:w="0" w:type="dxa"/>
            <w:vAlign w:val="bottom"/>
          </w:tcPr>
          <w:p>
            <w:pPr>
              <w:spacing w:after="0"/>
              <w:rPr>
                <w:sz w:val="1"/>
                <w:szCs w:val="1"/>
                <w:color w:val="auto"/>
              </w:rPr>
            </w:pPr>
          </w:p>
        </w:tc>
      </w:tr>
      <w:tr>
        <w:trPr>
          <w:trHeight w:val="175"/>
        </w:trPr>
        <w:tc>
          <w:tcPr>
            <w:tcW w:w="360" w:type="dxa"/>
            <w:vAlign w:val="bottom"/>
            <w:gridSpan w:val="2"/>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Pre-Funded Common Stock Purchase Warrant, dated September 25, 2025, between Momentus Inc. and</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Yield Point NY, LLC (incorporated by reference to Exhibit 4.4 to the Company’s Current Report on</w:t>
            </w: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September 29, 2025).</w:t>
            </w:r>
          </w:p>
        </w:tc>
        <w:tc>
          <w:tcPr>
            <w:tcW w:w="0" w:type="dxa"/>
            <w:vAlign w:val="bottom"/>
          </w:tcPr>
          <w:p>
            <w:pPr>
              <w:spacing w:after="0"/>
              <w:rPr>
                <w:sz w:val="1"/>
                <w:szCs w:val="1"/>
                <w:color w:val="auto"/>
              </w:rPr>
            </w:pPr>
          </w:p>
        </w:tc>
      </w:tr>
      <w:tr>
        <w:trPr>
          <w:trHeight w:val="182"/>
        </w:trPr>
        <w:tc>
          <w:tcPr>
            <w:tcW w:w="36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hyperlink>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Pre-Funded Common Stock Purchase Warrant, dated September 30, 2025, between Momentus Inc. and</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Baker &amp; McKenzie LLP (incorporated by reference to Exhibit 4.1 to the Company’s Current Report on</w:t>
            </w:r>
          </w:p>
        </w:tc>
        <w:tc>
          <w:tcPr>
            <w:tcW w:w="0" w:type="dxa"/>
            <w:vAlign w:val="bottom"/>
          </w:tcPr>
          <w:p>
            <w:pPr>
              <w:spacing w:after="0"/>
              <w:rPr>
                <w:sz w:val="1"/>
                <w:szCs w:val="1"/>
                <w:color w:val="auto"/>
              </w:rPr>
            </w:pPr>
          </w:p>
        </w:tc>
      </w:tr>
      <w:tr>
        <w:trPr>
          <w:trHeight w:val="248"/>
        </w:trPr>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October 6, 2025).</w:t>
            </w: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Inducement Warrant (incorporated by reference to Exhibit 4.1 to the Company’s Current Report</w:t>
            </w:r>
          </w:p>
        </w:tc>
        <w:tc>
          <w:tcPr>
            <w:tcW w:w="0" w:type="dxa"/>
            <w:vAlign w:val="bottom"/>
          </w:tcPr>
          <w:p>
            <w:pPr>
              <w:spacing w:after="0"/>
              <w:rPr>
                <w:sz w:val="1"/>
                <w:szCs w:val="1"/>
                <w:color w:val="auto"/>
              </w:rPr>
            </w:pPr>
          </w:p>
        </w:tc>
      </w:tr>
      <w:tr>
        <w:trPr>
          <w:trHeight w:val="243"/>
        </w:trPr>
        <w:tc>
          <w:tcPr>
            <w:tcW w:w="30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October 15, 2025).</w:t>
            </w:r>
          </w:p>
        </w:tc>
        <w:tc>
          <w:tcPr>
            <w:tcW w:w="0" w:type="dxa"/>
            <w:vAlign w:val="bottom"/>
          </w:tcPr>
          <w:p>
            <w:pPr>
              <w:spacing w:after="0"/>
              <w:rPr>
                <w:sz w:val="1"/>
                <w:szCs w:val="1"/>
                <w:color w:val="auto"/>
              </w:rPr>
            </w:pPr>
          </w:p>
        </w:tc>
      </w:tr>
      <w:tr>
        <w:trPr>
          <w:trHeight w:val="182"/>
        </w:trPr>
        <w:tc>
          <w:tcPr>
            <w:tcW w:w="36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hyperlink>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Inducement Warrant (incorporated by reference to Exhibit 4.1 to the Company’s Current Report</w:t>
            </w:r>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Form 8-K filed on December 12, 2025).</w:t>
            </w: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24</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Pre-Funded Warrant (incorporated by reference to Exhibit 4.1 to the Company’s Current Report</w:t>
            </w:r>
          </w:p>
        </w:tc>
        <w:tc>
          <w:tcPr>
            <w:tcW w:w="0" w:type="dxa"/>
            <w:vAlign w:val="bottom"/>
          </w:tcPr>
          <w:p>
            <w:pPr>
              <w:spacing w:after="0"/>
              <w:rPr>
                <w:sz w:val="1"/>
                <w:szCs w:val="1"/>
                <w:color w:val="auto"/>
              </w:rPr>
            </w:pPr>
          </w:p>
        </w:tc>
      </w:tr>
      <w:tr>
        <w:trPr>
          <w:trHeight w:val="243"/>
        </w:trPr>
        <w:tc>
          <w:tcPr>
            <w:tcW w:w="30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January 9, 2026).</w:t>
            </w:r>
          </w:p>
        </w:tc>
        <w:tc>
          <w:tcPr>
            <w:tcW w:w="0" w:type="dxa"/>
            <w:vAlign w:val="bottom"/>
          </w:tcPr>
          <w:p>
            <w:pPr>
              <w:spacing w:after="0"/>
              <w:rPr>
                <w:sz w:val="1"/>
                <w:szCs w:val="1"/>
                <w:color w:val="auto"/>
              </w:rPr>
            </w:pPr>
          </w:p>
        </w:tc>
      </w:tr>
      <w:tr>
        <w:trPr>
          <w:trHeight w:val="182"/>
        </w:trPr>
        <w:tc>
          <w:tcPr>
            <w:tcW w:w="36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25</w:t>
              </w:r>
            </w:hyperlink>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Common Warrant (incorporated by reference to Exhibit 4.2 to the Company’s Current Report on</w:t>
            </w:r>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January 9, 2026).</w:t>
            </w:r>
          </w:p>
        </w:tc>
        <w:tc>
          <w:tcPr>
            <w:tcW w:w="0" w:type="dxa"/>
            <w:vAlign w:val="bottom"/>
          </w:tcPr>
          <w:p>
            <w:pPr>
              <w:spacing w:after="0"/>
              <w:rPr>
                <w:sz w:val="1"/>
                <w:szCs w:val="1"/>
                <w:color w:val="auto"/>
              </w:rPr>
            </w:pPr>
          </w:p>
        </w:tc>
      </w:tr>
      <w:tr>
        <w:trPr>
          <w:trHeight w:val="175"/>
        </w:trPr>
        <w:tc>
          <w:tcPr>
            <w:tcW w:w="360" w:type="dxa"/>
            <w:vAlign w:val="bottom"/>
            <w:gridSpan w:val="2"/>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26</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Pre-Funded Warrant (incorporated by reference to Exhibit 4.1 to the Company’s Current Report</w:t>
            </w:r>
          </w:p>
        </w:tc>
        <w:tc>
          <w:tcPr>
            <w:tcW w:w="0" w:type="dxa"/>
            <w:vAlign w:val="bottom"/>
          </w:tcPr>
          <w:p>
            <w:pPr>
              <w:spacing w:after="0"/>
              <w:rPr>
                <w:sz w:val="1"/>
                <w:szCs w:val="1"/>
                <w:color w:val="auto"/>
              </w:rPr>
            </w:pPr>
          </w:p>
        </w:tc>
      </w:tr>
      <w:tr>
        <w:trPr>
          <w:trHeight w:val="243"/>
        </w:trPr>
        <w:tc>
          <w:tcPr>
            <w:tcW w:w="30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April 16, 2026).</w:t>
            </w:r>
          </w:p>
        </w:tc>
        <w:tc>
          <w:tcPr>
            <w:tcW w:w="0" w:type="dxa"/>
            <w:vAlign w:val="bottom"/>
          </w:tcPr>
          <w:p>
            <w:pPr>
              <w:spacing w:after="0"/>
              <w:rPr>
                <w:sz w:val="1"/>
                <w:szCs w:val="1"/>
                <w:color w:val="auto"/>
              </w:rPr>
            </w:pPr>
          </w:p>
        </w:tc>
      </w:tr>
      <w:tr>
        <w:trPr>
          <w:trHeight w:val="182"/>
        </w:trPr>
        <w:tc>
          <w:tcPr>
            <w:tcW w:w="36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27</w:t>
              </w:r>
            </w:hyperlink>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Placement Agent Warrant (incorporated by reference to Exhibit 4.2 to the Company’s Current</w:t>
            </w:r>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on April 16, 2026).</w:t>
            </w: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28</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Senior Indenture (incorporated by reference to Exhibit 4.17 to the Company’s Registration</w:t>
            </w:r>
          </w:p>
        </w:tc>
        <w:tc>
          <w:tcPr>
            <w:tcW w:w="0" w:type="dxa"/>
            <w:vAlign w:val="bottom"/>
          </w:tcPr>
          <w:p>
            <w:pPr>
              <w:spacing w:after="0"/>
              <w:rPr>
                <w:sz w:val="1"/>
                <w:szCs w:val="1"/>
                <w:color w:val="auto"/>
              </w:rPr>
            </w:pPr>
          </w:p>
        </w:tc>
      </w:tr>
      <w:tr>
        <w:trPr>
          <w:trHeight w:val="243"/>
        </w:trPr>
        <w:tc>
          <w:tcPr>
            <w:tcW w:w="30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S-3 (File No. 333-290425) filed on September 22, 2025).</w:t>
            </w:r>
          </w:p>
        </w:tc>
        <w:tc>
          <w:tcPr>
            <w:tcW w:w="0" w:type="dxa"/>
            <w:vAlign w:val="bottom"/>
          </w:tcPr>
          <w:p>
            <w:pPr>
              <w:spacing w:after="0"/>
              <w:rPr>
                <w:sz w:val="1"/>
                <w:szCs w:val="1"/>
                <w:color w:val="auto"/>
              </w:rPr>
            </w:pPr>
          </w:p>
        </w:tc>
      </w:tr>
      <w:tr>
        <w:trPr>
          <w:trHeight w:val="182"/>
        </w:trPr>
        <w:tc>
          <w:tcPr>
            <w:tcW w:w="36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29</w:t>
              </w:r>
            </w:hyperlink>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Subordinated Indenture (incorporated by reference to Exhibit 4.18 to the Company’s Registration</w:t>
            </w:r>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S-3 (File No. 333-290425) filed on September 22, 2025).</w:t>
            </w:r>
          </w:p>
        </w:tc>
        <w:tc>
          <w:tcPr>
            <w:tcW w:w="0" w:type="dxa"/>
            <w:vAlign w:val="bottom"/>
          </w:tcPr>
          <w:p>
            <w:pPr>
              <w:spacing w:after="0"/>
              <w:rPr>
                <w:sz w:val="1"/>
                <w:szCs w:val="1"/>
                <w:color w:val="auto"/>
              </w:rPr>
            </w:pPr>
          </w:p>
        </w:tc>
      </w:tr>
      <w:tr>
        <w:trPr>
          <w:trHeight w:val="229"/>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0" w:type="dxa"/>
            <w:vAlign w:val="bottom"/>
          </w:tcPr>
          <w:p>
            <w:pPr>
              <w:spacing w:after="0"/>
              <w:rPr>
                <w:sz w:val="1"/>
                <w:szCs w:val="1"/>
                <w:color w:val="auto"/>
              </w:rPr>
            </w:pPr>
          </w:p>
        </w:tc>
      </w:tr>
      <w:tr>
        <w:trPr>
          <w:trHeight w:val="230"/>
        </w:trPr>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Senior Note</w:t>
            </w:r>
          </w:p>
        </w:tc>
        <w:tc>
          <w:tcPr>
            <w:tcW w:w="0" w:type="dxa"/>
            <w:vAlign w:val="bottom"/>
          </w:tcPr>
          <w:p>
            <w:pPr>
              <w:spacing w:after="0"/>
              <w:rPr>
                <w:sz w:val="1"/>
                <w:szCs w:val="1"/>
                <w:color w:val="auto"/>
              </w:rPr>
            </w:pPr>
          </w:p>
        </w:tc>
      </w:tr>
      <w:tr>
        <w:trPr>
          <w:trHeight w:val="230"/>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Subordinated Note</w:t>
            </w:r>
          </w:p>
        </w:tc>
        <w:tc>
          <w:tcPr>
            <w:tcW w:w="0" w:type="dxa"/>
            <w:vAlign w:val="bottom"/>
          </w:tcPr>
          <w:p>
            <w:pPr>
              <w:spacing w:after="0"/>
              <w:rPr>
                <w:sz w:val="1"/>
                <w:szCs w:val="1"/>
                <w:color w:val="auto"/>
              </w:rPr>
            </w:pPr>
          </w:p>
        </w:tc>
      </w:tr>
      <w:tr>
        <w:trPr>
          <w:trHeight w:val="230"/>
        </w:trPr>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 and Warrant Certificate</w:t>
            </w:r>
          </w:p>
        </w:tc>
        <w:tc>
          <w:tcPr>
            <w:tcW w:w="0" w:type="dxa"/>
            <w:vAlign w:val="bottom"/>
          </w:tcPr>
          <w:p>
            <w:pPr>
              <w:spacing w:after="0"/>
              <w:rPr>
                <w:sz w:val="1"/>
                <w:szCs w:val="1"/>
                <w:color w:val="auto"/>
              </w:rPr>
            </w:pPr>
          </w:p>
        </w:tc>
      </w:tr>
      <w:tr>
        <w:trPr>
          <w:trHeight w:val="175"/>
        </w:trPr>
        <w:tc>
          <w:tcPr>
            <w:tcW w:w="360" w:type="dxa"/>
            <w:vAlign w:val="bottom"/>
            <w:gridSpan w:val="2"/>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34</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 of Pre-Funded Warrant (incorporated by reference to Exhibit 4.1 to the Company’s Current Report</w:t>
            </w:r>
          </w:p>
        </w:tc>
        <w:tc>
          <w:tcPr>
            <w:tcW w:w="0" w:type="dxa"/>
            <w:vAlign w:val="bottom"/>
          </w:tcPr>
          <w:p>
            <w:pPr>
              <w:spacing w:after="0"/>
              <w:rPr>
                <w:sz w:val="1"/>
                <w:szCs w:val="1"/>
                <w:color w:val="auto"/>
              </w:rPr>
            </w:pPr>
          </w:p>
        </w:tc>
      </w:tr>
      <w:tr>
        <w:trPr>
          <w:trHeight w:val="243"/>
        </w:trPr>
        <w:tc>
          <w:tcPr>
            <w:tcW w:w="30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May 29, 2026).</w:t>
            </w:r>
          </w:p>
        </w:tc>
        <w:tc>
          <w:tcPr>
            <w:tcW w:w="0" w:type="dxa"/>
            <w:vAlign w:val="bottom"/>
          </w:tcPr>
          <w:p>
            <w:pPr>
              <w:spacing w:after="0"/>
              <w:rPr>
                <w:sz w:val="1"/>
                <w:szCs w:val="1"/>
                <w:color w:val="auto"/>
              </w:rPr>
            </w:pPr>
          </w:p>
        </w:tc>
      </w:tr>
      <w:tr>
        <w:trPr>
          <w:trHeight w:val="182"/>
        </w:trPr>
        <w:tc>
          <w:tcPr>
            <w:tcW w:w="360" w:type="dxa"/>
            <w:vAlign w:val="bottom"/>
            <w:gridSpan w:val="2"/>
            <w:shd w:val="clear" w:color="auto" w:fill="CCEEFF"/>
          </w:tcPr>
          <w:p>
            <w:pPr>
              <w:spacing w:after="0" w:line="182"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35</w:t>
              </w:r>
            </w:hyperlink>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Form of Placement Agent Warrant (incorporated by reference to Exhibit 4.2 to the Company’s Current</w:t>
            </w:r>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on May 29, 2026).</w:t>
            </w:r>
          </w:p>
        </w:tc>
        <w:tc>
          <w:tcPr>
            <w:tcW w:w="0" w:type="dxa"/>
            <w:vAlign w:val="bottom"/>
          </w:tcPr>
          <w:p>
            <w:pPr>
              <w:spacing w:after="0"/>
              <w:rPr>
                <w:sz w:val="1"/>
                <w:szCs w:val="1"/>
                <w:color w:val="auto"/>
              </w:rPr>
            </w:pPr>
          </w:p>
        </w:tc>
      </w:tr>
      <w:tr>
        <w:trPr>
          <w:trHeight w:val="175"/>
        </w:trPr>
        <w:tc>
          <w:tcPr>
            <w:tcW w:w="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Opinion of Bradley Arant Boult Cummings LLP.</w:t>
            </w:r>
          </w:p>
        </w:tc>
        <w:tc>
          <w:tcPr>
            <w:tcW w:w="0" w:type="dxa"/>
            <w:vAlign w:val="bottom"/>
          </w:tcPr>
          <w:p>
            <w:pPr>
              <w:spacing w:after="0"/>
              <w:rPr>
                <w:sz w:val="1"/>
                <w:szCs w:val="1"/>
                <w:color w:val="auto"/>
              </w:rPr>
            </w:pPr>
          </w:p>
        </w:tc>
      </w:tr>
      <w:tr>
        <w:trPr>
          <w:trHeight w:val="34"/>
        </w:trPr>
        <w:tc>
          <w:tcPr>
            <w:tcW w:w="3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Frank, Rimerman + Co. LLP, independent registered public accounting firm.</w:t>
            </w:r>
          </w:p>
        </w:tc>
        <w:tc>
          <w:tcPr>
            <w:tcW w:w="0" w:type="dxa"/>
            <w:vAlign w:val="bottom"/>
          </w:tcPr>
          <w:p>
            <w:pPr>
              <w:spacing w:after="0"/>
              <w:rPr>
                <w:sz w:val="1"/>
                <w:szCs w:val="1"/>
                <w:color w:val="auto"/>
              </w:rPr>
            </w:pPr>
          </w:p>
        </w:tc>
      </w:tr>
      <w:tr>
        <w:trPr>
          <w:trHeight w:val="176"/>
        </w:trPr>
        <w:tc>
          <w:tcPr>
            <w:tcW w:w="36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6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Consent of Bradley Arant Boult Cummings LLP (included in Exhibit 5.1).</w:t>
            </w:r>
          </w:p>
        </w:tc>
        <w:tc>
          <w:tcPr>
            <w:tcW w:w="0" w:type="dxa"/>
            <w:vAlign w:val="bottom"/>
          </w:tcPr>
          <w:p>
            <w:pPr>
              <w:spacing w:after="0"/>
              <w:rPr>
                <w:sz w:val="1"/>
                <w:szCs w:val="1"/>
                <w:color w:val="auto"/>
              </w:rPr>
            </w:pPr>
          </w:p>
        </w:tc>
      </w:tr>
      <w:tr>
        <w:trPr>
          <w:trHeight w:val="34"/>
        </w:trPr>
        <w:tc>
          <w:tcPr>
            <w:tcW w:w="3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7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(included on the signature page to the prospectus which forms part of this registration</w:t>
            </w:r>
          </w:p>
        </w:tc>
        <w:tc>
          <w:tcPr>
            <w:tcW w:w="0" w:type="dxa"/>
            <w:vAlign w:val="bottom"/>
          </w:tcPr>
          <w:p>
            <w:pPr>
              <w:spacing w:after="0"/>
              <w:rPr>
                <w:sz w:val="1"/>
                <w:szCs w:val="1"/>
                <w:color w:val="auto"/>
              </w:rPr>
            </w:pPr>
          </w:p>
        </w:tc>
      </w:tr>
      <w:tr>
        <w:trPr>
          <w:trHeight w:val="250"/>
        </w:trPr>
        <w:tc>
          <w:tcPr>
            <w:tcW w:w="30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w:t>
            </w:r>
          </w:p>
        </w:tc>
        <w:tc>
          <w:tcPr>
            <w:tcW w:w="0" w:type="dxa"/>
            <w:vAlign w:val="bottom"/>
          </w:tcPr>
          <w:p>
            <w:pPr>
              <w:spacing w:after="0"/>
              <w:rPr>
                <w:sz w:val="1"/>
                <w:szCs w:val="1"/>
                <w:color w:val="auto"/>
              </w:rPr>
            </w:pPr>
          </w:p>
        </w:tc>
      </w:tr>
      <w:tr>
        <w:trPr>
          <w:trHeight w:val="230"/>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T-1 Statement on Eligibility of Trustee for Senior Indenture under the Trust Indenture Act of 1939.</w:t>
            </w:r>
          </w:p>
        </w:tc>
        <w:tc>
          <w:tcPr>
            <w:tcW w:w="0" w:type="dxa"/>
            <w:vAlign w:val="bottom"/>
          </w:tcPr>
          <w:p>
            <w:pPr>
              <w:spacing w:after="0"/>
              <w:rPr>
                <w:sz w:val="1"/>
                <w:szCs w:val="1"/>
                <w:color w:val="auto"/>
              </w:rPr>
            </w:pPr>
          </w:p>
        </w:tc>
      </w:tr>
      <w:tr>
        <w:trPr>
          <w:trHeight w:val="198"/>
        </w:trPr>
        <w:tc>
          <w:tcPr>
            <w:tcW w:w="5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Form T-1 Statement on Eligibility of Trustee for Subordinate Indenture under the Trust Indenture Act of</w:t>
            </w:r>
          </w:p>
        </w:tc>
        <w:tc>
          <w:tcPr>
            <w:tcW w:w="0" w:type="dxa"/>
            <w:vAlign w:val="bottom"/>
          </w:tcPr>
          <w:p>
            <w:pPr>
              <w:spacing w:after="0"/>
              <w:rPr>
                <w:sz w:val="1"/>
                <w:szCs w:val="1"/>
                <w:color w:val="auto"/>
              </w:rPr>
            </w:pPr>
          </w:p>
        </w:tc>
      </w:tr>
      <w:tr>
        <w:trPr>
          <w:trHeight w:val="248"/>
        </w:trPr>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175"/>
        </w:trPr>
        <w:tc>
          <w:tcPr>
            <w:tcW w:w="3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4"/>
              </w:rPr>
              <w:t>107*</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231140</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89" w:lineRule="exact"/>
        <w:rPr>
          <w:sz w:val="20"/>
          <w:szCs w:val="20"/>
          <w:color w:val="auto"/>
        </w:rPr>
      </w:pPr>
    </w:p>
    <w:p>
      <w:pPr>
        <w:ind w:left="640" w:right="29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by a report on Form 8-K pursuant to Item 601 of Regulation S-K and incorporated herein by reference.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42" w:lineRule="exact"/>
        <w:rPr>
          <w:sz w:val="20"/>
          <w:szCs w:val="20"/>
          <w:color w:val="auto"/>
        </w:rPr>
      </w:pPr>
    </w:p>
    <w:p>
      <w:pPr>
        <w:ind w:left="640" w:hanging="348"/>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incorporated herein by reference from a subsequent filing in accordance with Section 305(b)(2) of the Trust Indenture Act of 1939.</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on June 1, 2026.</w:t>
      </w:r>
    </w:p>
    <w:p>
      <w:pPr>
        <w:spacing w:after="0" w:line="19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u w:val="single" w:color="auto"/>
          <w:color w:val="auto"/>
        </w:rPr>
        <w:t>MOMENTUS INC.</w:t>
      </w:r>
    </w:p>
    <w:p>
      <w:pPr>
        <w:spacing w:after="0" w:line="256" w:lineRule="exact"/>
        <w:rPr>
          <w:sz w:val="20"/>
          <w:szCs w:val="20"/>
          <w:color w:val="auto"/>
        </w:rPr>
      </w:pPr>
    </w:p>
    <w:tbl>
      <w:tblPr>
        <w:tblLayout w:type="fixed"/>
        <w:tblInd w:w="424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 Ensler</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Lon Ensler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4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41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 John C. Rood</w:t>
            </w:r>
          </w:p>
        </w:tc>
        <w:tc>
          <w:tcPr>
            <w:tcW w:w="20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John C. Rood</w:t>
            </w:r>
          </w:p>
        </w:tc>
        <w:tc>
          <w:tcPr>
            <w:tcW w:w="200" w:type="dxa"/>
            <w:vAlign w:val="bottom"/>
          </w:tcPr>
          <w:p>
            <w:pPr>
              <w:spacing w:after="0"/>
              <w:rPr>
                <w:sz w:val="19"/>
                <w:szCs w:val="19"/>
                <w:color w:val="auto"/>
              </w:rPr>
            </w:pPr>
          </w:p>
        </w:tc>
        <w:tc>
          <w:tcPr>
            <w:tcW w:w="4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 Lon Ensler</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Lon Ensler</w:t>
            </w:r>
          </w:p>
        </w:tc>
        <w:tc>
          <w:tcPr>
            <w:tcW w:w="200" w:type="dxa"/>
            <w:vAlign w:val="bottom"/>
          </w:tcPr>
          <w:p>
            <w:pPr>
              <w:spacing w:after="0"/>
              <w:rPr>
                <w:sz w:val="19"/>
                <w:szCs w:val="19"/>
                <w:color w:val="auto"/>
              </w:rPr>
            </w:pPr>
          </w:p>
        </w:tc>
        <w:tc>
          <w:tcPr>
            <w:tcW w:w="4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Brian Kabot</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Chris Hadfield</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Victorino Mercado</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Kimberly A. Reed</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Linda J. Reiners</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Mitchel B. Kugler</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John C. Rood</w:t>
            </w:r>
          </w:p>
        </w:tc>
        <w:tc>
          <w:tcPr>
            <w:tcW w:w="2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John C. Rood</w:t>
            </w: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II-6</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43050" cy="522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2">
                      <a:extLst>
                        <a:ext uri="{28A0092B-C50C-407E-A947-70E740481C1C}"/>
                      </a:extLst>
                    </a:blip>
                    <a:srcRect/>
                    <a:stretch>
                      <a:fillRect/>
                    </a:stretch>
                  </pic:blipFill>
                  <pic:spPr bwMode="auto">
                    <a:xfrm>
                      <a:off x="0" y="0"/>
                      <a:ext cx="15430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We have acted as counsel to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pre-effective amendment to the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on this date by the Company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offer and sale from time to time (A) by the Company of up to $200,000,000 aggregate offering amount of (i) shares of the Company’s Class A common stock, par value $0.00001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the Company’s preferred stock, par value $0.00001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one or more series of debt securities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issuable pursuant to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be entered into between the Company and a financial institution to be identified therein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(iv) warrants to purchase Common Stock, Preferred Stock and/or Debt Securities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and/or (v) units consisting of any combination of such foregoing securities described in clauses (i) through (iv) above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and, together with the Common Stock, the Preferred Stock, the Debt Securities and the Warrants, the “</w:t>
      </w:r>
      <w:r>
        <w:rPr>
          <w:rFonts w:ascii="Times New Roman" w:cs="Times New Roman" w:eastAsia="Times New Roman" w:hAnsi="Times New Roman"/>
          <w:sz w:val="18"/>
          <w:szCs w:val="18"/>
          <w:u w:val="single" w:color="auto"/>
          <w:color w:val="auto"/>
        </w:rPr>
        <w:t>Shelf Securities</w:t>
      </w:r>
      <w:r>
        <w:rPr>
          <w:rFonts w:ascii="Times New Roman" w:cs="Times New Roman" w:eastAsia="Times New Roman" w:hAnsi="Times New Roman"/>
          <w:sz w:val="18"/>
          <w:szCs w:val="18"/>
          <w:color w:val="auto"/>
        </w:rPr>
        <w:t>”); and (B) by the selling stockholders named in the Base Prospectus contained in the Registration Statement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(i) 2,173,420 shares of Common Stock (the “</w:t>
      </w:r>
      <w:r>
        <w:rPr>
          <w:rFonts w:ascii="Times New Roman" w:cs="Times New Roman" w:eastAsia="Times New Roman" w:hAnsi="Times New Roman"/>
          <w:sz w:val="18"/>
          <w:szCs w:val="18"/>
          <w:u w:val="single" w:color="auto"/>
          <w:color w:val="auto"/>
        </w:rPr>
        <w:t>PIPE Shares</w:t>
      </w:r>
      <w:r>
        <w:rPr>
          <w:rFonts w:ascii="Times New Roman" w:cs="Times New Roman" w:eastAsia="Times New Roman" w:hAnsi="Times New Roman"/>
          <w:sz w:val="18"/>
          <w:szCs w:val="18"/>
          <w:color w:val="auto"/>
        </w:rPr>
        <w:t>”) issued to the Selling Stockholders pursuant to a securities purchase agreement dated May 26, 2026 (the “</w:t>
      </w:r>
      <w:r>
        <w:rPr>
          <w:rFonts w:ascii="Times New Roman" w:cs="Times New Roman" w:eastAsia="Times New Roman" w:hAnsi="Times New Roman"/>
          <w:sz w:val="18"/>
          <w:szCs w:val="18"/>
          <w:u w:val="single" w:color="auto"/>
          <w:color w:val="auto"/>
        </w:rPr>
        <w:t>SPA</w:t>
      </w:r>
      <w:r>
        <w:rPr>
          <w:rFonts w:ascii="Times New Roman" w:cs="Times New Roman" w:eastAsia="Times New Roman" w:hAnsi="Times New Roman"/>
          <w:sz w:val="18"/>
          <w:szCs w:val="18"/>
          <w:color w:val="auto"/>
        </w:rPr>
        <w:t>”); (ii) 768,580 shares of Common Stock issuable upon exercise of that certain common stock pre-funded warrant issued by the Company to the Selling Stockholders on May 28, 2026 (the “</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and (iii)147,100 shares of Common Stock issuable upon the exercise of that certain common stock purchase warrant issued by the Company to the Selling Stockholders on May 28, 2026 (the “</w:t>
      </w:r>
      <w:r>
        <w:rPr>
          <w:rFonts w:ascii="Times New Roman" w:cs="Times New Roman" w:eastAsia="Times New Roman" w:hAnsi="Times New Roman"/>
          <w:sz w:val="18"/>
          <w:szCs w:val="18"/>
          <w:u w:val="single" w:color="auto"/>
          <w:color w:val="auto"/>
        </w:rPr>
        <w:t>Placement Agent Warrant</w:t>
      </w:r>
      <w:r>
        <w:rPr>
          <w:rFonts w:ascii="Times New Roman" w:cs="Times New Roman" w:eastAsia="Times New Roman" w:hAnsi="Times New Roman"/>
          <w:sz w:val="18"/>
          <w:szCs w:val="18"/>
          <w:color w:val="auto"/>
        </w:rPr>
        <w:t>” and, together with the Pre-Funded Warrant, the “</w:t>
      </w:r>
      <w:r>
        <w:rPr>
          <w:rFonts w:ascii="Times New Roman" w:cs="Times New Roman" w:eastAsia="Times New Roman" w:hAnsi="Times New Roman"/>
          <w:sz w:val="18"/>
          <w:szCs w:val="18"/>
          <w:u w:val="single" w:color="auto"/>
          <w:color w:val="auto"/>
        </w:rPr>
        <w:t>PIPE Warrants</w:t>
      </w:r>
      <w:r>
        <w:rPr>
          <w:rFonts w:ascii="Times New Roman" w:cs="Times New Roman" w:eastAsia="Times New Roman" w:hAnsi="Times New Roman"/>
          <w:sz w:val="18"/>
          <w:szCs w:val="18"/>
          <w:color w:val="auto"/>
        </w:rPr>
        <w:t xml:space="preserve">”) (the shares of Common Stock issuable upon exercise of the PIPE Warrants, collectively, the </w:t>
      </w:r>
      <w:r>
        <w:rPr>
          <w:rFonts w:ascii="Times New Roman" w:cs="Times New Roman" w:eastAsia="Times New Roman" w:hAnsi="Times New Roman"/>
          <w:sz w:val="18"/>
          <w:szCs w:val="18"/>
          <w:u w:val="single" w:color="auto"/>
          <w:color w:val="auto"/>
        </w:rPr>
        <w:t>“PIPE Warrant Shares</w:t>
      </w:r>
      <w:r>
        <w:rPr>
          <w:rFonts w:ascii="Times New Roman" w:cs="Times New Roman" w:eastAsia="Times New Roman" w:hAnsi="Times New Roman"/>
          <w:sz w:val="18"/>
          <w:szCs w:val="18"/>
          <w:color w:val="auto"/>
        </w:rPr>
        <w:t>” and the shares of Common Stock registered pursuant to the Registration Statement, collectively, the “</w:t>
      </w:r>
      <w:r>
        <w:rPr>
          <w:rFonts w:ascii="Times New Roman" w:cs="Times New Roman" w:eastAsia="Times New Roman" w:hAnsi="Times New Roman"/>
          <w:sz w:val="18"/>
          <w:szCs w:val="18"/>
          <w:u w:val="single" w:color="auto"/>
          <w:color w:val="auto"/>
        </w:rPr>
        <w:t>PIPE Securities</w:t>
      </w:r>
      <w:r>
        <w:rPr>
          <w:rFonts w:ascii="Times New Roman" w:cs="Times New Roman" w:eastAsia="Times New Roman" w:hAnsi="Times New Roman"/>
          <w:sz w:val="18"/>
          <w:szCs w:val="18"/>
          <w:color w:val="auto"/>
        </w:rPr>
        <w:t>”) . The Shelf Securities and PIPE Securities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which will be in a form to be filed as an exhibit to a post-effective amendment to the Registration Statement or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incorporated in such Registration Statement by reference. The Securities may be issued and sold or delivered from time to time as set forth in the Registration Statement, any amendment thereto, the prospectus contained therein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supplements to the Prospectus (each, a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This opinion is being furnished in accordance with the requirements of Item 16 of Form S-3 and Item 601(b)(5)(i)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promulgated by the SEC.</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4C4C4C"/>
        </w:rPr>
        <w:t>Bradley Arant Boult Cummings LLP | 1221 Broadway | Suite 2400 | Nashville, TN 37203 | 615.244.2582 | bradley.com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We have examined the Registration Statement and the Second Amended and Restated Certificate of Incorporation, as amended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and the Amended and Restated Bylaws, as amended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each of which has been filed with the SEC. We have also examined and relied upon the originals, or copies certified or otherwise identified to our satisfaction, of such records, documents, certificates and other instruments as in our judgment are necessary or appropriate to enable us to render the opinion expressed below. In such examination, we have assumed, and express no opinion as to, the authenticity of original documents and the genuineness of all signatures, the conformity to the originals of all documents submitted to us as copies, the truth, accuracy and completeness of the information, representations and warranties contained in the instruments, documents, certificates and records we have reviewed, the legal capacity of all natural persons or entities (except for the Company),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May 27, 2026, and as to any facts material to the opinions expressed herein that were not independently established or verified, we have relied upon oral or written statements and representations of officers and other representatives of the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have assumed that any certificates or instruments representing the Securities will be, when issued, properly signed by authorized officers of the Company, and, in the case of Debt Securities, properly authenticated in accordance with the terms of the applicable Indenture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 the Warrant Agreement (as defined below) at the time of issuance and delivery of the Warrants will be a valid and legally binding obligation of the Company’s warrant agent and the Unit Agreement (as defined below) at the time of issuance and delivery of the Units will be a valid and legally binding obligation of the Company’s unit agent.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render this opinion with respect to the laws of the State of New York and the Delaware General Corporation Law, and we do not express any opinion with respect to the law of any other jurisdiction or to the securities or “blue sky” laws of any state or any local or regional laws. To the extent that any Warrant Agreement or Unit Agreement (each as defined below) is governed by the laws of any jurisdiction other than the State of New York, our opinion expressed below assumes that the laws of the State of New York will exclusively apply to and govern such Warrant Agreement or Unit Agreement, without regard to any interpretation or construction that might be indicated by the laws stated as governing any such Warrant Agreement or Unit Agreement.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our opinions expressed below, we have assumed that, at or prior to the time of the delivery of any Securities: (i) that the Registration Statement, and any amendments thereto (including post-effective amendments), will have become effective under the Securities Act and that no stop order shall have been issued with respect thereto; (ii) that a Prospectus Supplement will have been filed with the SEC describing the Securities offered thereby;</w:t>
      </w:r>
    </w:p>
    <w:p>
      <w:pPr>
        <w:spacing w:after="0" w:line="1" w:lineRule="exact"/>
        <w:rPr>
          <w:sz w:val="20"/>
          <w:szCs w:val="20"/>
          <w:color w:val="auto"/>
        </w:rPr>
      </w:pPr>
    </w:p>
    <w:p>
      <w:pPr>
        <w:jc w:val="both"/>
        <w:ind w:firstLine="8"/>
        <w:spacing w:after="0" w:line="251" w:lineRule="auto"/>
        <w:tabs>
          <w:tab w:leader="none" w:pos="3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Securities will be issued and sold in compliance with applicable U.S. federal and state securities laws and in the manner stated in the Registration Statement and the applicable Prospectus Supplement; (iv) that a definitive purchase, underwriting or similar agreement with respect to any Securities offered will have been duly authorized and validly executed and delivered by the Company and the other parties thereto; (v) that any Securities issuable upon conversion, exchange, redemption or exercise of any Securities being offered will be duly authorized, created and, if appropriate, reserved for issuance upon such conversion, exchange, redemption or exercise; (vi) that the applicable Indenture will be the legal, valid and binding obligation of each party thereto, other than the Company, enforceable against each such party in accordance with its terms, and will be duly qualified under the Trust Indenture Act of 1939, as amended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and that the applicable Trustee will be duly eligible to serve as trustee; (vii) with respect to shares of Common Stock or Preferred Stock offered or purchasable upon exercise or conversion of any Securities, that there will be sufficient shares of Common Stock or Preferred Stock authorized under the Company’s Certificate of Incorporation that are not otherwise reserved for issuance; and (viii) that no future amendments will be made to the Certificate of Incorporation or Bylaws that would be in conflict with or inconsistent with the Company’s right and ability to issue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Our opinion is qualified by and is subject to, and we render no opinion with respect to, the following limitations and exceptions to the enforceability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the Warrants and the Units:</w:t>
      </w:r>
    </w:p>
    <w:p>
      <w:pPr>
        <w:spacing w:after="0" w:line="207"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laws of bankruptcy, insolvency, reorganization, arrangement, fraudulent conveyance, moratorium or other laws relating to or affecting the rights of creditors generally, including the effect of statutory or other laws regarding fraudulent transfers or preferential transfers;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Debt Securities, the effect of laws relating to usury or permissible rates of interest for loans, forbearances or the use of money.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informed us that the Company intends to issue the Securities from time to time on a delayed or continuous basis. We undertake no responsibility to monitor the Company’s future compliance with applicable laws, rules or regulations of the SEC or other governmental body. In particular, we assume that the Company will obtain the requisite approval of the Board and the requisite approval of its stockholders, if required by the laws of the State of Delaware and the Certificate of Incorporation and the Bylaws, or if necessary because the Company does not have a sufficient number of authorized but unissued and unreserved shares of its capital stock at the time of issuance to comply with any Securities. We also assume the Company will timely file any and all supplements to the Registration Statement and Prospectus as are necessary to comply with applicable laws in effect from time to time and duly amend its Certificate of Incorporation to increase the authorized number of shares of its capital stock as necessary if the number of such shares to be sold pursuant to the Registration Statement would cause the Company to issue more such shares than it has authorized and unissued and unreserved.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the Common Stock registered pursuant to the Registration Statement, when: (a) the issuance and the terms of the offering of the shares of Common Stock and related matters have been duly authorized by all required corporate action of the Board of Directors of the Company or a duly constituted and acting committee thereof (such Board of Directors or committee being hereinafter referred to as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if required, the stockholders of the Company in accordance with the Certificate of Incorporation and the Bylaws and applicable laws; and (b) if required,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registered pursuant to the Registration Statement, when: (a)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the filing of the Certificate with the Secretary of State of the State of Delaware, have been duly authorized by all required corporate action of the Board and, if required, the stockholders of the Company in accordance with the Certificate of Incorporation and the Bylaws and applicable laws; and (b) if required,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left="660" w:hanging="328"/>
        <w:spacing w:after="0" w:line="254"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registered pursuant to the Registration Statement, when: (a)(i) the terms of the Debt Securities have been duly established and authorized by the Company, (ii) the Indenture has been duly executed and delivered by the Company, (iii) the issuance and sale of the Debt Securities, the terms of the offering thereof and related matters have been duly authorized by all required corporate action of the Board and, if required, the stockholders of the Company in accordance with the Certificate of Incorporation and the Bylaws and applicable laws, and (iv) the Debt Securities have been duly executed by the Company and duly authenticated by the Trustee in accordance with the terms of the Indenture, and delivered to the purchasers thereof against payment of the consideration therefor duly approved by the Company, the Debt Securities will be valid and binding obligations of the Company, and (b) when the Debt Securities to be offered and issued by the Company upon exercise of the Warrants have been issued by the Company against payment in full of the consideration and in accordance with the applicable Warrant and the Indenture, the Debt Securities will be valid and binding obligations of the Company;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registered pursuant to the Registration Statement, when: (a) the issuance and terms of the Warrants, the terms of the offering thereof and related matters have been duly authorized by all required corporate action of the Board and, if required, the stockholders of the Company in accordance with the Certificate of Incorporation and the Bylaws and applicable laws; and (b) the Warrants have been duly executed and delivered against payment therefor, pursuant to the applicable definitive purchase, underwriting, warrant or similar agreement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duly authorized, executed and delivered by the Company and a bank or trust company, as warrant agent (each, a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any certificates for the Warrants have been duly executed and delivered by the Company and such Warrant Agent, then the Warrants will be valid and binding obligations of the Company.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registered pursuant to the Registration Statement, when: (a) the issuance and terms of the Units, the terms of the offering thereof and related matters, including the adoption of a unit agreement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as applicable, have been duly authorized by all required corporate action of the Board and, if required, the stockholders of the Company in accordance with the Certificate of Incorporation and the Bylaws and applicable laws; (b) the Units have been duly executed, authenticated, issued and delivered against payment therefor in accordance with the terms of the applicable unit agreement and in the manner contemplated by the applicable Prospectus Supplement and by such corporate action; and (c) the conditions outlined in the immediately preceding paragraphs (1) through (4) that apply to the Securities that make up such Units are all met, then the Units will be valid and binding obligations of the Company.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Shares are validly issued, fully paid and nonassessable.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Warrant Shares have been duly and validly authorized for issuance and, when issued and delivered by the Company upon valid exercise of the PIPE Warrants, in accordance with and in the manner described in the Registration Statement and the PIPE Warrants, the PIPE Warrant Shares will be validly issued, fully paid and nonassessable.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opinion expressed above is made as of the date hereof and is subject to, and may be limited by, future changes in the factual matters set forth herein, and we undertake no duty to advise you of the same. The opinion set forth herein is based upon the law in effect (and published or otherwise generally available) on the date hereof, and we assume no obligation to revise or supplement this opinion should such law be changed by legislative action, judicial decision or otherwise. In rendering our opinion, we have not considered, and hereby disclaim any opinion as to, the application or impact of any laws, cases, decisions, rules or regulations of any other jurisdiction, court or administrative agency.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SEC issued thereunder with respect to any part of the Registration Statement, including this opinion as an exhibit.</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Bradley Arant Boult Cummings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300" w:type="dxa"/>
            <w:vAlign w:val="bottom"/>
            <w:tcBorders>
              <w:top w:val="single" w:sz="8" w:color="auto"/>
              <w:left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6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10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1"/>
        </w:trPr>
        <w:tc>
          <w:tcPr>
            <w:tcW w:w="13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100" w:type="dxa"/>
            <w:vAlign w:val="bottom"/>
            <w:tcBorders>
              <w:right w:val="single" w:sz="8" w:color="auto"/>
            </w:tcBorders>
            <w:vMerge w:val="continue"/>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00" w:type="dxa"/>
            <w:vAlign w:val="bottom"/>
            <w:tcBorders>
              <w:bottom w:val="single" w:sz="8" w:color="auto"/>
              <w:right w:val="single" w:sz="8" w:color="auto"/>
            </w:tcBorders>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1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11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$0.00001 par value per</w:t>
            </w:r>
          </w:p>
        </w:tc>
        <w:tc>
          <w:tcPr>
            <w:tcW w:w="11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$14.07</w:t>
            </w:r>
            <w:r>
              <w:rPr>
                <w:rFonts w:ascii="Times New Roman" w:cs="Times New Roman" w:eastAsia="Times New Roman" w:hAnsi="Times New Roman"/>
                <w:sz w:val="29"/>
                <w:szCs w:val="29"/>
                <w:color w:val="auto"/>
                <w:vertAlign w:val="superscript"/>
              </w:rPr>
              <w:t>(3)</w:t>
            </w:r>
          </w:p>
        </w:tc>
        <w:tc>
          <w:tcPr>
            <w:tcW w:w="126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457(c)</w:t>
            </w:r>
          </w:p>
        </w:tc>
        <w:tc>
          <w:tcPr>
            <w:tcW w:w="110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3,089,100</w:t>
            </w:r>
          </w:p>
        </w:tc>
        <w:tc>
          <w:tcPr>
            <w:tcW w:w="108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$43,463,637.00</w:t>
            </w:r>
          </w:p>
        </w:tc>
        <w:tc>
          <w:tcPr>
            <w:tcW w:w="11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0.00013810</w:t>
            </w:r>
          </w:p>
        </w:tc>
        <w:tc>
          <w:tcPr>
            <w:tcW w:w="116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$6,002.33</w:t>
            </w: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$0.00001 par value per</w:t>
            </w: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Previously Paid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240" w:type="dxa"/>
            <w:vAlign w:val="bottom"/>
            <w:tcBorders>
              <w:right w:val="single" w:sz="8" w:color="auto"/>
            </w:tcBorders>
            <w:shd w:val="clear" w:color="auto" w:fill="CCEEFF"/>
          </w:tcPr>
          <w:p>
            <w:pPr>
              <w:spacing w:after="0"/>
              <w:rPr>
                <w:sz w:val="18"/>
                <w:szCs w:val="18"/>
                <w:color w:val="auto"/>
              </w:rPr>
            </w:pPr>
          </w:p>
        </w:tc>
        <w:tc>
          <w:tcPr>
            <w:tcW w:w="19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Preferred Stock, par value</w:t>
            </w:r>
          </w:p>
        </w:tc>
        <w:tc>
          <w:tcPr>
            <w:tcW w:w="11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0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Previously Paid</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$0.00001 per shares</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24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Previously Paid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240" w:type="dxa"/>
            <w:vAlign w:val="bottom"/>
            <w:tcBorders>
              <w:right w:val="single" w:sz="8" w:color="auto"/>
            </w:tcBorders>
            <w:shd w:val="clear" w:color="auto" w:fill="CCEEFF"/>
          </w:tcPr>
          <w:p>
            <w:pPr>
              <w:spacing w:after="0"/>
              <w:rPr>
                <w:sz w:val="18"/>
                <w:szCs w:val="18"/>
                <w:color w:val="auto"/>
              </w:rPr>
            </w:pPr>
          </w:p>
        </w:tc>
        <w:tc>
          <w:tcPr>
            <w:tcW w:w="192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0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Previously Paid</w:t>
            </w: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24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Previously Paid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457(0)</w:t>
            </w:r>
          </w:p>
        </w:tc>
        <w:tc>
          <w:tcPr>
            <w:tcW w:w="11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192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92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Previously Paid</w:t>
            </w:r>
          </w:p>
        </w:tc>
        <w:tc>
          <w:tcPr>
            <w:tcW w:w="1240" w:type="dxa"/>
            <w:vAlign w:val="bottom"/>
            <w:tcBorders>
              <w:bottom w:val="single" w:sz="8" w:color="auto"/>
              <w:right w:val="single" w:sz="8" w:color="auto"/>
            </w:tcBorders>
            <w:shd w:val="clear" w:color="auto" w:fill="CCEEFF"/>
          </w:tcPr>
          <w:p>
            <w:pPr>
              <w:jc w:val="center"/>
              <w:spacing w:after="0" w:line="296" w:lineRule="exact"/>
              <w:rPr>
                <w:sz w:val="20"/>
                <w:szCs w:val="20"/>
                <w:color w:val="auto"/>
              </w:rPr>
            </w:pPr>
            <w:r>
              <w:rPr>
                <w:rFonts w:ascii="Times New Roman" w:cs="Times New Roman" w:eastAsia="Times New Roman" w:hAnsi="Times New Roman"/>
                <w:sz w:val="18"/>
                <w:szCs w:val="18"/>
                <w:color w:val="auto"/>
                <w:w w:val="92"/>
              </w:rPr>
              <w:t>Shelf</w:t>
            </w:r>
            <w:r>
              <w:rPr>
                <w:rFonts w:ascii="Times New Roman" w:cs="Times New Roman" w:eastAsia="Times New Roman" w:hAnsi="Times New Roman"/>
                <w:sz w:val="29"/>
                <w:szCs w:val="29"/>
                <w:color w:val="auto"/>
                <w:w w:val="92"/>
                <w:vertAlign w:val="superscript"/>
              </w:rPr>
              <w:t>(2)</w:t>
            </w:r>
          </w:p>
        </w:tc>
        <w:tc>
          <w:tcPr>
            <w:tcW w:w="1920" w:type="dxa"/>
            <w:vAlign w:val="bottom"/>
            <w:tcBorders>
              <w:bottom w:val="single" w:sz="8" w:color="auto"/>
              <w:right w:val="single" w:sz="8" w:color="auto"/>
            </w:tcBorders>
            <w:shd w:val="clear" w:color="auto" w:fill="CCEEFF"/>
          </w:tcPr>
          <w:p>
            <w:pPr>
              <w:spacing w:after="0"/>
              <w:rPr>
                <w:sz w:val="24"/>
                <w:szCs w:val="24"/>
                <w:color w:val="auto"/>
              </w:rPr>
            </w:pP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100" w:type="dxa"/>
            <w:vAlign w:val="bottom"/>
            <w:tcBorders>
              <w:bottom w:val="single" w:sz="8" w:color="auto"/>
              <w:right w:val="single" w:sz="8" w:color="auto"/>
            </w:tcBorders>
            <w:shd w:val="clear" w:color="auto" w:fill="CCEEFF"/>
          </w:tcPr>
          <w:p>
            <w:pPr>
              <w:spacing w:after="0"/>
              <w:rPr>
                <w:sz w:val="24"/>
                <w:szCs w:val="24"/>
                <w:color w:val="auto"/>
              </w:rPr>
            </w:pPr>
          </w:p>
        </w:tc>
        <w:tc>
          <w:tcPr>
            <w:tcW w:w="1080" w:type="dxa"/>
            <w:vAlign w:val="bottom"/>
            <w:tcBorders>
              <w:bottom w:val="single" w:sz="8" w:color="auto"/>
              <w:right w:val="single" w:sz="8" w:color="auto"/>
            </w:tcBorders>
            <w:shd w:val="clear" w:color="auto" w:fill="CCEEFF"/>
          </w:tcPr>
          <w:p>
            <w:pPr>
              <w:spacing w:after="0"/>
              <w:rPr>
                <w:sz w:val="24"/>
                <w:szCs w:val="24"/>
                <w:color w:val="auto"/>
              </w:rPr>
            </w:pP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$200,000,000.00</w:t>
            </w:r>
          </w:p>
        </w:tc>
        <w:tc>
          <w:tcPr>
            <w:tcW w:w="1100" w:type="dxa"/>
            <w:vAlign w:val="bottom"/>
            <w:tcBorders>
              <w:bottom w:val="single" w:sz="8" w:color="auto"/>
              <w:right w:val="single" w:sz="8" w:color="auto"/>
            </w:tcBorders>
            <w:shd w:val="clear" w:color="auto" w:fill="CCEEFF"/>
          </w:tcPr>
          <w:p>
            <w:pPr>
              <w:spacing w:after="0"/>
              <w:rPr>
                <w:sz w:val="24"/>
                <w:szCs w:val="24"/>
                <w:color w:val="auto"/>
              </w:rPr>
            </w:pP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$27,620.00</w:t>
            </w: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$243,463,637.00</w:t>
            </w:r>
          </w:p>
        </w:tc>
        <w:tc>
          <w:tcPr>
            <w:tcW w:w="11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$33,622.33</w:t>
            </w: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0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240" w:type="dxa"/>
            <w:vAlign w:val="bottom"/>
            <w:tcBorders>
              <w:bottom w:val="single" w:sz="8" w:color="CCEEFF"/>
              <w:right w:val="single" w:sz="8" w:color="CCEEFF"/>
            </w:tcBorders>
            <w:shd w:val="clear" w:color="auto" w:fill="CCEEFF"/>
          </w:tcPr>
          <w:p>
            <w:pPr>
              <w:spacing w:after="0"/>
              <w:rPr>
                <w:sz w:val="22"/>
                <w:szCs w:val="22"/>
                <w:color w:val="auto"/>
              </w:rPr>
            </w:pPr>
          </w:p>
        </w:tc>
        <w:tc>
          <w:tcPr>
            <w:tcW w:w="1920" w:type="dxa"/>
            <w:vAlign w:val="bottom"/>
            <w:tcBorders>
              <w:bottom w:val="single" w:sz="8" w:color="CCEEFF"/>
              <w:right w:val="single" w:sz="8" w:color="CCEEFF"/>
            </w:tcBorders>
            <w:shd w:val="clear" w:color="auto" w:fill="CCEEFF"/>
          </w:tcPr>
          <w:p>
            <w:pPr>
              <w:spacing w:after="0"/>
              <w:rPr>
                <w:sz w:val="22"/>
                <w:szCs w:val="22"/>
                <w:color w:val="auto"/>
              </w:rPr>
            </w:pPr>
          </w:p>
        </w:tc>
        <w:tc>
          <w:tcPr>
            <w:tcW w:w="220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Previously Paid</w:t>
            </w:r>
          </w:p>
        </w:tc>
        <w:tc>
          <w:tcPr>
            <w:tcW w:w="1080" w:type="dxa"/>
            <w:vAlign w:val="bottom"/>
            <w:tcBorders>
              <w:bottom w:val="single" w:sz="8" w:color="CCEEFF"/>
              <w:right w:val="single" w:sz="8" w:color="auto"/>
            </w:tcBorders>
            <w:shd w:val="clear" w:color="auto" w:fill="CCEEFF"/>
          </w:tcPr>
          <w:p>
            <w:pPr>
              <w:spacing w:after="0"/>
              <w:rPr>
                <w:sz w:val="22"/>
                <w:szCs w:val="22"/>
                <w:color w:val="auto"/>
              </w:rPr>
            </w:pP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$27,620.00</w:t>
            </w:r>
          </w:p>
        </w:tc>
        <w:tc>
          <w:tcPr>
            <w:tcW w:w="0" w:type="dxa"/>
            <w:vAlign w:val="bottom"/>
          </w:tcPr>
          <w:p>
            <w:pPr>
              <w:spacing w:after="0"/>
              <w:rPr>
                <w:sz w:val="1"/>
                <w:szCs w:val="1"/>
                <w:color w:val="auto"/>
              </w:rPr>
            </w:pPr>
          </w:p>
        </w:tc>
      </w:tr>
      <w:tr>
        <w:trPr>
          <w:trHeight w:val="237"/>
        </w:trPr>
        <w:tc>
          <w:tcPr>
            <w:tcW w:w="1300" w:type="dxa"/>
            <w:vAlign w:val="bottom"/>
            <w:tcBorders>
              <w:top w:val="single" w:sz="8" w:color="auto"/>
              <w:left w:val="single" w:sz="8" w:color="auto"/>
              <w:right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200" w:type="dxa"/>
            <w:vAlign w:val="bottom"/>
            <w:tcBorders>
              <w:top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80" w:type="dxa"/>
            <w:vAlign w:val="bottom"/>
            <w:tcBorders>
              <w:top w:val="single" w:sz="8" w:color="auto"/>
              <w:right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0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1"/>
                <w:szCs w:val="21"/>
                <w:color w:val="auto"/>
              </w:rPr>
            </w:pPr>
          </w:p>
        </w:tc>
        <w:tc>
          <w:tcPr>
            <w:tcW w:w="1920" w:type="dxa"/>
            <w:vAlign w:val="bottom"/>
            <w:tcBorders>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126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$6,002.33</w:t>
            </w:r>
          </w:p>
        </w:tc>
        <w:tc>
          <w:tcPr>
            <w:tcW w:w="0" w:type="dxa"/>
            <w:vAlign w:val="bottom"/>
          </w:tcPr>
          <w:p>
            <w:pPr>
              <w:spacing w:after="0"/>
              <w:rPr>
                <w:sz w:val="1"/>
                <w:szCs w:val="1"/>
                <w:color w:val="auto"/>
              </w:rPr>
            </w:pPr>
          </w:p>
        </w:tc>
      </w:tr>
      <w:tr>
        <w:trPr>
          <w:trHeight w:val="20"/>
        </w:trPr>
        <w:tc>
          <w:tcPr>
            <w:tcW w:w="1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20" w:right="120" w:hanging="312"/>
        <w:spacing w:after="0" w:line="261" w:lineRule="auto"/>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Registrant’s Class A common stock, par value $0.00001 per share (“Common Stock”), that become issuable by reason of any stock dividend, stock split, recapitalization, or other similar transaction effected without receipt of consideration that increases the number of outstanding shares of Common Stock.</w:t>
      </w:r>
    </w:p>
    <w:p>
      <w:pPr>
        <w:spacing w:after="0" w:line="58" w:lineRule="exact"/>
        <w:rPr>
          <w:rFonts w:ascii="Times New Roman" w:cs="Times New Roman" w:eastAsia="Times New Roman" w:hAnsi="Times New Roman"/>
          <w:sz w:val="18"/>
          <w:szCs w:val="18"/>
          <w:color w:val="auto"/>
        </w:rPr>
      </w:pPr>
    </w:p>
    <w:p>
      <w:pPr>
        <w:jc w:val="both"/>
        <w:ind w:left="320" w:right="120" w:hanging="312"/>
        <w:spacing w:after="0" w:line="258" w:lineRule="auto"/>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pursuant to the registration statement such indeterminate number of (a) shares of Common Stock, (b) shares of Preferred Stock, (c) warrants to purchase Common Stock or Preferred Stock of the Registrant, (d) subscription rights to purchase Common Stock, Preferred Stock, warrants or units consisting of some or all of these securities of the Registrant, and (e) units consisting of some or all of these securities, as may be offered from time to time pursuant to the prospectus contained in the Registration Statement with an aggregate initial offering price not to exceed $200,000,000, or the equivalent thereof in foreign currencies.</w:t>
      </w:r>
    </w:p>
    <w:p>
      <w:pPr>
        <w:spacing w:after="0" w:line="183" w:lineRule="exact"/>
        <w:rPr>
          <w:rFonts w:ascii="Times New Roman" w:cs="Times New Roman" w:eastAsia="Times New Roman" w:hAnsi="Times New Roman"/>
          <w:sz w:val="18"/>
          <w:szCs w:val="18"/>
          <w:color w:val="auto"/>
        </w:rPr>
      </w:pPr>
    </w:p>
    <w:p>
      <w:pPr>
        <w:jc w:val="both"/>
        <w:ind w:left="32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unit and aggregate offering prices per class of securities will be determined from time to time by the Registrant in connection with the issuance by the Registrant of the securities registered under the Registration Statement and is not specified as to each class of security pursuant to Instruction 2.A.iii.b of the Instructions to the Calculation of Filing Fee Tables and Related Disclosure of Form S-3.</w:t>
      </w:r>
    </w:p>
    <w:p>
      <w:pPr>
        <w:spacing w:after="0" w:line="17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has been calculated in accordance with Rule 457(o) under the Securities Act.</w:t>
      </w:r>
    </w:p>
    <w:p>
      <w:pPr>
        <w:spacing w:after="0" w:line="225" w:lineRule="exact"/>
        <w:rPr>
          <w:rFonts w:ascii="Times New Roman" w:cs="Times New Roman" w:eastAsia="Times New Roman" w:hAnsi="Times New Roman"/>
          <w:sz w:val="18"/>
          <w:szCs w:val="18"/>
          <w:color w:val="auto"/>
        </w:rPr>
      </w:pPr>
    </w:p>
    <w:p>
      <w:pPr>
        <w:ind w:left="32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registered under the Registration Statement may be sold separately or as units with other securities registered under the Registration Statement.</w:t>
      </w:r>
    </w:p>
    <w:p>
      <w:pPr>
        <w:spacing w:after="0" w:line="40" w:lineRule="exact"/>
        <w:rPr>
          <w:rFonts w:ascii="Times New Roman" w:cs="Times New Roman" w:eastAsia="Times New Roman" w:hAnsi="Times New Roman"/>
          <w:sz w:val="18"/>
          <w:szCs w:val="18"/>
          <w:color w:val="auto"/>
        </w:rPr>
      </w:pPr>
    </w:p>
    <w:p>
      <w:pPr>
        <w:ind w:left="320" w:right="120" w:hanging="312"/>
        <w:spacing w:after="0" w:line="282" w:lineRule="auto"/>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of the Securities Act solely for the purpose of calculating the registration fee on the basis of $14.07 per share, which is the average of the high and low prices of Common Stock on May 26, 2026, as reported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lvl w:ilvl="1">
      <w:lvlJc w:val="left"/>
      <w:lvlText w:val="(%2)"/>
      <w:numFmt w:val="lowerRoman"/>
      <w:start w:val="1"/>
    </w:lvl>
  </w:abstractNum>
  <w:abstractNum w:abstractNumId="35">
    <w:nsid w:val="2A487CB0"/>
    <w:multiLevelType w:val="hybridMultilevel"/>
    <w:lvl w:ilvl="0">
      <w:lvlJc w:val="left"/>
      <w:lvlText w:val="(%1)"/>
      <w:numFmt w:val="decimal"/>
      <w:start w:val="2"/>
    </w:lvl>
    <w:lvl w:ilvl="1">
      <w:lvlJc w:val="left"/>
      <w:lvlText w:val="(%2)"/>
      <w:numFmt w:val="lowerRoman"/>
      <w:start w:val="1"/>
    </w:lvl>
  </w:abstractNum>
  <w:abstractNum w:abstractNumId="36">
    <w:nsid w:val="1D4ED43B"/>
    <w:multiLevelType w:val="hybridMultilevel"/>
    <w:lvl w:ilvl="0">
      <w:lvlJc w:val="left"/>
      <w:lvlText w:val="(%1)"/>
      <w:numFmt w:val="decimal"/>
      <w:start w:val="5"/>
    </w:lvl>
    <w:lvl w:ilvl="1">
      <w:lvlJc w:val="left"/>
      <w:lvlText w:val="(%2)"/>
      <w:numFmt w:val="lowerLetter"/>
      <w:start w:val="9"/>
    </w:lvl>
    <w:lvl w:ilvl="2">
      <w:lvlJc w:val="left"/>
      <w:lvlText w:val="%3"/>
      <w:numFmt w:val="lowerRoman"/>
      <w:start w:val="1"/>
    </w:lvl>
  </w:abstractNum>
  <w:abstractNum w:abstractNumId="37">
    <w:nsid w:val="725A06FB"/>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38">
    <w:nsid w:val="2CD89A32"/>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4"/>
    </w:lvl>
  </w:abstractNum>
  <w:abstractNum w:abstractNumId="39">
    <w:nsid w:val="57E4CC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Roman"/>
      <w:start w:val="3"/>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3"/>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jpe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101" Type="http://schemas.openxmlformats.org/officeDocument/2006/relationships/image" Target="media/image62.png"/><Relationship Id="rId119" Type="http://schemas.openxmlformats.org/officeDocument/2006/relationships/image" Target="media/image63.png"/><Relationship Id="rId120" Type="http://schemas.openxmlformats.org/officeDocument/2006/relationships/image" Target="media/image64.png"/><Relationship Id="rId121" Type="http://schemas.openxmlformats.org/officeDocument/2006/relationships/image" Target="media/image65.png"/><Relationship Id="rId122" Type="http://schemas.openxmlformats.org/officeDocument/2006/relationships/image" Target="media/image66.jpeg"/><Relationship Id="rId123" Type="http://schemas.openxmlformats.org/officeDocument/2006/relationships/image" Target="media/image67.png"/><Relationship Id="rId124" Type="http://schemas.openxmlformats.org/officeDocument/2006/relationships/image" Target="media/image68.png"/><Relationship Id="rId125" Type="http://schemas.openxmlformats.org/officeDocument/2006/relationships/image" Target="media/image69.png"/><Relationship Id="rId126" Type="http://schemas.openxmlformats.org/officeDocument/2006/relationships/image" Target="media/image70.png"/><Relationship Id="rId127" Type="http://schemas.openxmlformats.org/officeDocument/2006/relationships/image" Target="media/image71.png"/><Relationship Id="rId128" Type="http://schemas.openxmlformats.org/officeDocument/2006/relationships/image" Target="media/image72.png"/><Relationship Id="rId58" Type="http://schemas.openxmlformats.org/officeDocument/2006/relationships/hyperlink" Target="https://www.sec.gov/ix?doc=/Archives/edgar/data/1781162/000162828026022291/mnts-20251231.htm" TargetMode="External"/><Relationship Id="rId59" Type="http://schemas.openxmlformats.org/officeDocument/2006/relationships/hyperlink" Target="https://www.sec.gov/ix?doc=/Archives/edgar/data/1781162/000162828026034490/mnts-20260331.htm" TargetMode="External"/><Relationship Id="rId60" Type="http://schemas.openxmlformats.org/officeDocument/2006/relationships/hyperlink" Target="https://www.sec.gov/ix?doc=/Archives/edgar/data/1781162/000114036126014277/ny20066708x1_def14a.htm" TargetMode="External"/><Relationship Id="rId61" Type="http://schemas.openxmlformats.org/officeDocument/2006/relationships/hyperlink" Target="https://www.sec.gov/Archives/edgar/data/1781162/000114036125014782/ny20047547x1_ex4-19.htm" TargetMode="External"/><Relationship Id="rId62" Type="http://schemas.openxmlformats.org/officeDocument/2006/relationships/hyperlink" Target="https://www.sec.gov/ix?doc=/Archives/edgar/data/1781162/000114036126004972/ef20065509_8k.htm" TargetMode="External"/><Relationship Id="rId63" Type="http://schemas.openxmlformats.org/officeDocument/2006/relationships/hyperlink" Target="https://www.sec.gov/ix?doc=/Archives/edgar/data/1781162/000114036126006335/ef20066258_8k.htm" TargetMode="External"/><Relationship Id="rId64" Type="http://schemas.openxmlformats.org/officeDocument/2006/relationships/hyperlink" Target="https://www.sec.gov/ix?doc=/Archives/edgar/data/1781162/000114036126014365/ef20070362_8k.htm" TargetMode="External"/><Relationship Id="rId65" Type="http://schemas.openxmlformats.org/officeDocument/2006/relationships/hyperlink" Target="https://www.sec.gov/ix?doc=/Archives/edgar/data/1781162/000114036126014988/ef20070575_8k.htm" TargetMode="External"/><Relationship Id="rId66" Type="http://schemas.openxmlformats.org/officeDocument/2006/relationships/hyperlink" Target="https://www.sec.gov/ix?doc=/Archives/edgar/data/1781162/000114036126015530/ef20070972_8k.htm" TargetMode="External"/><Relationship Id="rId67" Type="http://schemas.openxmlformats.org/officeDocument/2006/relationships/hyperlink" Target="https://www.sec.gov/ix?doc=/Archives/edgar/data/1781162/000114036126019009/ef20072374_8k.htm" TargetMode="External"/><Relationship Id="rId68" Type="http://schemas.openxmlformats.org/officeDocument/2006/relationships/hyperlink" Target="https://www.sec.gov/ix?doc=/Archives/edgar/data/1781162/000114036126022497/ef20074640_8k.htm" TargetMode="External"/><Relationship Id="rId69" Type="http://schemas.openxmlformats.org/officeDocument/2006/relationships/hyperlink" Target="https://www.sec.gov/ix?doc=/Archives/edgar/data/1781162/000114036126023337/ef20075150_8k.htm" TargetMode="External"/><Relationship Id="rId81" Type="http://schemas.openxmlformats.org/officeDocument/2006/relationships/hyperlink" Target="https://www.sec.gov/Archives/edgar/data/1781162/000114036125035600/ny20047547x30_ex1-1.htm" TargetMode="External"/><Relationship Id="rId82" Type="http://schemas.openxmlformats.org/officeDocument/2006/relationships/hyperlink" Target="https://www.sec.gov/Archives/edgar/data/1781162/000121390020030403/ea127854ex2-1_stableroad.htm" TargetMode="External"/><Relationship Id="rId83" Type="http://schemas.openxmlformats.org/officeDocument/2006/relationships/hyperlink" Target="https://www.sec.gov/Archives/edgar/data/1781162/000121390021013894/fs42021a2_stableroadacq.htm#T110" TargetMode="External"/><Relationship Id="rId84" Type="http://schemas.openxmlformats.org/officeDocument/2006/relationships/hyperlink" Target="https://www.sec.gov/Archives/edgar/data/1781162/000121390021020806/ea139255ex2-1_stableroad.htm" TargetMode="External"/><Relationship Id="rId85" Type="http://schemas.openxmlformats.org/officeDocument/2006/relationships/hyperlink" Target="https://www.sec.gov/Archives/edgar/data/1781162/000121390021034706/ea143483ex2-1_stableroad.htm" TargetMode="External"/><Relationship Id="rId86" Type="http://schemas.openxmlformats.org/officeDocument/2006/relationships/hyperlink" Target="https://www.sec.gov/Archives/edgar/data/1781162/000121390019023186/f8k1119ex4-1_stableroad.htm" TargetMode="External"/><Relationship Id="rId87" Type="http://schemas.openxmlformats.org/officeDocument/2006/relationships/hyperlink" Target="https://www.sec.gov/Archives/edgar/data/1781162/000121390019020151/fs12019a1ex4-3_stable.htm" TargetMode="External"/><Relationship Id="rId88" Type="http://schemas.openxmlformats.org/officeDocument/2006/relationships/hyperlink" Target="https://www.sec.gov/Archives/edgar/data/1781162/000114036124041174/ef20035903_ex4-2.htm" TargetMode="External"/><Relationship Id="rId89" Type="http://schemas.openxmlformats.org/officeDocument/2006/relationships/hyperlink" Target="https://www.sec.gov/Archives/edgar/data/1781162/000114036124049586/ny20039820x3_ex4-1.htm" TargetMode="External"/><Relationship Id="rId90" Type="http://schemas.openxmlformats.org/officeDocument/2006/relationships/hyperlink" Target="https://www.sec.gov/Archives/edgar/data/1781162/000114036124049848/ny20039383x5_ex4-1.htm" TargetMode="External"/><Relationship Id="rId91" Type="http://schemas.openxmlformats.org/officeDocument/2006/relationships/hyperlink" Target="https://www.sec.gov/Archives/edgar/data/1781162/000114036124049848/ny20039383x5_ex4-3.htm" TargetMode="External"/><Relationship Id="rId92" Type="http://schemas.openxmlformats.org/officeDocument/2006/relationships/hyperlink" Target="https://www.sec.gov/Archives/edgar/data/1781162/000114036125004114/ef20043284_ex4-1.htm" TargetMode="External"/><Relationship Id="rId93" Type="http://schemas.openxmlformats.org/officeDocument/2006/relationships/hyperlink" Target="https://www.sec.gov/Archives/edgar/data/1781162/000114036125004114/ef20043284_ex4-3.htm" TargetMode="External"/><Relationship Id="rId94" Type="http://schemas.openxmlformats.org/officeDocument/2006/relationships/hyperlink" Target="https://www.sec.gov/Archives/edgar/data/1781162/000114036125004114/ef20043284_ex4-4.htm" TargetMode="External"/><Relationship Id="rId95" Type="http://schemas.openxmlformats.org/officeDocument/2006/relationships/hyperlink" Target="https://www.sec.gov/Archives/edgar/data/1781162/000114036125009817/ef20045953_ex4-1.htm" TargetMode="External"/><Relationship Id="rId96" Type="http://schemas.openxmlformats.org/officeDocument/2006/relationships/hyperlink" Target="https://www.sec.gov/Archives/edgar/data/1781162/000114036125020988/ny20047547x5_ex4-12.htm" TargetMode="External"/><Relationship Id="rId97" Type="http://schemas.openxmlformats.org/officeDocument/2006/relationships/hyperlink" Target="https://www.sec.gov/Archives/edgar/data/1781162/000114036125024623/ny20047547x22_ex4-1.htm" TargetMode="External"/><Relationship Id="rId98" Type="http://schemas.openxmlformats.org/officeDocument/2006/relationships/hyperlink" Target="https://www.sec.gov/Archives/edgar/data/1781162/000114036125024623/ny20047547x22_ex4-3.htm" TargetMode="External"/><Relationship Id="rId99" Type="http://schemas.openxmlformats.org/officeDocument/2006/relationships/hyperlink" Target="https://www.sec.gov/Archives/edgar/data/1781162/000114036125031042/ef20053912_ex4-1.htm" TargetMode="External"/><Relationship Id="rId100" Type="http://schemas.openxmlformats.org/officeDocument/2006/relationships/hyperlink" Target="https://www.sec.gov/Archives/edgar/data/1781162/000114036125034600/ef20055431_ex10-1.htm" TargetMode="External"/><Relationship Id="rId102" Type="http://schemas.openxmlformats.org/officeDocument/2006/relationships/hyperlink" Target="https://www.sec.gov/Archives/edgar/data/1781162/000114036125036535/ny20047547x33_ex4-1.htm" TargetMode="External"/><Relationship Id="rId103" Type="http://schemas.openxmlformats.org/officeDocument/2006/relationships/hyperlink" Target="https://www.sec.gov/Archives/edgar/data/1781162/000114036125036535/ny20047547x33_ex4-2.htm" TargetMode="External"/><Relationship Id="rId104" Type="http://schemas.openxmlformats.org/officeDocument/2006/relationships/hyperlink" Target="https://www.sec.gov/Archives/edgar/data/1781162/000114036125036535/ny20047547x33_ex4-3.htm" TargetMode="External"/><Relationship Id="rId105" Type="http://schemas.openxmlformats.org/officeDocument/2006/relationships/hyperlink" Target="https://www.sec.gov/Archives/edgar/data/1781162/000114036125036535/ny20047547x33_ex4-4.htm" TargetMode="External"/><Relationship Id="rId106" Type="http://schemas.openxmlformats.org/officeDocument/2006/relationships/hyperlink" Target="https://www.sec.gov/Archives/edgar/data/1781162/000114036125037391/ny20047547x36_ex4-1.htm" TargetMode="External"/><Relationship Id="rId107" Type="http://schemas.openxmlformats.org/officeDocument/2006/relationships/hyperlink" Target="https://www.sec.gov/Archives/edgar/data/1781162/000114036125038203/ef20057132_ex4-1.htm" TargetMode="External"/><Relationship Id="rId108" Type="http://schemas.openxmlformats.org/officeDocument/2006/relationships/hyperlink" Target="https://www.sec.gov/Archives/edgar/data/1781162/000114036125045310/ef20061056_ex4-1.htm" TargetMode="External"/><Relationship Id="rId109" Type="http://schemas.openxmlformats.org/officeDocument/2006/relationships/hyperlink" Target="https://www.sec.gov/Archives/edgar/data/1781162/000114036126000853/ef20062616_ex4-1.htm" TargetMode="External"/><Relationship Id="rId110" Type="http://schemas.openxmlformats.org/officeDocument/2006/relationships/hyperlink" Target="https://www.sec.gov/Archives/edgar/data/1781162/000114036126000853/ef20062616_ex4-2.htm" TargetMode="External"/><Relationship Id="rId111" Type="http://schemas.openxmlformats.org/officeDocument/2006/relationships/hyperlink" Target="https://www.sec.gov/Archives/edgar/data/1781162/000114036126014988/ef20070575_ex4-1.htm" TargetMode="External"/><Relationship Id="rId112" Type="http://schemas.openxmlformats.org/officeDocument/2006/relationships/hyperlink" Target="https://www.sec.gov/Archives/edgar/data/1781162/000114036126014988/ef20070575_ex4-2.htm" TargetMode="External"/><Relationship Id="rId113" Type="http://schemas.openxmlformats.org/officeDocument/2006/relationships/hyperlink" Target="https://www.sec.gov/Archives/edgar/data/1781162/000114036125035600/ny20047547x30_ex4-17.htm" TargetMode="External"/><Relationship Id="rId114" Type="http://schemas.openxmlformats.org/officeDocument/2006/relationships/hyperlink" Target="https://www.sec.gov/Archives/edgar/data/1781162/000114036125035600/ny20047547x30_ex4-18.htm" TargetMode="External"/><Relationship Id="rId115" Type="http://schemas.openxmlformats.org/officeDocument/2006/relationships/hyperlink" Target="https://www.sec.gov/Archives/edgar/data/1781162/000114036126023337/ef20075150_ex4-1.htm" TargetMode="External"/><Relationship Id="rId116" Type="http://schemas.openxmlformats.org/officeDocument/2006/relationships/hyperlink" Target="https://www.sec.gov/Archives/edgar/data/1781162/000114036126023337/ef20075150_ex4-2.htm" TargetMode="External"/><Relationship Id="rId117" Type="http://schemas.openxmlformats.org/officeDocument/2006/relationships/hyperlink" Target="https://www.sec.gov/Archives/edgar/data/1781162/000114036126022737/ny20074684x1_ex23-1.htm" TargetMode="External"/><Relationship Id="rId118" Type="http://schemas.openxmlformats.org/officeDocument/2006/relationships/hyperlink" Target="https://www.sec.gov/Archives/edgar/data/1781162/000114036126022737/ny20074684x1_s3.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2026-06-01T18:08:28Z</dcterms:created>
  <dcterms:modified xsi:type="dcterms:W3CDTF">2026-06-01T18:08:28Z</dcterms:modified>
</cp:coreProperties>
</file>