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4684x4_424b5_100-cov_pg1"/>
        <w:bookmarkStart w:id="1" w:name="ny20074684x4_424b5.htm"/>
        <w:bookmarkStart w:id="2" w:name="ksny20074684x4_424b5"/>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424(b)(5)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333-296218 </w:t>
      </w:r>
    </w:p>
    <w:p>
      <w:pPr>
        <w:pStyle w:val="TextBody"/>
        <w:bidi w:val="0"/>
        <w:spacing w:before="8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PROSPECTUS SUPPLEMENT</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the prospectus dated June 4, 2026) </w:t>
      </w:r>
    </w:p>
    <w:p>
      <w:pPr>
        <w:pStyle w:val="TextBody"/>
        <w:bidi w:val="0"/>
        <w:spacing w:before="285" w:after="283"/>
        <w:jc w:val="center"/>
        <w:rPr>
          <w:color w:val="000000"/>
        </w:rPr>
      </w:pPr>
      <w:r>
        <w:rPr>
          <w:color w:val="000000"/>
        </w:rPr>
        <w:drawing>
          <wp:inline distT="0" distB="0" distL="0" distR="0">
            <wp:extent cx="1314450"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1200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Up to $75,000,000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a Sales Agreement, dated September 19, 2025, (the “Sales Agreement”), with A.G.P./Alliance Global Partners (“A.G.P.” or the “Sales Agent”) relating to the sale of shares of our Class A common stock, par value $0.00001 per share (“common stock” or “Common Stock”), offered by this prospectus supplement, having an aggregate offering price of up to $75,000,000 from time to time through or to the Sales Agent, acting as sales agent or principal.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Sales of shares of our common stock, if any, under this prospectus supplement will be made in sales deemed to be “at the market offerings” as defined in Rule 415(a)(4) promulgated under the Securities Act of 1933, as amended (the “Securities Act”). The Sales Agent is not required to sell any specific amount, but will act as sales agent on a commercially reasonable efforts basis consistent with its normal trading and sales practices, on mutually agreed terms between the Sales Agent and us. There is no arrangement for funds to be received in any escrow, trust or similar arrangement. </w:t>
      </w:r>
    </w:p>
    <w:p>
      <w:pPr>
        <w:pStyle w:val="TextBody"/>
        <w:bidi w:val="0"/>
        <w:spacing w:before="120" w:after="283"/>
        <w:ind w:left="0" w:right="0" w:hanging="0"/>
        <w:jc w:val="both"/>
        <w:rPr/>
      </w:pPr>
      <w:r>
        <w:rPr>
          <w:rFonts w:ascii="Times New Roman;Times;serif" w:hAnsi="Times New Roman;Times;serif"/>
          <w:color w:val="000000"/>
          <w:sz w:val="20"/>
        </w:rPr>
        <w:t>As sales agent, A.G.P. is entitled to compensation at a fixed commission rate equal to 3.0% of the gross proceeds of each sale of shares of our common stock. In connection with the sale of our shares of common stock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and the Securities Exchange Act of 1934, as amended (the “Exchange Act”). See the section titled “Plan of Distribution” beginning on page S-</w:t>
      </w:r>
      <w:hyperlink w:anchor="sPOD1">
        <w:r>
          <w:rPr>
            <w:rStyle w:val="InternetLink"/>
            <w:rFonts w:ascii="Times New Roman;Times;serif" w:hAnsi="Times New Roman;Times;serif"/>
            <w:color w:val="000080"/>
            <w:sz w:val="20"/>
          </w:rPr>
          <w:t>15</w:t>
        </w:r>
      </w:hyperlink>
      <w:r>
        <w:rPr>
          <w:rFonts w:ascii="Times New Roman;Times;serif" w:hAnsi="Times New Roman;Times;serif"/>
          <w:color w:val="000000"/>
          <w:sz w:val="20"/>
        </w:rPr>
        <w:t xml:space="preserve"> for additional information regarding the Sales Agent’s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Stock Market LLC (“Nasdaq”) under the symbol “MNTS.” On June 17, 2026, the last reported sale price of our common stock on Nasdaq was $10.06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prospectus, the aggregate market value of our outstanding common stock held by non-affiliates is approximately $365 million, which is calculated based on 18,737,791 shares of our outstanding common stock held by non-affiliates and a price of $19.50 per share, the closing price of our common stock on May 27, 2026, which is the highest closing price of our common stock on Nasdaq within the prior 60 days of this prospectus. </w:t>
      </w:r>
    </w:p>
    <w:p>
      <w:pPr>
        <w:pStyle w:val="TextBody"/>
        <w:bidi w:val="0"/>
        <w:spacing w:before="120" w:after="283"/>
        <w:ind w:left="0" w:right="0" w:hanging="0"/>
        <w:jc w:val="both"/>
        <w:rPr/>
      </w:pPr>
      <w:r>
        <w:rPr>
          <w:rFonts w:ascii="Times New Roman;Times;serif" w:hAnsi="Times New Roman;Times;serif"/>
          <w:b/>
          <w:color w:val="000000"/>
          <w:sz w:val="20"/>
        </w:rPr>
        <w:t>Investing in our common stock involves a high degree of risk. Before making an investment decision, please read the information under the heading “</w:t>
      </w:r>
      <w:r>
        <w:rPr>
          <w:rFonts w:ascii="Times New Roman;Times;serif" w:hAnsi="Times New Roman;Times;serif"/>
          <w:b/>
          <w:color w:val="000000"/>
          <w:sz w:val="20"/>
          <w:u w:val="single"/>
        </w:rPr>
        <w:t>Risk Factors</w:t>
      </w:r>
      <w:r>
        <w:rPr>
          <w:rFonts w:ascii="Times New Roman;Times;serif" w:hAnsi="Times New Roman;Times;serif"/>
          <w:b/>
          <w:color w:val="000000"/>
          <w:sz w:val="20"/>
        </w:rPr>
        <w:t>” beginning on page S-</w:t>
      </w:r>
      <w:hyperlink w:anchor="sRF">
        <w:r>
          <w:rPr>
            <w:rStyle w:val="InternetLink"/>
          </w:rPr>
          <w:t>9</w:t>
        </w:r>
      </w:hyperlink>
      <w:r>
        <w:rPr>
          <w:rFonts w:ascii="Times New Roman;Times;serif" w:hAnsi="Times New Roman;Times;serif"/>
          <w:b/>
          <w:color w:val="000000"/>
          <w:sz w:val="20"/>
        </w:rPr>
        <w:t xml:space="preserve"> of this prospectus supplement and in the documents incorporated by reference into this prospectus.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A.G.P. </w:t>
      </w:r>
    </w:p>
    <w:p>
      <w:pPr>
        <w:pStyle w:val="TextBody"/>
        <w:bidi w:val="0"/>
        <w:spacing w:before="192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June 18,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4684x4_424b5_101-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Normal"/>
        <w:bidi w:val="0"/>
        <w:spacing w:before="0" w:after="0"/>
        <w:jc w:val="left"/>
        <w:rPr>
          <w:sz w:val="4"/>
          <w:szCs w:val="4"/>
        </w:rPr>
      </w:pPr>
      <w:r>
        <w:rPr>
          <w:sz w:val="4"/>
          <w:szCs w:val="4"/>
        </w:rPr>
      </w:r>
      <w:bookmarkStart w:id="4" w:name="TOC"/>
      <w:bookmarkStart w:id="5" w:name="TOC"/>
      <w:bookmarkEnd w:id="5"/>
    </w:p>
    <w:tbl>
      <w:tblPr>
        <w:tblW w:w="6500" w:type="dxa"/>
        <w:jc w:val="left"/>
        <w:tblInd w:w="0" w:type="dxa"/>
        <w:tblLayout w:type="fixed"/>
        <w:tblCellMar>
          <w:top w:w="0" w:type="dxa"/>
          <w:left w:w="0" w:type="dxa"/>
          <w:bottom w:w="0" w:type="dxa"/>
          <w:right w:w="0" w:type="dxa"/>
        </w:tblCellMar>
      </w:tblPr>
      <w:tblGrid>
        <w:gridCol w:w="5765"/>
        <w:gridCol w:w="140"/>
        <w:gridCol w:w="140"/>
        <w:gridCol w:w="455"/>
      </w:tblGrid>
      <w:tr>
        <w:trPr/>
        <w:tc>
          <w:tcPr>
            <w:tcW w:w="5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57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765" w:type="dxa"/>
            <w:tcBorders/>
            <w:shd w:fill="CCEEFF" w:val="clear"/>
            <w:vAlign w:val="center"/>
          </w:tcPr>
          <w:p>
            <w:pPr>
              <w:pStyle w:val="TableContents"/>
              <w:bidi w:val="0"/>
              <w:spacing w:before="0" w:after="283"/>
              <w:ind w:left="0" w:right="0" w:hanging="0"/>
              <w:jc w:val="left"/>
              <w:rPr/>
            </w:pPr>
            <w:hyperlink w:anchor="s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ATP">
              <w:r>
                <w:rPr>
                  <w:rStyle w:val="InternetLink"/>
                  <w:rFonts w:ascii="Times New Roman;Times;serif" w:hAnsi="Times New Roman;Times;serif"/>
                  <w:color w:val="000000"/>
                  <w:sz w:val="20"/>
                </w:rPr>
                <w:t xml:space="preserve">S-1 </w:t>
              </w:r>
            </w:hyperlink>
          </w:p>
        </w:tc>
      </w:tr>
      <w:tr>
        <w:trPr/>
        <w:tc>
          <w:tcPr>
            <w:tcW w:w="5765"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SPECIAL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 xml:space="preserve">S-2 </w:t>
              </w:r>
            </w:hyperlink>
          </w:p>
        </w:tc>
      </w:tr>
      <w:tr>
        <w:trPr/>
        <w:tc>
          <w:tcPr>
            <w:tcW w:w="5765"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PROSPECTUS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S-3</w:t>
              </w:r>
            </w:hyperlink>
          </w:p>
        </w:tc>
      </w:tr>
      <w:tr>
        <w:trPr/>
        <w:tc>
          <w:tcPr>
            <w:tcW w:w="5765" w:type="dxa"/>
            <w:tcBorders/>
            <w:vAlign w:val="center"/>
          </w:tcPr>
          <w:p>
            <w:pPr>
              <w:pStyle w:val="TableContents"/>
              <w:bidi w:val="0"/>
              <w:spacing w:before="0" w:after="283"/>
              <w:ind w:left="0" w:right="0" w:hanging="0"/>
              <w:jc w:val="left"/>
              <w:rPr/>
            </w:pPr>
            <w:hyperlink w:anchor="sTO">
              <w:r>
                <w:rPr>
                  <w:rStyle w:val="InternetLink"/>
                  <w:rFonts w:ascii="Times New Roman;Times;serif" w:hAnsi="Times New Roman;Times;serif"/>
                  <w:color w:val="000000"/>
                  <w:sz w:val="20"/>
                </w:rPr>
                <w:t>THE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TO">
              <w:r>
                <w:rPr>
                  <w:rStyle w:val="InternetLink"/>
                  <w:rFonts w:ascii="Times New Roman;Times;serif" w:hAnsi="Times New Roman;Times;serif"/>
                  <w:color w:val="000000"/>
                  <w:sz w:val="20"/>
                </w:rPr>
                <w:t>S-8</w:t>
              </w:r>
            </w:hyperlink>
          </w:p>
        </w:tc>
      </w:tr>
      <w:tr>
        <w:trPr/>
        <w:tc>
          <w:tcPr>
            <w:tcW w:w="5765" w:type="dxa"/>
            <w:tcBorders/>
            <w:shd w:fill="CCEEFF" w:val="clear"/>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S-9</w:t>
              </w:r>
            </w:hyperlink>
          </w:p>
        </w:tc>
      </w:tr>
      <w:tr>
        <w:trPr/>
        <w:tc>
          <w:tcPr>
            <w:tcW w:w="5765" w:type="dxa"/>
            <w:tcBorders/>
            <w:vAlign w:val="center"/>
          </w:tcPr>
          <w:p>
            <w:pPr>
              <w:pStyle w:val="TableContents"/>
              <w:bidi w:val="0"/>
              <w:spacing w:before="0" w:after="283"/>
              <w:ind w:left="0" w:right="0" w:hanging="0"/>
              <w:jc w:val="left"/>
              <w:rPr/>
            </w:pPr>
            <w:hyperlink w:anchor="sUO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UOP">
              <w:r>
                <w:rPr>
                  <w:rStyle w:val="InternetLink"/>
                  <w:rFonts w:ascii="Times New Roman;Times;serif" w:hAnsi="Times New Roman;Times;serif"/>
                  <w:color w:val="000000"/>
                  <w:sz w:val="20"/>
                </w:rPr>
                <w:t xml:space="preserve">S-13 </w:t>
              </w:r>
            </w:hyperlink>
          </w:p>
        </w:tc>
      </w:tr>
      <w:tr>
        <w:trPr/>
        <w:tc>
          <w:tcPr>
            <w:tcW w:w="5765" w:type="dxa"/>
            <w:tcBorders/>
            <w:shd w:fill="CCEEFF" w:val="clear"/>
            <w:vAlign w:val="center"/>
          </w:tcPr>
          <w:p>
            <w:pPr>
              <w:pStyle w:val="TableContents"/>
              <w:bidi w:val="0"/>
              <w:spacing w:before="0" w:after="283"/>
              <w:ind w:left="0" w:right="0" w:hanging="0"/>
              <w:jc w:val="left"/>
              <w:rPr/>
            </w:pPr>
            <w:hyperlink w:anchor="sDP">
              <w:r>
                <w:rPr>
                  <w:rStyle w:val="InternetLink"/>
                  <w:rFonts w:ascii="Times New Roman;Times;serif" w:hAnsi="Times New Roman;Times;serif"/>
                  <w:color w:val="000000"/>
                  <w:sz w:val="20"/>
                </w:rPr>
                <w:t>DIVIDEND POLICY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DP">
              <w:r>
                <w:rPr>
                  <w:rStyle w:val="InternetLink"/>
                  <w:rFonts w:ascii="Times New Roman;Times;serif" w:hAnsi="Times New Roman;Times;serif"/>
                  <w:color w:val="000000"/>
                  <w:sz w:val="20"/>
                </w:rPr>
                <w:t xml:space="preserve">S-13 </w:t>
              </w:r>
            </w:hyperlink>
          </w:p>
        </w:tc>
      </w:tr>
      <w:tr>
        <w:trPr/>
        <w:tc>
          <w:tcPr>
            <w:tcW w:w="5765" w:type="dxa"/>
            <w:tcBorders/>
            <w:vAlign w:val="center"/>
          </w:tcPr>
          <w:p>
            <w:pPr>
              <w:pStyle w:val="TableContents"/>
              <w:bidi w:val="0"/>
              <w:spacing w:before="0" w:after="283"/>
              <w:ind w:left="0" w:right="0" w:hanging="0"/>
              <w:jc w:val="left"/>
              <w:rPr/>
            </w:pPr>
            <w:hyperlink w:anchor="sDIL">
              <w:r>
                <w:rPr>
                  <w:rStyle w:val="InternetLink"/>
                  <w:rFonts w:ascii="Times New Roman;Times;serif" w:hAnsi="Times New Roman;Times;serif"/>
                  <w:color w:val="000000"/>
                  <w:sz w:val="20"/>
                </w:rPr>
                <w:t>DILUTION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DIL">
              <w:r>
                <w:rPr>
                  <w:rStyle w:val="InternetLink"/>
                  <w:rFonts w:ascii="Times New Roman;Times;serif" w:hAnsi="Times New Roman;Times;serif"/>
                  <w:color w:val="000000"/>
                  <w:sz w:val="20"/>
                </w:rPr>
                <w:t xml:space="preserve">S-14 </w:t>
              </w:r>
            </w:hyperlink>
          </w:p>
        </w:tc>
      </w:tr>
      <w:tr>
        <w:trPr/>
        <w:tc>
          <w:tcPr>
            <w:tcW w:w="5765" w:type="dxa"/>
            <w:tcBorders/>
            <w:shd w:fill="CCEEFF" w:val="clear"/>
            <w:vAlign w:val="center"/>
          </w:tcPr>
          <w:p>
            <w:pPr>
              <w:pStyle w:val="TableContents"/>
              <w:bidi w:val="0"/>
              <w:spacing w:before="0" w:after="283"/>
              <w:ind w:left="0" w:right="0" w:hanging="0"/>
              <w:jc w:val="left"/>
              <w:rPr/>
            </w:pPr>
            <w:hyperlink w:anchor="sPOD1">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POD1">
              <w:r>
                <w:rPr>
                  <w:rStyle w:val="InternetLink"/>
                  <w:rFonts w:ascii="Times New Roman;Times;serif" w:hAnsi="Times New Roman;Times;serif"/>
                  <w:color w:val="000000"/>
                  <w:sz w:val="20"/>
                </w:rPr>
                <w:t xml:space="preserve">S-15 </w:t>
              </w:r>
            </w:hyperlink>
          </w:p>
        </w:tc>
      </w:tr>
      <w:tr>
        <w:trPr/>
        <w:tc>
          <w:tcPr>
            <w:tcW w:w="5765" w:type="dxa"/>
            <w:tcBorders/>
            <w:vAlign w:val="center"/>
          </w:tcPr>
          <w:p>
            <w:pPr>
              <w:pStyle w:val="TableContents"/>
              <w:bidi w:val="0"/>
              <w:spacing w:before="0" w:after="283"/>
              <w:ind w:left="0" w:right="0" w:hanging="0"/>
              <w:jc w:val="left"/>
              <w:rPr/>
            </w:pPr>
            <w:hyperlink w:anchor="s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LM">
              <w:r>
                <w:rPr>
                  <w:rStyle w:val="InternetLink"/>
                  <w:rFonts w:ascii="Times New Roman;Times;serif" w:hAnsi="Times New Roman;Times;serif"/>
                  <w:color w:val="000000"/>
                  <w:sz w:val="20"/>
                </w:rPr>
                <w:t>S-20</w:t>
              </w:r>
            </w:hyperlink>
          </w:p>
        </w:tc>
      </w:tr>
      <w:tr>
        <w:trPr/>
        <w:tc>
          <w:tcPr>
            <w:tcW w:w="5765" w:type="dxa"/>
            <w:tcBorders/>
            <w:shd w:fill="CCEEFF" w:val="clear"/>
            <w:vAlign w:val="center"/>
          </w:tcPr>
          <w:p>
            <w:pPr>
              <w:pStyle w:val="TableContents"/>
              <w:bidi w:val="0"/>
              <w:spacing w:before="0" w:after="283"/>
              <w:ind w:left="0" w:right="0" w:hanging="0"/>
              <w:jc w:val="left"/>
              <w:rPr/>
            </w:pPr>
            <w:hyperlink w:anchor="s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EXP">
              <w:r>
                <w:rPr>
                  <w:rStyle w:val="InternetLink"/>
                  <w:rFonts w:ascii="Times New Roman;Times;serif" w:hAnsi="Times New Roman;Times;serif"/>
                  <w:color w:val="000000"/>
                  <w:sz w:val="20"/>
                </w:rPr>
                <w:t xml:space="preserve">S-20 </w:t>
              </w:r>
            </w:hyperlink>
          </w:p>
        </w:tc>
      </w:tr>
      <w:tr>
        <w:trPr/>
        <w:tc>
          <w:tcPr>
            <w:tcW w:w="5765" w:type="dxa"/>
            <w:tcBorders/>
            <w:vAlign w:val="center"/>
          </w:tcPr>
          <w:p>
            <w:pPr>
              <w:pStyle w:val="TableContents"/>
              <w:bidi w:val="0"/>
              <w:spacing w:before="0" w:after="283"/>
              <w:ind w:left="0" w:right="0" w:hanging="0"/>
              <w:jc w:val="left"/>
              <w:rPr/>
            </w:pPr>
            <w:hyperlink w:anchor="s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WYC">
              <w:r>
                <w:rPr>
                  <w:rStyle w:val="InternetLink"/>
                  <w:rFonts w:ascii="Times New Roman;Times;serif" w:hAnsi="Times New Roman;Times;serif"/>
                  <w:color w:val="000000"/>
                  <w:sz w:val="20"/>
                </w:rPr>
                <w:t xml:space="preserve">S-20 </w:t>
              </w:r>
            </w:hyperlink>
          </w:p>
        </w:tc>
      </w:tr>
      <w:tr>
        <w:trPr/>
        <w:tc>
          <w:tcPr>
            <w:tcW w:w="5765" w:type="dxa"/>
            <w:tcBorders/>
            <w:shd w:fill="CCEEFF" w:val="clear"/>
            <w:vAlign w:val="center"/>
          </w:tcPr>
          <w:p>
            <w:pPr>
              <w:pStyle w:val="TableContents"/>
              <w:bidi w:val="0"/>
              <w:spacing w:before="0" w:after="283"/>
              <w:ind w:left="0" w:right="0" w:hanging="0"/>
              <w:jc w:val="left"/>
              <w:rPr/>
            </w:pPr>
            <w:hyperlink w:anchor="sIOC">
              <w:r>
                <w:rPr>
                  <w:rStyle w:val="InternetLink"/>
                  <w:rFonts w:ascii="Times New Roman;Times;serif" w:hAnsi="Times New Roman;Times;serif"/>
                  <w:color w:val="000000"/>
                  <w:sz w:val="20"/>
                </w:rPr>
                <w:t>INCORPORATION OF CERTAIN INFORMATION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IOC">
              <w:r>
                <w:rPr>
                  <w:rStyle w:val="InternetLink"/>
                  <w:rFonts w:ascii="Times New Roman;Times;serif" w:hAnsi="Times New Roman;Times;serif"/>
                  <w:color w:val="000000"/>
                  <w:sz w:val="20"/>
                </w:rPr>
                <w:t>S-21</w:t>
              </w:r>
            </w:hyperlink>
          </w:p>
        </w:tc>
      </w:tr>
      <w:tr>
        <w:trPr/>
        <w:tc>
          <w:tcPr>
            <w:tcW w:w="57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Prospectus</w:t>
      </w:r>
    </w:p>
    <w:tbl>
      <w:tblPr>
        <w:tblW w:w="6350" w:type="dxa"/>
        <w:jc w:val="left"/>
        <w:tblInd w:w="0" w:type="dxa"/>
        <w:tblLayout w:type="fixed"/>
        <w:tblCellMar>
          <w:top w:w="0" w:type="dxa"/>
          <w:left w:w="0" w:type="dxa"/>
          <w:bottom w:w="0" w:type="dxa"/>
          <w:right w:w="0" w:type="dxa"/>
        </w:tblCellMar>
      </w:tblPr>
      <w:tblGrid>
        <w:gridCol w:w="5630"/>
        <w:gridCol w:w="140"/>
        <w:gridCol w:w="140"/>
        <w:gridCol w:w="440"/>
      </w:tblGrid>
      <w:tr>
        <w:trPr/>
        <w:tc>
          <w:tcPr>
            <w:tcW w:w="5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6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aps/>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ii</w:t>
              </w:r>
            </w:hyperlink>
          </w:p>
        </w:tc>
      </w:tr>
      <w:tr>
        <w:trPr/>
        <w:tc>
          <w:tcPr>
            <w:tcW w:w="5630"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aps/>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aps/>
                  <w:color w:val="000000"/>
                  <w:sz w:val="20"/>
                </w:rPr>
                <w:t>1</w:t>
              </w:r>
            </w:hyperlink>
          </w:p>
        </w:tc>
      </w:tr>
      <w:tr>
        <w:trPr/>
        <w:tc>
          <w:tcPr>
            <w:tcW w:w="563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aps/>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aps/>
                  <w:color w:val="000000"/>
                  <w:sz w:val="20"/>
                </w:rPr>
                <w:t>8</w:t>
              </w:r>
            </w:hyperlink>
          </w:p>
        </w:tc>
      </w:tr>
      <w:tr>
        <w:trPr/>
        <w:tc>
          <w:tcPr>
            <w:tcW w:w="563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aps/>
                  <w:color w:val="000000"/>
                  <w:sz w:val="20"/>
                </w:rPr>
                <w:t>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aps/>
                  <w:color w:val="000000"/>
                  <w:sz w:val="20"/>
                </w:rPr>
                <w:t>9</w:t>
              </w:r>
            </w:hyperlink>
          </w:p>
        </w:tc>
      </w:tr>
      <w:tr>
        <w:trPr/>
        <w:tc>
          <w:tcPr>
            <w:tcW w:w="563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aps/>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aps/>
                  <w:color w:val="000000"/>
                  <w:sz w:val="20"/>
                </w:rPr>
                <w:t>10</w:t>
              </w:r>
            </w:hyperlink>
          </w:p>
        </w:tc>
      </w:tr>
      <w:tr>
        <w:trPr/>
        <w:tc>
          <w:tcPr>
            <w:tcW w:w="5630"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aps/>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C">
              <w:r>
                <w:rPr>
                  <w:rStyle w:val="InternetLink"/>
                  <w:rFonts w:ascii="Times New Roman;Times;serif" w:hAnsi="Times New Roman;Times;serif"/>
                  <w:caps/>
                  <w:color w:val="000000"/>
                  <w:sz w:val="20"/>
                </w:rPr>
                <w:t>11</w:t>
              </w:r>
            </w:hyperlink>
          </w:p>
        </w:tc>
      </w:tr>
      <w:tr>
        <w:trPr/>
        <w:tc>
          <w:tcPr>
            <w:tcW w:w="5630"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aps/>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OD">
              <w:r>
                <w:rPr>
                  <w:rStyle w:val="InternetLink"/>
                  <w:rFonts w:ascii="Times New Roman;Times;serif" w:hAnsi="Times New Roman;Times;serif"/>
                  <w:caps/>
                  <w:color w:val="000000"/>
                  <w:sz w:val="20"/>
                </w:rPr>
                <w:t>16</w:t>
              </w:r>
            </w:hyperlink>
          </w:p>
        </w:tc>
      </w:tr>
      <w:tr>
        <w:trPr/>
        <w:tc>
          <w:tcPr>
            <w:tcW w:w="5630" w:type="dxa"/>
            <w:tcBorders/>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aps/>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W">
              <w:r>
                <w:rPr>
                  <w:rStyle w:val="InternetLink"/>
                  <w:rFonts w:ascii="Times New Roman;Times;serif" w:hAnsi="Times New Roman;Times;serif"/>
                  <w:caps/>
                  <w:color w:val="000000"/>
                  <w:sz w:val="20"/>
                </w:rPr>
                <w:t>22</w:t>
              </w:r>
            </w:hyperlink>
          </w:p>
        </w:tc>
      </w:tr>
      <w:tr>
        <w:trPr/>
        <w:tc>
          <w:tcPr>
            <w:tcW w:w="5630" w:type="dxa"/>
            <w:tcBorders/>
            <w:shd w:fill="CCEEFF" w:val="clear"/>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aps/>
                  <w:color w:val="000000"/>
                  <w:sz w:val="20"/>
                </w:rPr>
                <w:t>Description of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OU">
              <w:r>
                <w:rPr>
                  <w:rStyle w:val="InternetLink"/>
                  <w:rFonts w:ascii="Times New Roman;Times;serif" w:hAnsi="Times New Roman;Times;serif"/>
                  <w:caps/>
                  <w:color w:val="000000"/>
                  <w:sz w:val="20"/>
                </w:rPr>
                <w:t>24</w:t>
              </w:r>
            </w:hyperlink>
          </w:p>
        </w:tc>
      </w:tr>
      <w:tr>
        <w:trPr/>
        <w:tc>
          <w:tcPr>
            <w:tcW w:w="5630" w:type="dxa"/>
            <w:tcBorders/>
            <w:vAlign w:val="center"/>
          </w:tcPr>
          <w:p>
            <w:pPr>
              <w:pStyle w:val="TableContents"/>
              <w:bidi w:val="0"/>
              <w:spacing w:before="0" w:after="283"/>
              <w:ind w:left="0" w:right="0" w:hanging="0"/>
              <w:jc w:val="left"/>
              <w:rPr/>
            </w:pPr>
            <w:hyperlink w:anchor="tLOO">
              <w:r>
                <w:rPr>
                  <w:rStyle w:val="InternetLink"/>
                  <w:rFonts w:ascii="Times New Roman;Times;serif" w:hAnsi="Times New Roman;Times;serif"/>
                  <w:caps/>
                  <w:color w:val="000000"/>
                  <w:sz w:val="20"/>
                </w:rPr>
                <w:t>Legal Ownership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OO">
              <w:r>
                <w:rPr>
                  <w:rStyle w:val="InternetLink"/>
                  <w:rFonts w:ascii="Times New Roman;Times;serif" w:hAnsi="Times New Roman;Times;serif"/>
                  <w:caps/>
                  <w:color w:val="000000"/>
                  <w:sz w:val="20"/>
                </w:rPr>
                <w:t>25</w:t>
              </w:r>
            </w:hyperlink>
          </w:p>
        </w:tc>
      </w:tr>
      <w:tr>
        <w:trPr/>
        <w:tc>
          <w:tcPr>
            <w:tcW w:w="5630"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aps/>
                  <w:color w:val="000000"/>
                  <w:sz w:val="20"/>
                </w:rPr>
                <w:t>Selling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S">
              <w:r>
                <w:rPr>
                  <w:rStyle w:val="InternetLink"/>
                  <w:rFonts w:ascii="Times New Roman;Times;serif" w:hAnsi="Times New Roman;Times;serif"/>
                  <w:caps/>
                  <w:color w:val="000000"/>
                  <w:sz w:val="20"/>
                </w:rPr>
                <w:t>28</w:t>
              </w:r>
            </w:hyperlink>
          </w:p>
        </w:tc>
      </w:tr>
      <w:tr>
        <w:trPr/>
        <w:tc>
          <w:tcPr>
            <w:tcW w:w="5630"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aps/>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aps/>
                  <w:color w:val="000000"/>
                  <w:sz w:val="20"/>
                </w:rPr>
                <w:t>30</w:t>
              </w:r>
            </w:hyperlink>
          </w:p>
        </w:tc>
      </w:tr>
      <w:tr>
        <w:trPr/>
        <w:tc>
          <w:tcPr>
            <w:tcW w:w="563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aps/>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aps/>
                  <w:color w:val="000000"/>
                  <w:sz w:val="20"/>
                </w:rPr>
                <w:t>33</w:t>
              </w:r>
            </w:hyperlink>
          </w:p>
        </w:tc>
      </w:tr>
      <w:tr>
        <w:trPr/>
        <w:tc>
          <w:tcPr>
            <w:tcW w:w="5630" w:type="dxa"/>
            <w:tcBorders/>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aps/>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X">
              <w:r>
                <w:rPr>
                  <w:rStyle w:val="InternetLink"/>
                  <w:rFonts w:ascii="Times New Roman;Times;serif" w:hAnsi="Times New Roman;Times;serif"/>
                  <w:caps/>
                  <w:color w:val="000000"/>
                  <w:sz w:val="20"/>
                </w:rPr>
                <w:t>33</w:t>
              </w:r>
            </w:hyperlink>
          </w:p>
        </w:tc>
      </w:tr>
      <w:tr>
        <w:trPr/>
        <w:tc>
          <w:tcPr>
            <w:tcW w:w="563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aps/>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aps/>
                  <w:color w:val="000000"/>
                  <w:sz w:val="20"/>
                </w:rPr>
                <w:t>33</w:t>
              </w:r>
            </w:hyperlink>
          </w:p>
        </w:tc>
      </w:tr>
      <w:tr>
        <w:trPr/>
        <w:tc>
          <w:tcPr>
            <w:tcW w:w="5630" w:type="dxa"/>
            <w:tcBorders/>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aps/>
                  <w:color w:val="000000"/>
                  <w:sz w:val="20"/>
                </w:rPr>
                <w:t>Incorporation of Certain Information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OC">
              <w:r>
                <w:rPr>
                  <w:rStyle w:val="InternetLink"/>
                  <w:rFonts w:ascii="Times New Roman;Times;serif" w:hAnsi="Times New Roman;Times;serif"/>
                  <w:caps/>
                  <w:color w:val="000000"/>
                  <w:sz w:val="20"/>
                </w:rPr>
                <w:t>34</w:t>
              </w:r>
            </w:hyperlink>
          </w:p>
        </w:tc>
      </w:tr>
      <w:tr>
        <w:trPr/>
        <w:tc>
          <w:tcPr>
            <w:tcW w:w="5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4684x4_424b5_102-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sATP"/>
      <w:bookmarkEnd w:id="7"/>
      <w:r>
        <w:rPr>
          <w:rFonts w:ascii="Times New Roman;Times;serif" w:hAnsi="Times New Roman;Times;serif"/>
          <w:b/>
          <w:color w:val="000000"/>
          <w:sz w:val="20"/>
        </w:rPr>
        <w:t xml:space="preserve">ABOUT THIS PROSPECTUS SUPPLEMENT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relates to part of a registration statement on Form S-3 that we have filed with the Securities and Exchange Commission (the “SEC”) utilizing a “shelf” registration process. Under this shelf registration process, we may sell any combination of the securities described in our base prospectus included in the shelf registration statement in one or more offerings up to a total aggregate offering price of $200,000,000. The $75,000,000 of shares of common stock that may be offered, issued and sold under this prospectus supplement is included in the $200,000,000 of securities that may be offered, issued and sold by us pursuant to our shelf registration statement. In connection with such offers and when accompanied by the base prospectus included in the registration statement of which this prospectus supplement is a part, this prospectus supplement will be deemed a prospectus supplement to such base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relates to the offering of our shares of common stock. Before buying any of our shares of common stock that we are offering, we urge you to carefully read this prospectus supplement,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describes the terms of this offering of our shares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 this prospectus supplement and in any free writing prospectus that we have authorized for use in connection with this offering. We have not, and the Sales Agent has not, authorized anyone to provide you with different information. If anyone provides you with different or inconsistent information, you should not rely on it. We are not, and the Sales Agent is not, making an offer to sell these securities in any jurisdiction where the offer or sale is not permitted. You should assume that the information appearing in this prospectus supplement, the documents incorporated by reference in this prospectus supplement, and in any free writing prospectus that we have authorized for use in connection with this offering, is accurate only as of the date of those respective documents. Our business, financial condition, results of operations and prospects may have changed since those dates. You should carefully read this prospectus supplement, the documents incorporated by reference in this prospectus supplement, and any free writing prospectus that we have authorized for use in connection with this offering, in their entirety before making an investment decision.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and under similar headings in the other documents that are incorporated by reference into this prospectus supplement. Accordingly, investors should not place undue reliance on this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otherwise indicated herein or as the context otherwise requires, references in this prospectus to “Momentus,” the “Company,” “we,” “us,” “our” and similar references refer to Momentus Inc., an entity incorporated under the laws of the State of Delaware, and where appropriate our consolidated subsidiaries.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4684x4_424b5_103-fls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sFLS"/>
      <w:bookmarkEnd w:id="9"/>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including the documents that we incorporate by reference herein, may contain, forward-looking statements within the meaning of Section 27A of the Securities Act and Section 21E of the Securities Exchange Act of 1934, as amended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Discussions containing these forward-looking statements may be found, among other places, in the sections entitled “Business,” “Risk Factors” and “Management’s Discussion and Analysis of Financial Condition and Results of Operations” contained in the documents incorporated by reference in this prospectus, including our most recent Annual Report on Form 10-K and our Quarterly Reports on Form 10-Q, as well as any amendments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supplement in their entirety, many of these risks and uncertainties under the section entitled “Risk Factors” included in our most recent Annual Report on Form 10-K and our Quarterly Reports on Form 10-Q, as well as any amendments thereto, filed with the SEC, which are incorporated by reference into this prospectus supplement. Additional factors are discussed under the section entitled “Risk Factors” in this prospectus supplement and any free writing prospectus and under similar headings in the other documents that are incorporated by reference into this prospectus supplement. These statements reflect our current views with respect to future events and are based on assumptions and subject to risks and uncertainties. New risks and uncertainties arise from time to time, and it is impossible for us to predict these events or how they may affect us.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4684x4_424b5_104-summar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1" w:name="sSUM"/>
      <w:bookmarkEnd w:id="11"/>
      <w:r>
        <w:rPr>
          <w:rFonts w:ascii="Times New Roman;Times;serif" w:hAnsi="Times New Roman;Times;serif"/>
          <w:b/>
          <w:color w:val="000000"/>
          <w:sz w:val="20"/>
          <w:bdr w:val="single" w:sz="8" w:space="12" w:color="000000"/>
        </w:rPr>
        <w:t xml:space="preserve">PROSPECTUS SUPPLEMENT SUMMARY </w:t>
      </w:r>
    </w:p>
    <w:p>
      <w:pPr>
        <w:pStyle w:val="TextBody"/>
        <w:bidi w:val="0"/>
        <w:spacing w:before="120" w:after="240"/>
        <w:ind w:left="240" w:right="0" w:hanging="0"/>
        <w:jc w:val="both"/>
        <w:rPr/>
      </w:pPr>
      <w:r>
        <w:rPr>
          <w:rFonts w:ascii="Times New Roman;Times;serif" w:hAnsi="Times New Roman;Times;serif"/>
          <w:i/>
          <w:color w:val="000000"/>
          <w:sz w:val="20"/>
          <w:bdr w:val="single" w:sz="8" w:space="12" w:color="000000"/>
        </w:rPr>
        <w:t>The following summary highlights information contained elsewhere in this prospectus supplement or incorporated by reference herein and does not contain all the information that may be important to purchasers of our securities. This summary is not intended to be complete and does not contain all of the information that you should consider before deciding to invest in our securities. You should read this entire prospectus supplement carefully, especially the “Risk Factors” section beginning on page S-</w:t>
      </w:r>
      <w:hyperlink w:anchor="sRF">
        <w:r>
          <w:rPr>
            <w:rStyle w:val="InternetLink"/>
          </w:rPr>
          <w:t>9</w:t>
        </w:r>
      </w:hyperlink>
      <w:r>
        <w:rPr>
          <w:rFonts w:ascii="Times New Roman;Times;serif" w:hAnsi="Times New Roman;Times;serif"/>
          <w:i/>
          <w:color w:val="000000"/>
          <w:sz w:val="20"/>
          <w:bdr w:val="single" w:sz="8" w:space="12" w:color="000000"/>
        </w:rPr>
        <w:t xml:space="preserve"> and other documents or information included or incorporated by reference in this prospectus supplement before making an investment decision.</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provide or plan to provide services, including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plan to provide these services with Orbital Service Vehicles (“OSVs”) that we design and manufacture. While we plan to eventually operate a family of progressively larger and more capable OSVs, we are currently focused on Vigoride, which was originally designed to operate in low-Earth orbit (“LEO”), but is undergoing enhancements designed to allow it to operate in Geostationary-Earth Orbit (“GEO”), Lunar, and Deep Space orbits.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4684x4_424b5_104-summar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currently plan to offer the following infrastructure services to the space economy: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Satellites and Constellation Bus:</w:t>
            </w:r>
            <w:r>
              <w:rPr>
                <w:rFonts w:ascii="Times New Roman;Times;serif" w:hAnsi="Times New Roman;Times;serif"/>
                <w:color w:val="000000"/>
                <w:sz w:val="20"/>
              </w:rPr>
              <w:t xml:space="preserve"> Momentus offers or plans to offer production and operation of small satellites to meet a range of defense, government, and commercial needs such as communications, tracking of missiles, remote sensing, and space domain awareness. Technologies used to support the Hosted Payload market are directly applicable to offering customer-owned satellites for use in constellations.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Satellite Technologies:</w:t>
            </w:r>
            <w:r>
              <w:rPr>
                <w:rFonts w:ascii="Times New Roman;Times;serif" w:hAnsi="Times New Roman;Times;serif"/>
                <w:color w:val="000000"/>
                <w:sz w:val="20"/>
              </w:rPr>
              <w:t xml:space="preserve"> Momentus is developing and plans to offer satellite technologies such as our Tape Spring Solar Array, 3D printed propulsion 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Space Transportation:</w:t>
            </w:r>
            <w:r>
              <w:rPr>
                <w:rFonts w:ascii="Times New Roman;Times;serif" w:hAnsi="Times New Roman;Times;serif"/>
                <w:color w:val="000000"/>
                <w:sz w:val="20"/>
              </w:rPr>
              <w:t xml:space="preserve"> Momentus offers a transportation service to deliver customers’ satellites to precision orbits. Under this model, our customers would deliver their payload to us a few months prior to launch for integration onto our vehicle. Once we have integrated our customers’ payloads, we would then ship our 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4684x4_424b5_104-summary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our transportation service has the potential to expand our customers’ deployment options relative to what they could achieve with ride share launch alone, while reducing their costs relative to what they could achieve with a dedicated small launch vehicle.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Hosted Payload</w:t>
            </w:r>
            <w:r>
              <w:rPr>
                <w:rFonts w:ascii="Times New Roman;Times;serif" w:hAnsi="Times New Roman;Times;serif"/>
                <w:color w:val="000000"/>
                <w:sz w:val="20"/>
              </w:rPr>
              <w:t>: There are a broad range of payloads, satellite components, and other space technologies, that customers want to operate, test, orvalidate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In-Orbit Servicing</w:t>
            </w:r>
            <w:r>
              <w:rPr>
                <w:rFonts w:ascii="Times New Roman;Times;serif" w:hAnsi="Times New Roman;Times;serif"/>
                <w:color w:val="000000"/>
                <w:sz w:val="20"/>
              </w:rPr>
              <w:t>: As the number of satellites in space increases, so does their need to be serviced. We are actively developing and testing Momentus’ 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Satellite Bus</w:t>
            </w:r>
            <w:r>
              <w:rPr>
                <w:rFonts w:ascii="Times New Roman;Times;serif" w:hAnsi="Times New Roman;Times;serif"/>
                <w:color w:val="000000"/>
                <w:sz w:val="20"/>
              </w:rPr>
              <w:t>: Technologies used to support the hosted payload market are directly applicable to offering customer-owned satellite buses for use in 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further description of the risks associated with our business, see “Risk Factors.” Investors are cautioned to review the following description of Momentus’ business together with the entirety of this prospectus, including the within-mentioned risk factors.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January 2026 Private Placement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January 5, 2026, the Company engaged in a private placement pursuant to which the Company agreed with an investor (the “January PIPE Investor”) to sell and issue to such stockholder (i) pre-funded warrants to purchase up to 925,926 shares of Common Stock (the “January 2026 Pre-Funded Warrants”), and (ii) warrants to purchase up to 925,926 shares of Common Stock (the “January 2026 Common Warrants”).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purchase price of each January 2026 Pre-Funded Warrant equals $5.39999, and the exercise price of each January 2026 Pre-Funded Warrant equals $0.00001 per share. The January 2026 Pre-Funded Warrants are exercisable at any time after their original issuance and will not expire until exercised in full. The January 2026 Common Warrants have an exercise price per share of Common Stock equal to $5.40 per share. The January 2026 Common Warrants will be exercisable immediately following receipt of shareholder approval and will expire five years from the initial exercise date. The exercise price and the number of shares of Common Stock issuable upon exercise of the January 2026 Common Warrants is subject to appropriate adjustments in the event of certain stock dividends and distributions, stock splits, stock combinations, reclassifications or similar events affecting the Common Stock.</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connection with the private placement, on January 5,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46,296 shares of Common Stock (the “January 2026 PA Warrants”) at an exercise price of $5.94, which are exercisable on or after July 6, 2026. The January 2026 PA Warrants have a term of five years from January 6, 2026.</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4684x4_424b5_104-summary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Also in connection with the private placement, the Company and the January 2026 PIPE Investor agreed to reduce the exercise price of certain warrants issued to the 2026 PIPE Investor on October 15, 2025 and December 11, 2025 from $13.74 per share to $5.40 per share.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April 2026 Private Placement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April 14, 2026, the Company engaged in a private placement pursuant to which the Company agreed with an investor (the “April PIPE Investor”) to sell and issue to such stockholder (i) 450,000 shares of Common Stock (the “April 2026 Private Placement Shares”) and (ii) pre-funded warrants to purchase up to 883,334 shares of Common Stock (the “April 2026 Pre-Funded Warrants”).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purchase price of each April 2026 Private Placement Share equals $3.75. The purchase price of each April 2026 Pre-Funded Warrant equals $3.74999, and the exercise price of each April 2026 Pre-Funded Warrant equals $0.00001 per share. The April 2026 Pre-Funded Warrants are exercisable at any time after their original issuance and will not expire until exercised in full.</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connection with the private placement, on April 14,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66,666 shares of Common Stock (the “April 2026 PA Warrants”) at an exercise price of $4.125, which are exercisable on or after October 11, 2026. The April 2026 PA Warrants have a term of five years from April 15, 2026.</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May 2026 Private Placement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May 26, 2026, the Company engaged in a private placement pursuant to which the Company agreed with investors (the “May PIPE Investors”) to sell and issue to such stockholders (i) 2,173,420 shares of Common Stock (the “May 2026 Private Placement Shares”) and (ii) pre-funded warrants to purchase up to768,580 shares of Common Stock (the “May 2026 Pre-Funded Warrants”).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purchase price of each May 2026 Private Placement Share equals $8.50. The purchase price of each May 2026 Pre-Funded Warrant equals $8.49999, and the exercise price of each May 2026 Pre-Funded Warrant equals $0.00001 per share. The May 2026 Pre-Funded Warrants are exercisable at any time after their original issuance and will not expire until exercised in full.</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connection with the private placement, on May 26,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Placement Agent warrants to purchase up to 147,100 shares of Common Stock (the “May 2026 PA Warrants”) at an exercise price of $9.35, which are exercisable on or after November 23, 2026. The May 2026 PA Warrants have a term of five years from May 26, 2026.</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private placement closed on May 28, 2026, and the Company received aggregate gross proceeds from the private placement of approximately $25 million, before deducting placement agent commissions and expenses in connection with the private placement, which were paid by the Company. After deducting the approximately $1.75 million paid to the Placement Agent pursuant to the Placement Agency Agreement, the Company received approximately $23.25 million in proceeds from the private placement. The Company agreed to use the net proceeds from the private placement for general corporate purposes, which may include repayment of principal on the Company’s indebtedness, capital expenditures, and funding its working capital needs.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June 2026 Registered Direct Offering</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June 11, 2026, the Company engaged in a registered directo offering pursuant to which the Company agreed with investors (the “June RDO Investors”) to sell and issue to such stockholders 1,851,852 shares of Common Stock (the “June 2026 RDO Shares”). The purchase price of each June 2026 RDO Share equals $13.50.</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4684x4_424b5_104-summary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connection with the registered direct offering, on June 11, 2026, the Company entered into a Placement Agency Agreement with the Placement Agent. As part of its compensation for acting as Placement Agent for the registered direct offering, the Company paid the Placement Agent a cash fee of 7.0% of the aggregate gross proceeds and also agreed to issue to the Placement Agent warrants to purchase up to 92,592 shares of Common Stock (the “June 2026 PA Warrants”) at an exercise price of $14.85, which are exercisable on or after December 8, 2026. The June 2026 PA Warrants have a term of five years from June 15, 2026.</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registered direct offering closed on June 15, 2026, and the Company received aggregate gross proceeds from the private placement of approximately $25 million, before deducting placement agent commissions and expenses in connection with the private placement, which were paid by the Company. After deducting the approximately $1.75 million paid to the Placement Agent pursuant to the Placement Agency Agreement, the Company received approximately $23.25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Capital Resources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consolidated financial statements are prepared assuming that the Company will continue as a going concern. The going concern basis of presentation assumes that the Company will continue in operation one year after the date the consolidated financial statements are issued and will be able to realize its assets and discharge its liabilities and commitments in the normal course of business. The Company previously disclosed that conditions and events raised substantial doubt regarding its ability to continue as a going concern. Management believes that, as a result of the financings and related transactions completed since December 31, 2025, substantial doubt no longer exists.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 Smaller Reporting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company with less than $100 million of annual revenue in our most recently completed fiscal year and the market value of our stock held by non-affiliates as of June 30, 2025, was less than $700 million, we qualify as a “smaller reporting company” as defined in Rule 12b-2 of the Securities Exchange Act of 1934, as amended. A smaller reporting company may take advantage of specified reduced reporting requirements that are otherwise applicable generally to public companies. These reduced reporting requirements include, but are not limited to, reduced disclosure about our executive compensation arrangements and an exemption from the requirements to obtain a non-binding advisory vote on golden parachute arrangements. Accordingly, the information contained herein may be different from the information you receive from other public companies in which you hold stock.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were incorporated in the State of Delaware in May 2019 as a special purpose acquisition company under the name Stable Road Acquisition Corp. On November 13, 2019, we completed our initial public offering. On August 12, 2021, we consummated a business combination with Momentus Inc. (a separate legal entity from the Company) pursuant to that Agreement and Plan of Merger, dated October 7, 2020. In connection with such business combination, we changed our name from Stable Road Acquisition Corp. to Momentus Inc.</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principal executive offices are located at 1762 Automation Parkway, San Jose, California 95131. Our telephone number is (650) 564-7820. Our website address is www.momentus.space. Information contained on our website or connected thereto does not constitute part of, and is not incorporated by reference into, this prospectus or the registration statement of which it forms a part.</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Momentus, the Momentus logo and our other registered or common law trademarks, service marks or trade names appearing in this prospectus are the property of Momentus. Other trademarks, service marks and trade names used in this prospectus are the property of their respective owners.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Risks Associated with our Business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4684x4_424b5_104-summary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7" w:name="sTO"/>
      <w:bookmarkEnd w:id="17"/>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Issuer</w:t>
      </w:r>
    </w:p>
    <w:p>
      <w:pPr>
        <w:pStyle w:val="TextBody"/>
        <w:bidi w:val="0"/>
        <w:spacing w:before="0" w:after="240"/>
        <w:ind w:left="456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Momentus Inc.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Common stock to be offered by us pursuant to this prospectus</w:t>
      </w:r>
    </w:p>
    <w:p>
      <w:pPr>
        <w:pStyle w:val="TextBody"/>
        <w:bidi w:val="0"/>
        <w:spacing w:before="0" w:after="240"/>
        <w:ind w:left="456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7,455,268 shares of our common stock having an aggregate offering price of up to approximately $75,000,000 at an assumed offering price of $10.06 per share, which was the last reported sale price of our common stock on Nasdaq on June 3, 2026.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Common stock to be outstanding after the offering</w:t>
      </w:r>
    </w:p>
    <w:p>
      <w:pPr>
        <w:pStyle w:val="TextBody"/>
        <w:bidi w:val="0"/>
        <w:spacing w:before="0" w:after="240"/>
        <w:ind w:left="456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26,291,083 (as more fully described in the notes following this table), assuming sales of approximately $75,000,000 shares of our common stock, or 7,455,268 shares of our common stock in this offering at an assumed offering price of $10.06 per share, which was the last reported sale price of our common stock on Nasdaq on June 17, 2026. The actual number of shares issued will vary depending on the sales price under this offering.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Manner of offering</w:t>
      </w:r>
    </w:p>
    <w:p>
      <w:pPr>
        <w:pStyle w:val="TextBody"/>
        <w:bidi w:val="0"/>
        <w:spacing w:before="0" w:after="240"/>
        <w:ind w:left="4560" w:right="0" w:hanging="0"/>
        <w:jc w:val="both"/>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 xml:space="preserve">At the market offering” that may be made from time to time for our common stock in the United States through or to A.G.P., as sales agent or principal. See the section entitled “Plan of Distribution.”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Use of proceeds</w:t>
      </w:r>
    </w:p>
    <w:p>
      <w:pPr>
        <w:pStyle w:val="TextBody"/>
        <w:bidi w:val="0"/>
        <w:spacing w:before="0" w:after="240"/>
        <w:ind w:left="456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currently intend to use the net proceeds from this offering for working capital and general corporate purposes, including, including, to acquire, license or invest in assets, businesses, technologies, product candidates or other intellectual property, to make milestone payments and to repurchase securities. See “Use of Proceeds.”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Risk factors</w:t>
      </w:r>
    </w:p>
    <w:p>
      <w:pPr>
        <w:pStyle w:val="TextBody"/>
        <w:bidi w:val="0"/>
        <w:spacing w:before="0" w:after="240"/>
        <w:ind w:left="456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should read the “Risk Factors” section of this prospectus and in the documents incorporated by reference in this prospectus for a discussion of factors to consider before deciding to purchase shares of our common stock.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Nasdaq Trading Symbol</w:t>
      </w:r>
    </w:p>
    <w:p>
      <w:pPr>
        <w:pStyle w:val="TextBody"/>
        <w:bidi w:val="0"/>
        <w:spacing w:before="0" w:after="240"/>
        <w:ind w:left="456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MNTS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Unless otherwise indicated, the number of shares of the common stock to be outstanding after this offering is based on 18,835,815 shares of common stock outstanding as of June 18, 2026, and excludes, as of that date, the following:</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593,754 shares of Common Stock issuable upon the exercise of outstanding Common Stock purchase warrants, with exercise prices ranging from $4.1250 to $158.0618 per share;</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29 shares of Common Stock issuable upon the exercise of outstanding options to purchase the Common Stock granted under the Momentus Inc. Amended and Restated 2018 Stock Plan and the Space Apprentices Enterprise Inc. 2018 Stock Plan (the “Prior Stock Plans”); and</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378,861 shares of Common Stock subject to unvested restricted stock units, 936 shares of Common Stock subject to vested deferred restricted stock units, 2,395 shares of Common Stock issuable upon the exercise of outstanding options to purchase the Common Stock, and 301,502 shares of the Common Stock reserved for future grants under the Momentus Inc. 2021 Equity Incentive Plan (the “2021 Plan”), the Momentus Inc. 2022 Inducement Equity Plan (the “2022 Plan”) and the Momentus Inc. 2021 Employee Stock Purchase Plan </w:t>
            </w:r>
          </w:p>
        </w:tc>
      </w:tr>
    </w:tbl>
    <w:p>
      <w:pPr>
        <w:pStyle w:val="TextBody"/>
        <w:bidi w:val="0"/>
        <w:spacing w:before="0" w:after="240"/>
        <w:ind w:left="1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”ESPP”).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4684x4_424b5_105-risk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sRF"/>
      <w:bookmarkEnd w:id="19"/>
      <w:r>
        <w:rPr>
          <w:rFonts w:ascii="Times New Roman;Times;serif" w:hAnsi="Times New Roman;Times;serif"/>
          <w:b/>
          <w:color w:val="000000"/>
          <w:sz w:val="20"/>
        </w:rPr>
        <w:t xml:space="preserve">RISK FACTORS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Investing in our common stock involves a high degree of risk, and you should be able to bear the complete loss of your investment. You should consider carefully the risks described below and those described under the section captioned “Risk Factors” contained in our Annual Report on Form 10-K for the year ended December 31, 2025, filed with the SEC on March 31, 2026, any subsequent Annual Reports on Form 10-K, any subsequent Quarterly Reports on Form 10-Q or Current Reports on Form 8-K, and all other information contained or incorporated by reference into this prospectus supplement and documents incorporated by reference into this prospectus supplement before deciding whether to purchase any of the common stock being offered under this prospectus supplement. If any of the risks actually occur, our business, consolidated financial condition or results of operations could be adversely affected. In such case, the trading price of our common stock could decline and you could lose all or part of your investment. Our actual results could differ materially from those anticipated in the forward-looking statements made throughout this prospectus supplement as a result of different factors, including the risks we face described below. Unless we have indicated otherwise or the context otherwise requires, references in this prospectus or the documents incorporated by reference herein and therein to the “Company,” “Momentus,” “we,” “us” and “our” refer to Momentus Inc.</w:t>
      </w:r>
      <w:r>
        <w:rPr>
          <w:rFonts w:ascii="Times New Roman;Times;serif" w:hAnsi="Times New Roman;Times;serif"/>
          <w:i/>
          <w:caps w:val="false"/>
          <w:smallCaps w:val="false"/>
          <w:color w:val="000000"/>
          <w:sz w:val="20"/>
        </w:rPr>
        <w:t xml:space="preserv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this Offering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management will have broad discretion over the use of the net proceeds from this offering, you may not agree with how we use the proceeds, and the proceeds may not be invested successfully.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from this offering for general corporate purposes, which may include the development of our orbital transfer and satellite bus vehicles, research and development efforts relating to these vehicles, working capital, capital expenditures, repayment and refinancing of debt, research and development expenditures, acquisitions of additional companies or technologies and investments. 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any acquisition, investment, or repayment and refinancing of debt probable.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our management will have broad discretion in the application of the net proceeds from this offering and could spend the proceeds in ways that do not improve our results of operations or enhance the value of the common stock. The failure by management to apply these funds effectively could result in financial losses that could have a material adverse effect on our business and cause the price of the common stock to decline.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This offering may cause the price of our common stock to decline and fall below the Minimum Bid Price Requirement required by the Nasdaq Listing Rules, which could result in our common stock being delisted from The Nasdaq Capital Market. A delisting of our common stock from The Nasdaq Capital Market would adversely affect our ability to raise additional capital through the public or private sale of equity securities, the ability of investors to dispose of the common stock or obtain accurate quotations as to the market value of our common stock and the price and value of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a large number of shares of common stock in an offering at a price that is a discount to the market price of the stock, is likely to result in a decrease in the price of the common stock. Our common stock is currently listed on The Nasdaq Capital Market. Continued listing of a security on The Nasdaq Capital Market is conditioned upon compliance with various continued listing standards. In particular, the requirements for The Nasdaq Capital Market imposes a minimum $1.00 per share bid price requirement. To comply with this requirement, the closing price for our common stock must not fall below $1.00 for a 30 consecutive trading day period. If we are unable to maintain a minimum closing price of $1.00 per share for the 30 consecutive trading days, we will receive a delist letter from the staff of The Nasdaq Stock Market. In addition to The Nasdaq Stock Market enumerated criteria for continued listing on The Nasdaq Capital Market tier, The Nasdaq Stock Market also has broad discretionary public interest authority that it can exercise to apply additional or more stringent criteria for continued listing, or to suspend or delist securities even though the securities meet all enumerated criteria for continued listing on The Nasdaq Stock Market.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in the event of a delisting notice, we would typically have an opportunity to appeal such decision to the Nasdaq Hearing Panel or take other measures to preserve the listing of our common stock on The Nasdaq Capital Market, but these measures and any appeal may not be successful. If our common stock is delisted by The Nasdaq Stock Market, our common stock may be eligible to trade on an over-the-counter quotation system, where an investor may find it more difficult to sell our common stock or obtain accurate quotations as to the market value of our common stock. We cannot ensure that our common stock, if delisted from The Nasdaq Capital Market, will be listed on any national securities exchange or quoted on an over-the counter quotation system.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4684x4_424b5_105-risk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we are delisted from The Nasdaq Capital Market,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our common stock is listed on a national securities exchange, such as The Nasdaq Stock Market, our common stock will also likely be subject to the regulations and restrictions regarding trading in “penny stocks,” which are those securities trading for less than $5.00 per share, and that are not otherwise exempted from the definition of a penny stock under other exemptions provided for in the applicable regulations. These penny stock requirements and regulations could severely limit the liquidity of our common stock in the secondary market because fewer brokers or dealers would be likely to be willing to undertake related compliance activities to trade in our common stock. If our common stock is not listed on a national securities exchange, the rules and restrictions regarding penny stock transactions may limit an investor’s ability to sell to a third-party and our trading activity in the secondary market may be reduced. Delisting from The Nasdaq Capital Market would also likely limit the range and attractiveness of strategic alternatives that we are able to consider, adversely affect our ability to raise additional capital through the public or private sale of equity securities, significantly affect the ability of investors to trade our securities, and/or negatively affect the value and liquidity of our common stock.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and issuances of the common stock could cause our stock price to fall.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Sales of a substantial number of shares of the common stock by our existing stockholders in the public market, or the perception that these sales might occur, could depress the market price of the common stock and could impair our ability to raise additional capital through the issuance of additional equity securities. We are unable to predict the effect that such sales may have on the prevailing market price of the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issuance of equity we may undertake in the future to raise additional capital could cause the price of the common stock to decline, or require us to issue shares at a price that is lower than that paid by holders of the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the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have stock options and warrants outstanding to purchase shares of our capital stock. Our stockholders may incur dilution upon exercise of any outstanding stock options and warrants.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price per share of our common stock being offered may be higher than the net tangible book value per share of our outstanding common stock prior to this offering. Assuming that an aggregate of 7,455,268 shares of our common stock are sold at a price of $10.06 per share, the last reported sale price of our common stock on Nasdaq on June 17, 2026, new investors in this offering will incur immediate dilution of $2.975 per share, representing the difference between our as adjusted net tangible book value per share as of March 31, 2026 after giving effect to this offering and the assumed price. For a more detailed discussion of the foregoing, see the section entitled “Dilution” elsewhere in this prospectus. To the extent that our outstanding stock options or warrants are exercised, there will be further dilution to new investors.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need for future financing may result in the issuance of additional securities which will cause investors to experience dilution.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cash requirements may vary from those now planned depending upon numerous factors. We expect to require additional capital until our operations generate sufficient revenue to cover our expenses. Accordingly, we will need to obtain substantial additional funding in connection with our continuing operations. There are no other commitments by any person for future financing. Our securities may be offered to other investors at a price lower than the price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4684x4_424b5_105-risk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offered to current stockholders, or upon terms which may be deemed more favorable than those offered to current stockholders. In addition,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a substantial number of convertible securities outstanding. The exercise of our outstanding warrants can have a dilutive effect on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 substantial number of convertible securities outstanding. The exercise of our outstanding warrants will likely have a dilutive effect on our common stock. The issuance of shares of common stock upon exercise of outstanding options or warrants or conversion of preferred stock could result in substantial dilution to our stockholders, which may have a negative effect on the price of our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need additional capital and any additional capital we seek may not be available in the amount or at the time we need 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need to raise funds in the future to execute our business plan. We may seek to raise additional capital to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the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Common Stock has been, and may continue to be, volatile, which could reduce the market price of the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publicly traded shares of the Common Stock have experienced, and may experience in the future significant price and volume fluctuations. During the 12 months ended June 17, 2026, the market price of the common stock as reported by Nasdaq has ranged from a high of $43.55 per share to a low of $3.11 per share. This market volatility could reduce the market price of the common stock without regard to our operating performance. In addition, the trading price of the common stock could change significantly in response to actual or anticipated variations in our quarterly operating results, announcements by us or our competitors, factors affecting the space transportation industry generally, changes in national or regional economic conditions, changes in securities analysts’ estimates for us or our competitors’ or industry’s future performance or general market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our industry.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we do not intend to declare cash dividends on our shares of common stock in the foreseeable future, stockholders must rely on appreciation of the value of our common stock for any return on their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never declared or paid cash dividends on our common stock. We currently anticipate that we will retain future earnings for the development, operation and expansion of our business and do not anticipate declaring or paying any cash dividends in the foreseeable future. As a result, we expect that only appreciation of the price of our common stock, if any, will provide a return to investors in this offering for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4684x4_424b5_105-risk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Resales of our common stock in the public market during this offering by our stockholders may cause the market price of our common stock to fall.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issue shares of our common stock from time to time in connection with this offering. This issuance from time to time of these new shares of our common stock, or our ability to issue these shares of our common stock in this offering, could result in resales of our common stock by our current stockholders concerned about the potential dilution of their holdings. In turn, these resales could have the effect of depressing the market price for our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actual number of shares we will issue under the sales agreement, at any one time or in total, is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limitations in the sales agreement with the sales agent and compliance with applicable law, we have the discretion to deliver placement notices to the sales agent at any time throughout the term of the sales agreement. The number of shares that are sold by the sales agent after delivering a placement notice will fluctuate based on the market price of the common stock during the sales period and limits we set with the sales agent.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common stock offered under this prospectus supplement and documents incorporated by reference into this prospectus may be sold in “at the market offerings,” and investors who buy shares at different times will likely pay different prices.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Investors who purchase shares under this prospectus supplement and documents incorporated by reference into this prospectus supplement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4684x4_424b5_106-use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sUOP"/>
      <w:bookmarkEnd w:id="24"/>
      <w:r>
        <w:rPr>
          <w:rFonts w:ascii="Times New Roman;Times;serif" w:hAnsi="Times New Roman;Times;serif"/>
          <w:b/>
          <w:color w:val="000000"/>
          <w:sz w:val="20"/>
        </w:rPr>
        <w:t xml:space="preserve">USE OF PROCEEDS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issue and sell shares of our common stock having aggregate gross proceeds of up to $75,000,000 from time to time under this prospectus and the documents incorporated by reference herein and therein. Because there is no minimum offering amount required as a condition to close this offering, the actual total offering amount, commissions and proceeds to us, if any, are not determinable at this time. The amount of proceeds from this offering will depend upon the number of shares of our common stock sold and the market price at which they are sold. There can be no assurance that we will be able to sell any shares of our common stock under or fully utilize the Sales Agreement with A.G.P. as a source of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if any, from the sales of shares of our common stock offered by this prospectus for working capital and general corporate purposes, including, to acquire, license or invest in assets, businesses, technologies, product candidates or other intellectual property, to make milestone payments and to repurchase securities. We have broad discretion in determining how the proceeds of this offering will be used, and our discretion is not limited by the aforementioned possible uses. Our Board of Directors believes the flexibility in application of the net proceeds is prudent.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prospectus, we cannot specify with certainty all of the particular uses for the net proceeds to be received from this offering. The amounts and timing of our actual expenditures will depend on numerous factors including our operating costs and the amount of funding, if any, received from grants. Accordingly, our management will have broad discretion in the application of the net proceeds, and investors will be relying on the judgment of management regarding the application of the net proceeds from the offering. We may find it necessary or advisable to reallocate the net proceeds of this offering; however, any such reallocation would be substantially limited to the categories set forth above as we do not intend to use the net proceeds for other purposes. Pending such uses set forth above, we plan to invest the net proceeds in government securities and other short-term investment grade, marketable securities. </w:t>
      </w:r>
    </w:p>
    <w:p>
      <w:pPr>
        <w:pStyle w:val="TextBody"/>
        <w:bidi w:val="0"/>
        <w:spacing w:before="410" w:after="283"/>
        <w:jc w:val="center"/>
        <w:rPr>
          <w:rFonts w:ascii="Times New Roman;Times;serif" w:hAnsi="Times New Roman;Times;serif"/>
          <w:b/>
          <w:color w:val="000000"/>
          <w:sz w:val="20"/>
        </w:rPr>
      </w:pPr>
      <w:bookmarkStart w:id="25" w:name="sDP"/>
      <w:bookmarkEnd w:id="25"/>
      <w:r>
        <w:rPr>
          <w:rFonts w:ascii="Times New Roman;Times;serif" w:hAnsi="Times New Roman;Times;serif"/>
          <w:b/>
          <w:color w:val="000000"/>
          <w:sz w:val="20"/>
        </w:rPr>
        <w:t xml:space="preserve">DIVIDEND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never declared or paid any cash dividends on our capital stock and we do not currently intend to pay any cash dividends on our common stock in the foreseeable future. We expect to retain all available funds and future earnings, if any, to fund the development and growth of our business. Any future determination to pay dividends, if any, on our common stock will be at the discretion of our Board of Directors and will depend on, among other factors, our results of operations, financial condition, capital requirements and contractual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4684x4_424b5_106-use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sDIL"/>
      <w:bookmarkEnd w:id="27"/>
      <w:r>
        <w:rPr>
          <w:rFonts w:ascii="Times New Roman;Times;serif" w:hAnsi="Times New Roman;Times;serif"/>
          <w:b/>
          <w:color w:val="000000"/>
          <w:sz w:val="20"/>
        </w:rPr>
        <w:t xml:space="preserve">DILUTION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net tangible book value as of March 31, 2026 was approximately $27.0 million, or $4.619 per share. Net tangible book value per share is determined by dividing our total tangible assets, less total liabilities, by the number of shares of our common stock outstanding as of March 31, 2026. Dilution with respect to net tangible book value per share represents the difference between the amount per share paid by purchasers of shares of common stock in this offering and the net tangible book value per share of our common stock immediately after this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Subsequent to March 31, 2026, among other things, (i) we issued 1,333,334 shares of common stock or common stock equivalents and received aggregate gross proceeds of approximately $5.0 million on April 15, 2026 in connection with a private placement offering, (ii) we issued 2,942,000 shares of common stock or common stock equivalents and received gross proceeds of approximately $25.0 million on May 28, 2026 in connection with a private placement offering, (iii) we issued 4,306,465 shares of common stock and received aggregate gross proceeds of approximately $23.1 million in connection with sales pursuant to an at-the-market offering, (iv) we issued 1,807,942 shares of common stock and received gross proceeds of approximately $9.6 million in connection with the exercise of outstanding warrants, (v) we issued 751,903 shares of common stock upon conversion of convertible notes with aggregate amounts outstanding at the time of conversion of approximately $2.7 million, and (vi) we issued 1,851,852 shares of common stock and received aggregate gross proceeds of approximately $25.0 million on June 15, 2026 in connection with a registered direct offering. On a pro forma basis after giving effect to these transactions, as of March 31, 2026, our pro forma net tangible book value per share would have been $6.033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giving effect to the pro forma adjustments set forth above and to the sale of 7,455,268 shares of our common stock in this offering at an assumed offering price of $10.06 per share, which is the closing price of our common stock on Nasdaq on June 17, 2026, and after deducting the sales agent fees and estimated offering expenses payable by us, our pro forma as adjusted net tangible book value as of March 31, 2026 would have been approximately $186.3 million, or $7.085 per share. This represents an immediate increase in as adjusted net tangible book value of $1.053 per share to existing stockholders and an immediate dilution of $2.975 per share to new investors purchasing securities in this offering. The following table illustrates this per share dilution: </w:t>
      </w:r>
    </w:p>
    <w:tbl>
      <w:tblPr>
        <w:tblW w:w="9965" w:type="dxa"/>
        <w:jc w:val="left"/>
        <w:tblInd w:w="0" w:type="dxa"/>
        <w:tblLayout w:type="fixed"/>
        <w:tblCellMar>
          <w:top w:w="0" w:type="dxa"/>
          <w:left w:w="0" w:type="dxa"/>
          <w:bottom w:w="0" w:type="dxa"/>
          <w:right w:w="0" w:type="dxa"/>
        </w:tblCellMar>
      </w:tblPr>
      <w:tblGrid>
        <w:gridCol w:w="9035"/>
        <w:gridCol w:w="140"/>
        <w:gridCol w:w="140"/>
        <w:gridCol w:w="650"/>
      </w:tblGrid>
      <w:tr>
        <w:trPr/>
        <w:tc>
          <w:tcPr>
            <w:tcW w:w="90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r>
        <w:trPr/>
        <w:tc>
          <w:tcPr>
            <w:tcW w:w="9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Assumed public offering price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9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Historical net tangible book value as of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$4.619 </w:t>
            </w:r>
          </w:p>
        </w:tc>
      </w:tr>
      <w:tr>
        <w:trPr/>
        <w:tc>
          <w:tcPr>
            <w:tcW w:w="9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net tangible book value per share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$6.033 </w:t>
            </w:r>
          </w:p>
        </w:tc>
      </w:tr>
      <w:tr>
        <w:trPr/>
        <w:tc>
          <w:tcPr>
            <w:tcW w:w="9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 in adjusted net tangible book value per share attributable to 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 </w:t>
            </w:r>
          </w:p>
        </w:tc>
      </w:tr>
      <w:tr>
        <w:trPr/>
        <w:tc>
          <w:tcPr>
            <w:tcW w:w="903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 forma as adjusted net tangible book value per share as of March 31, 2026, after giving effect to this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$7.085 </w:t>
            </w:r>
          </w:p>
        </w:tc>
      </w:tr>
      <w:tr>
        <w:trPr/>
        <w:tc>
          <w:tcPr>
            <w:tcW w:w="9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per share to new investors purchasing our common stock in 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$2.975</w:t>
            </w:r>
          </w:p>
        </w:tc>
      </w:tr>
      <w:tr>
        <w:trPr/>
        <w:tc>
          <w:tcPr>
            <w:tcW w:w="9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and discussion above is based on 5,840,006 shares of Common Stock issued and outstanding as of March 31, 2026 and excludes, as of March 31, 2026: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501,162 shares of Common Stock issuable upon the exercise of outstanding Common Stock purchase warrants, with exercise prices ranging from $4.1250 to $158.0618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29 shares of Common Stock issuable upon the exercise of outstanding options to purchase the Common Stock granted under the Prior Stock Plans;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125,707 shares of Common Stock subject to unvested restricted stock units, 936 shares of Common Stock subject to vested deferred restricted stock units, 2,395 shares of Common Stock issuable upon the exercise of outstanding options to purchase the Common Stock, and 56,470 shares of the Common Stock reserved for future grants under the 2021 Plan, the 2022 Plan and the ESPP.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above illustration of dilution per share to investors participating in this offering assumes no exercise of outstanding options to purchase our common stock or outstanding warrants to purchase shares of our common stock. To the extent that any of these outstanding options or warrants are exercised or we issue additional shares under our equity incentive plans,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4684x4_424b5_107-plan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 w:name="sPOD1"/>
      <w:bookmarkEnd w:id="29"/>
      <w:r>
        <w:rPr>
          <w:rFonts w:ascii="Times New Roman;Times;serif" w:hAnsi="Times New Roman;Times;serif"/>
          <w:b/>
          <w:color w:val="000000"/>
          <w:sz w:val="20"/>
        </w:rPr>
        <w:t xml:space="preserve">PLAN OF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entered into the Sales Agreement with A.G.P. under which we may issue and sell from time-to-time shares of our common stock having an aggregate offering price of up to $75,000,000 to or through A.G.P., acting as our sales agent or principal. The sales of shares of our common stock, if any, under this prospectus supplement will be made at market prices by any method deemed to be an “at the market offering” as defined in Rule 415(a)(4) under the Securities Act, including sales made directly on Nasdaq, on any other existing trading market for our common stock or to or through a market maker. If we and A.G.P. agree on any method of distribution other than sales of our common stock on or through Nasdaq or another existing trading market in the United States at market prices, we will file an additional prospectus supplement to provide information about any such methods of distribution as required by Rule 424(b) under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time that we wish to issue and sell shares of our common stock under the Sales Agreement, we will provide the Sales Agent with a placement notice describing the amount of shares to be sold, the time period during which sales are requested to be made, any limitation on the amount of shares of our common stock that may be sold in any single day, any minimum price below which sales may not be made or any minimum price requested for sales in a given time period and any other instructions relevant to such requested sales. Upon receipt of a placement notice, the Sales Agent, acting as our sales agent, will use commercially reasonable efforts, consistent with its normal trading and sales practices and applicable state and federal laws, rules and regulations and the rules of Nasdaq, to sell shares of our common stock under the terms and subject to the conditions of the placement notice and the sales agreement. We or the Sales Agent may suspend the offering of shares of our common stock pursuant to a placement notice upon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Settlement for sales of shares of common stock, unless the parties agree otherwise, will occur on the first trading day following the date on which any sales are made in return for payment of the net proceeds to us. There are no arrangements to place any of the proceeds of this offering in an escrow, trust or similar account. Sales of shares of our common stock as contemplated in this prospectus will be settled through the facilities of The Depository Trust Company or by such other means as we and the Sales Agent may agree upon.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Sales Agent will be entitled to compensation at a fixed commission rate of 3.0% of the gross proceeds from the sale of shares of our common stock on our behalf pursuant to the sales agreement. Pursuant to the terms of the sales agreement, we agreed to reimburse the Sales Agent for the documented fees and costs of its legal counsel reasonably incurred in connection with entering into the transactions contemplated by the Sales Agreement in an amount not to exceed $50,000 in the aggregate, in addition to up to $10,000 annually for the Sales Agent’s counsel’s fees and any incidental expenses to be reimbursed by us. We will report at least quarterly the number of shares of common stock sold through the Sales Agent under the Sales Agreement, the net proceeds to us and the compensation paid by us to the Sales Agent in connection with the sales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estimate that the total expenses for this offering, excluding compensation payable to the Sales Agent and certain expenses reimbursable to the Sales Agent under the terms of the Sales Agreement, will be approximately $2,250,000. The remaining sales proceeds, after deducting any expenses payable by us and any transaction fees imposed by any governmental, regulatory, or self-regulatory organization in connection with the sales, will equal our net proceeds for the sale of such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there are no minimum sale requirements as a condition to this offering, the actual total public offering price, commissions and net proceeds to us, if any, are not determinable at this time. The actual dollar amount and number of shares of common stock we sell through this prospectus will be dependent, among other things, on market conditions and our capital raising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shares of common stock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against certain civil liabilities, including liabilities under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Sales Agent will not engage in any market making activities involving shares of our common stock while the offering is ongoing under this prospectus if such activity would be prohibited under Regulation M or other anti-manipulation rules under the Securities Act. As our sales agent, the Sales Agent will not engage in any transactions that stabilizes shares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4684x4_424b5_107-plan_pg2"/>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offering pursuant to the Sales Agreement will terminate upon the earlier of (i) the sale of all shares of common stock subject to the sales agreement and (ii) termination of the sales agreement as permitted therein. We may terminate the sales agreement in our sole discretion at any time by giving one (1) day’s prior notice to the Sales Agent. The Sales Agent may terminate the Sales Agreement under the circumstances specified in the sales agreement and in its sole discretion at any time by giving five (5) days’ prior notice to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may be made available in electronic format on a website maintained by the Sales Agent, and the Sales Agent may distribute this prospectus electronically.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Regulation 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our common stock on our behalf, A.G.P. will be deemed to be an “underwriter” within the meaning of the Securities Act, and the compensation of A.G.P. will be deemed to be underwriting commissions or discounts.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A.G.P. will not engage in any market making activities involving our common stock while the offering is ongoing under this prospectus supplement if such activity would be prohibited under Regulation M or other anti-manipulation rules under the Exchange Act or the Securities Act. As our sales agent, A.G.P. will not engage in any transactions that stabilizes our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indemnify A.G.P. against certain civil liabilities, including liabilities under the Securities Act and the Exchange Act, and to contribute to payments that the A.G.P. may be required to make in respect of such liabilities.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“MNTS.”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Relationships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ordinary course of its business activities, A.G.P. and its affiliates may make or hold a broad array of investments and actively trade debt and equity securities (or related derivative securities) and financial instruments (including bank loans) for its own account and for the accounts of its customers. Such investments and securities activities may involve securities and/or instruments of ours or our affiliates.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Agent and its affiliates may in the future provide various investment banking, commercial banking, financial advisory, and other financial services for us and our affiliates, for which services they may in the future receive customary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11, 2023, we closed an offering of Common Stock and warrants in which we raised approximately $5,000,000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4, 2023,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9, 2023, we closed a warrant inducement offering in which we raised approximately $6,500,000 of gross proceeds. A.G.P./Alliance Global Partners served as the exclusive financial advisor in connection with the warrant inducement offering and received a cash fee equal to 7.0%. In addition, we reimbursed A.G.P./Alliance Global Partners at the closing of the warrant inducement offering $60,000 for legal expenses incurred by them in connection with the warrant inducement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17, 2024,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4684x4_424b5_107-plan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7, 2024,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17, 2024, we closed an offering of Common Stock and warrants in which we raised approximately $2,750,000 of gross proceeds. A.G.P./Alliance Global Partners served as our exclusive placement agent in connection with the offering and received a cash fee equal to 7.0% and warrants to purchase 500,000 shares of Common Stock at an exercise price of $0.6325. In addition, we reimbursed A.G.P./Alliance Global Partners at the closing of the offering $125,000 for legal expenses incurred by them in connection with the offering and $10,000 for non-accountable expense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13, 2024, we entered into a Loan Agreement (the “December 2024 Loan Agreement”) with J.J. Astor &amp; Co. (the “Lender”) pursuant to which we borrowed $2.0 million. A.G.P./Alliance Global Partners served as our financial advisor in connection with the Loan Agreement and received a cash fee equal to 7.5% of the loan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18, 2024, we closed an offering of Common Stock and warrants in which we raised approximately $5,000,000 of gross proceeds. A.G.P./Alliance Global Partners served as our exclusive placement agent in connection with the offering and received a cash fee equal to 7.0% and warrants to purchase 40,000 shares of Common Stock at an exercise price of $6.82. In addition, we reimbursed A.G.P./Alliance Global Partners at the closing of the offering $95,000 for legal expenses incurred by them in connection with the offering and $10,000 for non-accountable expense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11, 2025, we closed an offering of Common Stock and warrants in which we raised approximately $5,000,000 of gross proceeds. A.G.P./Alliance Global Partners served as our exclusive placement agent in connection with the offering and received a cash fee equal to 7.0% and warrants to purchase 63,694 shares of Common Stock at an exercise price of $4.3175. In addition, we reimbursed A.G.P./Alliance Global Partners at the closing of the offering $95,000 for legal expenses incurred by them in connection with the offering and $10,000 for non-accountable expense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20, 2025, we closed a warrant inducement offering (the “Inducement Warrants”) in which we raised approximately $2.07 million of gross proceeds. A.G.P./Alliance Global Partners served as the exclusive financial advisor in connection with the warrant inducement offering and received a cash fee equal to approximately $145,000. In addition, we reimbursed A.G.P./Alliance Global Partners at the closing of the warrant inducement offering $35,000 for legal expenses incurred by them in connection with the warrant inducement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12, 2025, we entered into the Master Services Agreement with Velo3D, Inc. A.G.P./Alliance Global Partners served as the exclusive financial advisor in connection with the Master Services Agreement, and agreed to receive a fee equal to 8.0% of the transaction price in the form of a convertible note in the principal amount of $1,200,000 (the “Original Convertible Promissory Note”). On June 17, 2025, we executed an agreement with A.G.P./Alliance Global Partners that amended the Original Convertible Promissory Note that provides that upon the commencement of sales in this offering, the Original Convertible Promissory Note will be null and void and a new convertible note in the principal amount of $500,000 (the “New Convertible Note”) shall be issued by us to A.G.P./Alliance Global Partners and A.G.P./Alliance Global Partners shall have no recourse against us for the $700,000 of principal that it will no longer receive pursuant to the terms of the Original Convertible Promissory Note. The New Convertible Note shall mature 18 months after issuance and be convertible into shares of our common stock at a conversion price of $1.67 per share. Pursuant to FINRA Rule 5110(g)(1), neither the New Convertible Note nor any shares issued upon conversion of the New Convertible Note shall be sold, transferred, assigned, pledged, or hypothecated, or be the subject of any hedging, short sale, derivative, put, or call transaction that would result in the effective economic disposition of the securities by any person for a period of 180 days immediately following the issuance date of the New Convertible Note. We have agreed to file one or more registration statements to register the resale of all securities issuable upon conversion of the New Convertible Note, only one of which shall be at our expense and demand may be made after issuance until the maturity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30, 2025, we entered into a private placement for a loan in the principal amount of $1,500,000, as amended on June 17, 2025. A.G.P./Alliance Global Partners served as the exclusive financial advisor in connection with the private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4684x4_424b5_107-plan_pg4"/>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placement pursuant to which we issued to the lender a note in the principal amount of $1,012,500 and A.G.P./Alliance Global Partners will receive a $75,000 cash fee. In addition, when the second tranche of notes is issued to the lender A.G.P./Alliance Global Partners will receive an additional cash fee of $75,000.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 2025,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$105,000 for legal expenses incurred by them in connection with the offering reimbursement.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2025, we entered into a warrant inducement agreement (the “August 2025 Inducement Agreement”) with a holder of certain existing warrants to purchase shares of our Class A common stock. Pursuant to the August 2025 Inducement Agreement, the holder agreed to exercise for cash warrants to purchase an aggregate of 2,431,029 shares of Common Stock at an exercise price of $1.11 per share, which was the closing price of our Common Stock on the Nasdaq Capital Market on August 12, 2025. Prior to entering into the August 2025 Inducement Agreement, 1,157,143 of the existing warrants were immediately exercisable at an exercise price of $1.41 per share and 1,273,886 of the existing warrants were exercisable at an exercise price of $3.80 per share. We received aggregate gross proceeds of approximately $2.7 million from the exercise of the existing warrants before deducting financial advisory fees and other expenses. In consideration of the holder’s agreement to exercise the existing warrants, we agreed to issue new inducement warrants to purchase up to 4,862,058 shares of Common Stock, equal to 200% of the number of shares issued upon exercise of the existing warrants. A.G.P./Alliance Global Partners served as the exclusive financial advisor in connection with the warrant inducement offering and received a cash fee equal to approximately $188,890. In addition, we reimbursed A.G.P./Alliance Global Partners at the closing of the offering up to $35,000 for legal expenses incurred by them in connection with the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19, 2025, we entered into a Sales Agreement (the “ATM Sales Agreement”) with A.G.P./Alliance Global Partners (the “Agent”), pursuant to which we may sell, from time to time, at our option, up to $7,350,000 in aggregate principal amount of shares of our Class A common stock through the Agent, as our sales agent, in an at-the-market offering. The ATM Sales Agreement became effective upon the SEC declaring our Registration Statement on Form S-3 (File No. 333-290425) effective on September 30, 2025. A.G.P./Alliance Global Partners served as our exclusive sales agent in connection with the at-the-market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30, 2025, we entered into a General Release and Settlement Agreement (the “Settlement Agreement”) with Baker &amp; McKenzie LLP (“B&amp;M”) to settle total outstanding debt of $1,122,171 owed by us to B&amp;M as of the settlement date. Pursuant to the Settlement Agreement, we agreed to pay B&amp;M $50,000 in cash and to issue a combination of shares of our Class A common stock and pre-funded warrants with an aggregate value of $1,072,171. We issued to B&amp;M 580,594 shares of Common Stock and pre-funded warrants to purchase 342,895 shares of Common Stock. The Common Stock was issued at a 10% discount to the five-day volume weighted average price per share as of the trading day immediately prior to the issuance date, which was $1.161 per share as of the settlement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14, 2025, we entered into a warrant inducement agreement (the “October 2025 Inducement Agreement”) with a holder of certain existing warrants to purchase shares of our Class A common stock. Pursuant to the October 2025 Inducement Agreement, the holder agreed to exercise for cash (i) warrants issued on March 21, 2025 to purchase 2,142,858 shares of Common Stock at an exercise price of $1.43 per share and (ii) warrants issued on July 1, 2025 to purchase 2,836,880 shares of Common Stock at an exercise price of $1.41 per share. Prior to entering into the October 2025 Inducement Agreement, the March 2025 warrants were immediately exercisable at an exercise price of $2.00 per share and the July 2025 warrants were immediately exercisable at an exercise price of $1.41 per share. We received aggregate gross proceeds of approximately $7 million from the exercise of the existing warrants before deducting financial advisory fees and other expenses. In consideration of the holder’s agreement to exercise the existing warrants, we agreed to issue new inducement warrants to purchase up to 7,469,607 shares of Common Stock, equal to 150% of the number of shares issued upon exercise of the existing warrants. A.G.P./Alliance Global Partners served as the exclusive financial advisor in connection with the warrant inducement offering and received a cash fee equal to approximately $494,500. In addition, we reimbursed A.G.P./Alliance Global Partners at the closing of the offering up to $35,000 for legal expenses incurred by them in connection with the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9, 2025, we entered into a warrant inducement agreement (the “December 2025 Inducement Agreement”) with a holder of certain existing warrants to purchase shares of our Class A common stock. Pursuant to the December 2025 Inducement Agreement, the holder agreed to exercise for cash existing warrants to purchase 4,862,058 shares of Common Stock at an exercise price of $0.77 per share, which was the closing price of our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4684x4_424b5_107-plan_pg5"/>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on the Nasdaq Capital Market on December 9, 2025. Prior to entering into the December 2025 Inducement Agreement, the existing warrants were immediately exercisable at an exercise price of $1.11 per share. We received aggregate gross proceeds of approximately $3.74 million from the exercise of the existing warrants before deducting financial advisory fees and other expenses. In consideration of the holder’s agreement to exercise the existing warrants, we agreed to issue new inducement warrants to purchase up to 7,293,087 shares of Common Stock, equal to 150% of the number of shares issued upon exercise of the existing warrants. We also agreed to reduce the exercise price of certain existing warrants to purchase up to 7,469,607 shares of Common Stock from $1.43 per share to $0.77 per share, subject to stockholder approval. A.G.P./Alliance Global Partners served as the exclusive financial advisor in connection with the warrant inducement offering and received a cash fee equal to approximately $262,060. In addition, we reimbursed A.G.P./Alliance Global Partners at the closing of the offering up to $35,000 for legal expenses incurred by them in connection with the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6, 2026, we closed a private placement of Common Stock and warrants in which we raised approximately $5,000,000 of gross proceeds. Pursuant to the Securities Purchase Agreement dated January 5, 2026, we issued pre-funded warrants to purchase 925,926 shares of our Class A common stock at a purchase price of $5.40 per share, and Class A common warrants to purchase up to an additional 925,926 shares of Common Stock at an exercise price of $5.40 per share. We also agreed to reduce the exercise price of certain existing October 2025 and December 2025 warrants covering an aggregate of 827,041 shares of Common Stock from $13.74 per share to $5.40 per share, subject to stockholder approval. A.G.P./Alliance Global Partners served as our exclusive placement agent in connection with the offering and received a cash fee equal to 7.0%. In addition, A.G.P./Alliance Global Partners received warrants to purchase 46,296 shares of Common Stock at an exercise price of $5.94 per share, exercisable 180 days from the date of commencement of sales.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we exchanged the outstanding unsecured convertible promissory note previously issued to A.G.P./Alliance Global Partners on June 30, 2025 (the “Original Note”) for a new unsecured convertible promissory note to A.G.P./Alliance Global Partners (the “Exchange Note”) on substantially the same terms as the Original Note. The Original Note had an aggregate principal amount of $500,000 and, following the 1-for-17.85 reverse stock split effected on December 17, 2025, carried a conversion price of $29.8095 per share of Common Stock. The Exchange Note has an aggregate principal amount of $500,000 and a revised conversion price of $10.00 per share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we closed a private placement of Common Stock and pre-funded warrants in which we raised approximately $5,000,000 of gross proceeds. Pursuant to the Securities Purchase Agreement dated April 14, 2026, we issued 450,000 shares of our Class A common stock at a purchase price of $3.75 per share and pre-funded warrants to purchase up to an additional 883,334 shares of Common Stock. A.G.P./Alliance Global Partners served as our exclusive placement agent in connection with the offering and received a cash fee equal to 7.0%. In addition, A.G.P./Alliance Global Partners received warrants to purchase 66,666 shares of Common Stock at an exercise price of $4.125 per share, exercisable 180 days from the date of commencement of sales.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28, 2026, we closed a private placement of Common Stock and pre-funded warrants in which we raised approximately $25,000,000 of gross proceeds. Pursuant to the Securities Purchase Agreement dated May 26, 2026, we issued 2,173,420 shares of our Class A common stock at a purchase price of $8.50 per share and pre-funded warrants to purchase up to an additional 768,580 shares of Common Stock. A.G.P./Alliance Global Partners served as our exclusive placement agent in connection with the offering and received a cash fee equal to 7.0%. In addition, A.G.P./Alliance Global Partners received warrants to purchase 147,100 shares of Common Stock at an exercise price of $9.35 per share, exercisable 180 days from the date of commencement of sales.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we closed a registered direct offering of Common Stock a in which we raised approximately $25,000,000 of gross proceeds. Pursuant to the Securities Purchase Agreement dated June 11, 2026, we issued 1,851,852 shares of our Class A common stock at a purchase price of $13.50 per share. A.G.P./Alliance Global Partners served as our exclusive placement agent in connection with the offering and received a cash fee equal to 7.0%. In addition, A.G.P./Alliance Global Partners received warrants to purchase 92,592 shares of Common Stock at an exercise price of $14.85 per share, exercisable 180 days from the date of commencement of sales.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4684x4_424b5_108-legal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 w:name="sLM"/>
      <w:bookmarkEnd w:id="35"/>
      <w:r>
        <w:rPr>
          <w:rFonts w:ascii="Times New Roman;Times;serif" w:hAnsi="Times New Roman;Times;serif"/>
          <w:b/>
          <w:color w:val="000000"/>
          <w:sz w:val="20"/>
        </w:rPr>
        <w:t xml:space="preserve">LEGAL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securities offered hereby will be passed upon for us by Bradley Arant Boult Cummings LLP. A.G.P./Alliance Global Partners is being represented in connection with this offering by Thompson Hine LLP. </w:t>
      </w:r>
    </w:p>
    <w:p>
      <w:pPr>
        <w:pStyle w:val="TextBody"/>
        <w:bidi w:val="0"/>
        <w:spacing w:before="410" w:after="283"/>
        <w:jc w:val="center"/>
        <w:rPr>
          <w:rFonts w:ascii="Times New Roman;Times;serif" w:hAnsi="Times New Roman;Times;serif"/>
          <w:b/>
          <w:color w:val="000000"/>
          <w:sz w:val="20"/>
        </w:rPr>
      </w:pPr>
      <w:bookmarkStart w:id="36" w:name="sEXP"/>
      <w:bookmarkEnd w:id="36"/>
      <w:r>
        <w:rPr>
          <w:rFonts w:ascii="Times New Roman;Times;serif" w:hAnsi="Times New Roman;Times;serif"/>
          <w:b/>
          <w:color w:val="000000"/>
          <w:sz w:val="20"/>
        </w:rPr>
        <w:t xml:space="preserve">EXPERTS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the Company and subsidiaries as of and for the year ended December 31, 2025, and 2024 incorporated by reference in this prospectus supplement,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 </w:t>
      </w:r>
    </w:p>
    <w:p>
      <w:pPr>
        <w:pStyle w:val="TextBody"/>
        <w:bidi w:val="0"/>
        <w:spacing w:before="410" w:after="283"/>
        <w:jc w:val="center"/>
        <w:rPr>
          <w:rFonts w:ascii="Times New Roman;Times;serif" w:hAnsi="Times New Roman;Times;serif"/>
          <w:b/>
          <w:color w:val="000000"/>
          <w:sz w:val="20"/>
        </w:rPr>
      </w:pPr>
      <w:bookmarkStart w:id="37" w:name="sWYC"/>
      <w:bookmarkEnd w:id="37"/>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Times;serif" w:hAnsi="Times New Roman;Times;serif"/>
          <w:i/>
          <w:color w:val="000000"/>
          <w:sz w:val="20"/>
        </w:rPr>
        <w:t>www.momentus.space</w:t>
      </w:r>
      <w:r>
        <w:rPr>
          <w:rFonts w:ascii="Times New Roman;Times;serif" w:hAnsi="Times New Roman;Times;serif"/>
          <w:color w:val="000000"/>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Momentus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John C. Rood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1762 Automation Parkway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Jose, CA 95131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564-7820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4684x4_424b5_108-legal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sIOC"/>
      <w:bookmarkEnd w:id="39"/>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incorporate by reference into this prospectus and the registration statement of which this prospectus is a part the information or documents listed below that we have filed with the SEC (Commission File No. 001-12584): </w:t>
      </w:r>
    </w:p>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fiscal year ended December 31, 2025, filed with the SEC on </w:t>
            </w:r>
            <w:hyperlink r:id="rId3">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 on Form 10-Q for the quarter ended March 31, 2026, filed with the SEC on </w:t>
            </w:r>
            <w:hyperlink r:id="rId4">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w:t>
            </w:r>
          </w:p>
        </w:tc>
      </w:tr>
    </w:tbl>
    <w:tbl>
      <w:tblPr>
        <w:tblW w:w="7255" w:type="dxa"/>
        <w:jc w:val="left"/>
        <w:tblInd w:w="0" w:type="dxa"/>
        <w:tblLayout w:type="fixed"/>
        <w:tblCellMar>
          <w:top w:w="0" w:type="dxa"/>
          <w:left w:w="0" w:type="dxa"/>
          <w:bottom w:w="0" w:type="dxa"/>
          <w:right w:w="0" w:type="dxa"/>
        </w:tblCellMar>
      </w:tblPr>
      <w:tblGrid>
        <w:gridCol w:w="110"/>
        <w:gridCol w:w="7145"/>
      </w:tblGrid>
      <w:tr>
        <w:trPr/>
        <w:tc>
          <w:tcPr>
            <w:tcW w:w="110" w:type="dxa"/>
            <w:tcBorders/>
            <w:vAlign w:val="center"/>
          </w:tcPr>
          <w:p>
            <w:pPr>
              <w:pStyle w:val="TableContents"/>
              <w:bidi w:val="0"/>
              <w:spacing w:before="0" w:after="0"/>
              <w:jc w:val="left"/>
              <w:rPr>
                <w:color w:val="000000"/>
              </w:rPr>
            </w:pPr>
            <w:r>
              <w:rPr>
                <w:color w:val="000000"/>
              </w:rPr>
              <w:t>•</w:t>
            </w:r>
          </w:p>
        </w:tc>
        <w:tc>
          <w:tcPr>
            <w:tcW w:w="7145" w:type="dxa"/>
            <w:tcBorders/>
            <w:vAlign w:val="center"/>
          </w:tcPr>
          <w:p>
            <w:pPr>
              <w:pStyle w:val="TableContents"/>
              <w:bidi w:val="0"/>
              <w:spacing w:before="0" w:after="0"/>
              <w:jc w:val="left"/>
              <w:rPr/>
            </w:pPr>
            <w:r>
              <w:rPr>
                <w:rFonts w:ascii="Times New Roman;Times;serif" w:hAnsi="Times New Roman;Times;serif"/>
                <w:color w:val="000000"/>
                <w:sz w:val="20"/>
              </w:rPr>
              <w:t xml:space="preserve">our Definitive Proxy Statement on Schedule 14A, filed with the SEC on </w:t>
            </w:r>
            <w:hyperlink r:id="rId5">
              <w:r>
                <w:rPr>
                  <w:rStyle w:val="InternetLink"/>
                  <w:rFonts w:ascii="Times New Roman;Times;serif" w:hAnsi="Times New Roman;Times;serif"/>
                  <w:color w:val="000080"/>
                  <w:sz w:val="20"/>
                </w:rPr>
                <w:t>April 10,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contained in Exhibit 4.19 to our Registration Statement on Form S-1, as filed with the SEC on </w:t>
            </w:r>
            <w:hyperlink r:id="rId6">
              <w:r>
                <w:rPr>
                  <w:rStyle w:val="InternetLink"/>
                  <w:rFonts w:ascii="Times New Roman;Times;serif" w:hAnsi="Times New Roman;Times;serif"/>
                  <w:color w:val="000080"/>
                  <w:sz w:val="20"/>
                </w:rPr>
                <w:t>April 21, 2025</w:t>
              </w:r>
            </w:hyperlink>
            <w:r>
              <w:rPr>
                <w:rFonts w:ascii="Times New Roman;Times;serif" w:hAnsi="Times New Roman;Times;serif"/>
                <w:color w:val="000000"/>
                <w:sz w:val="20"/>
              </w:rPr>
              <w:t xml:space="preserve">, and including any further amendment or report filed for the purpose of updating such description;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filed on Form 8-K with the SEC on </w:t>
            </w:r>
            <w:hyperlink r:id="rId7">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January 13,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February 12, 2026</w:t>
              </w:r>
            </w:hyperlink>
            <w:r>
              <w:rPr>
                <w:rFonts w:ascii="Times New Roman;Times;serif" w:hAnsi="Times New Roman;Times;serif"/>
                <w:color w:val="000000"/>
                <w:sz w:val="20"/>
              </w:rPr>
              <w:t xml:space="preserve">, </w:t>
            </w:r>
            <w:hyperlink r:id="rId10">
              <w:r>
                <w:rPr>
                  <w:rStyle w:val="InternetLink"/>
                  <w:rFonts w:ascii="Times New Roman;Times;serif" w:hAnsi="Times New Roman;Times;serif"/>
                  <w:color w:val="000080"/>
                  <w:sz w:val="20"/>
                </w:rPr>
                <w:t>February 20, 2026</w:t>
              </w:r>
            </w:hyperlink>
            <w:r>
              <w:rPr>
                <w:rFonts w:ascii="Times New Roman;Times;serif" w:hAnsi="Times New Roman;Times;serif"/>
                <w:color w:val="000000"/>
                <w:sz w:val="20"/>
              </w:rPr>
              <w:t>,</w:t>
            </w:r>
            <w:hyperlink r:id="rId11">
              <w:r>
                <w:rPr>
                  <w:rStyle w:val="InternetLink"/>
                  <w:rFonts w:ascii="Times New Roman;Times;serif" w:hAnsi="Times New Roman;Times;serif"/>
                  <w:color w:val="000080"/>
                  <w:sz w:val="20"/>
                </w:rPr>
                <w:t xml:space="preserve"> April 13, 2026</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April 16, 2026</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April 20,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May 5,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May 22, 2026</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May 29, 2026</w:t>
              </w:r>
            </w:hyperlink>
            <w:r>
              <w:rPr>
                <w:rFonts w:ascii="Times New Roman;Times;serif" w:hAnsi="Times New Roman;Times;serif"/>
                <w:color w:val="000000"/>
                <w:sz w:val="20"/>
              </w:rPr>
              <w:t xml:space="preserve"> and </w:t>
            </w:r>
            <w:hyperlink r:id="rId17">
              <w:r>
                <w:rPr>
                  <w:rStyle w:val="InternetLink"/>
                  <w:rFonts w:ascii="Times New Roman;Times;serif" w:hAnsi="Times New Roman;Times;serif"/>
                  <w:color w:val="000080"/>
                  <w:sz w:val="20"/>
                </w:rPr>
                <w:t>June 15, 2026</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reports and other documents that we file with the SEC under Sections 13(a), 13(c), 14, or 15(d) of the Exchange Act on or after the date of the filing of the registration statement of which this prospectus supplement forms a part and prior to effectiveness of the registration statement, and on or after the date of this prospectus supplement but before the termination of the offering of the securities hereunder will also be considered to be incorporated by reference into this prospectus supplement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supplement,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above.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4684x4_424b5_201-cov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285" w:after="283"/>
        <w:jc w:val="center"/>
        <w:rPr>
          <w:color w:val="000000"/>
        </w:rPr>
      </w:pPr>
      <w:r>
        <w:rPr>
          <w:color w:val="000000"/>
        </w:rPr>
        <w:drawing>
          <wp:inline distT="0" distB="0" distL="0" distR="0">
            <wp:extent cx="1314450" cy="1200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314450" cy="1200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4"/>
        </w:rPr>
      </w:pPr>
      <w:r>
        <w:rPr>
          <w:rFonts w:ascii="Times New Roman;Times;serif" w:hAnsi="Times New Roman;Times;serif"/>
          <w:b/>
          <w:color w:val="000000"/>
          <w:sz w:val="24"/>
        </w:rPr>
        <w:t>MOMENTUS INC.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$200,000,000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Preferred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Debt Securities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Warrants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Units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Offered, from time to time, by Momentus Inc.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Up to 3,089,100 Shares of 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Offered by the Selling Stockholders </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We may, from time to time, offer and sell up to $200,000,000 of any combination of our Class A common stock, par value $0.00001 (the “common stock” or “Common Stock”), preferred stock, par value $0.00001 (the “preferred stock”), debt securities, warrants or units described in this prospectus, either individually or in combination with other securities, at prices and on terms described in one or more supplements to this prospectus. We may also offer common stock or preferred stock upon conversion of debt securities, common stock upon conversion of preferred stock, or common stock, preferred stock, or debt securities upon the exercise of warrants.</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 xml:space="preserve">This prospectus also relates to the offer and sale from time-to-time of up to 3,089,100 shares of Common Stock by the Selling Stockholders identified in this prospectus or their permitted transferees (collectively, the “Selling Stockholders”). The shares of Common Stock registered for resale pursuant to this prospectus consist of (i) 2,173,420 shares of Common Stock (the “Private Placement Shares”) issued to the Selling Stockholders pursuant to the Securities Purchase Agreement dated May 26, 2026 (the “May 2026 SPA”); (ii) 768,580 shares of Common Stock (the “Pre-Funded Warrant Shares”) issuable upon the exercise of certain pre-funded warrants issued to the Selling Stockholders on May 28, 2026 (the “Pre-Funded Warrants”); and (iii) 147,100 shares of Common Stock (the “PA Warrant Shares” and, together with the Private Placement Shares, and Pre-Funded Warrant Shares, the “Shares”) issuable upon exercise of certain warrants issued to the Selling Stockholders on May 28, 2026 (the “PA Warrants“ and, together with the Pre-Funded Warrants, the “Warrants”). </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 xml:space="preserve">This prospectus provides you with a general description of the securities that we may offer. 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Securities may be sold by us to or through underwriters or dealers, directly to purchasers or through agents designated from time to time. For additional information on the methods of sale, you should refer to the section entitled “Plan of Distribution” in this prospectus and in the applicable prospectus supplement.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to the public of such securities and the net proceeds we expect to receive from such sale will also be set forth in a prospectus supplement. No securities may be sold without delivery of this prospectus and the applicable prospectus supplement describing the method and terms of the offering of such securities.</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Sales of the Shares by the Selling Stockholders may occur at fixed prices, at market prices prevailing at the time of sale, at prices related to the prevailing market or at negotiated prices. The Selling Stockholders may sell shares to or through underwriters, broker-dealer or agents, who may receive compensation in the form of discounts, concessions or commissions from the Selling Stockholders, the purchasers of the shares, or both.</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 xml:space="preserve">We will not receive any of the proceeds from such sales of the shares of Common Stock by the Selling Stockholders. We will bear all costs, expenses and fees in connection with the registration of these securities, including with regard to compliance with state securities or “blue sky” laws. The Selling Stockholders will bear all commissions and discounts, if any, attributable to its sale of shares of Common Stock. See “Plan of Distribution” of this prospectus. </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 xml:space="preserve">Our common stock is listed on The Nasdaq Stock Market LLC (“Nasdaq”) under the symbol “MNTS.” On May 29, 2026, the last reported sale price of our common stock on Nasdaq was $16.85 per share. The applicable prospectus supplement will contain information, where applicable, as to any other listing, if any, on any securities market or other exchange of the specific security covered by such prospectus supplement. </w:t>
      </w:r>
    </w:p>
    <w:p>
      <w:pPr>
        <w:pStyle w:val="TextBody"/>
        <w:bidi w:val="0"/>
        <w:spacing w:lineRule="atLeast" w:line="194" w:before="6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 xml:space="preserve">As of the date of this prospectus, the aggregate market value of our outstanding common stock held by non-affiliates is approximately $315 million, which is calculated based on 16,153,355 shares of our outstanding common stock held by non-affiliates and a price of $19.50 per share, the closing price of our common stock on May 27, 2026, which is the highest closing price of our common stock on Nasdaq within the prior 60 days of this prospectus. </w:t>
      </w:r>
    </w:p>
    <w:p>
      <w:pPr>
        <w:pStyle w:val="TextBody"/>
        <w:bidi w:val="0"/>
        <w:spacing w:lineRule="atLeast" w:line="184" w:before="60" w:after="283"/>
        <w:ind w:left="0" w:right="0" w:hanging="0"/>
        <w:jc w:val="both"/>
        <w:rPr/>
      </w:pPr>
      <w:r>
        <w:rPr>
          <w:rFonts w:ascii="Times New Roman;Times;serif" w:hAnsi="Times New Roman;Times;serif"/>
          <w:b/>
          <w:color w:val="000000"/>
          <w:sz w:val="17"/>
        </w:rPr>
        <w:t xml:space="preserve">Investing in our securities involves a high degree of risk. You should review carefully the risks and uncertainties described under the heading “Risk Factors” beginning on page </w:t>
      </w:r>
      <w:hyperlink w:anchor="tRF">
        <w:r>
          <w:rPr>
            <w:rStyle w:val="InternetLink"/>
          </w:rPr>
          <w:t>8</w:t>
        </w:r>
      </w:hyperlink>
      <w:r>
        <w:rPr>
          <w:rFonts w:ascii="Times New Roman;Times;serif" w:hAnsi="Times New Roman;Times;serif"/>
          <w:b/>
          <w:color w:val="000000"/>
          <w:sz w:val="17"/>
        </w:rPr>
        <w:t xml:space="preserve"> of this prospectus and contained in the applicable prospectus supplement and in any free writing prospectuses we have authorized for use in connection with a specific offering, and under similar headings in the other documents that are incorporated by reference into this prospectus. </w:t>
      </w:r>
    </w:p>
    <w:p>
      <w:pPr>
        <w:pStyle w:val="TextBody"/>
        <w:bidi w:val="0"/>
        <w:spacing w:lineRule="atLeast" w:line="184" w:before="60" w:after="283"/>
        <w:ind w:left="0" w:right="0" w:hanging="0"/>
        <w:jc w:val="both"/>
        <w:rPr>
          <w:rFonts w:ascii="Times New Roman;Times;serif" w:hAnsi="Times New Roman;Times;serif"/>
          <w:b/>
          <w:color w:val="000000"/>
          <w:sz w:val="17"/>
        </w:rPr>
      </w:pPr>
      <w:r>
        <w:rPr>
          <w:rFonts w:ascii="Times New Roman;Times;serif" w:hAnsi="Times New Roman;Times;serif"/>
          <w:b/>
          <w:color w:val="000000"/>
          <w:sz w:val="17"/>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74" w:after="283"/>
        <w:jc w:val="center"/>
        <w:rPr>
          <w:rFonts w:ascii="Times New Roman;Times;serif" w:hAnsi="Times New Roman;Times;serif"/>
          <w:b/>
          <w:color w:val="000000"/>
          <w:sz w:val="17"/>
        </w:rPr>
      </w:pPr>
      <w:r>
        <w:rPr>
          <w:rFonts w:ascii="Times New Roman;Times;serif" w:hAnsi="Times New Roman;Times;serif"/>
          <w:b/>
          <w:color w:val="000000"/>
          <w:sz w:val="17"/>
        </w:rPr>
        <w:t>The date of this prospectus is June 4,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4684x4_424b5_202-toc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4835" w:type="dxa"/>
        <w:jc w:val="left"/>
        <w:tblInd w:w="0" w:type="dxa"/>
        <w:tblLayout w:type="fixed"/>
        <w:tblCellMar>
          <w:top w:w="0" w:type="dxa"/>
          <w:left w:w="0" w:type="dxa"/>
          <w:bottom w:w="0" w:type="dxa"/>
          <w:right w:w="0" w:type="dxa"/>
        </w:tblCellMar>
      </w:tblPr>
      <w:tblGrid>
        <w:gridCol w:w="4115"/>
        <w:gridCol w:w="140"/>
        <w:gridCol w:w="140"/>
        <w:gridCol w:w="440"/>
      </w:tblGrid>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411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ii</w:t>
              </w:r>
            </w:hyperlink>
          </w:p>
        </w:tc>
      </w:tr>
      <w:tr>
        <w:trPr/>
        <w:tc>
          <w:tcPr>
            <w:tcW w:w="411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olor w:val="000000"/>
                  <w:sz w:val="20"/>
                </w:rPr>
                <w:t>1</w:t>
              </w:r>
            </w:hyperlink>
          </w:p>
        </w:tc>
      </w:tr>
      <w:tr>
        <w:trPr/>
        <w:tc>
          <w:tcPr>
            <w:tcW w:w="411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8</w:t>
              </w:r>
            </w:hyperlink>
          </w:p>
        </w:tc>
      </w:tr>
      <w:tr>
        <w:trPr/>
        <w:tc>
          <w:tcPr>
            <w:tcW w:w="4115"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9</w:t>
              </w:r>
            </w:hyperlink>
          </w:p>
        </w:tc>
      </w:tr>
      <w:tr>
        <w:trPr/>
        <w:tc>
          <w:tcPr>
            <w:tcW w:w="411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10</w:t>
              </w:r>
            </w:hyperlink>
          </w:p>
        </w:tc>
      </w:tr>
      <w:tr>
        <w:trPr/>
        <w:tc>
          <w:tcPr>
            <w:tcW w:w="411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C">
              <w:r>
                <w:rPr>
                  <w:rStyle w:val="InternetLink"/>
                  <w:rFonts w:ascii="Times New Roman;Times;serif" w:hAnsi="Times New Roman;Times;serif"/>
                  <w:color w:val="000000"/>
                  <w:sz w:val="20"/>
                </w:rPr>
                <w:t>11</w:t>
              </w:r>
            </w:hyperlink>
          </w:p>
        </w:tc>
      </w:tr>
      <w:tr>
        <w:trPr/>
        <w:tc>
          <w:tcPr>
            <w:tcW w:w="411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OD">
              <w:r>
                <w:rPr>
                  <w:rStyle w:val="InternetLink"/>
                  <w:rFonts w:ascii="Times New Roman;Times;serif" w:hAnsi="Times New Roman;Times;serif"/>
                  <w:color w:val="000000"/>
                  <w:sz w:val="20"/>
                </w:rPr>
                <w:t>16</w:t>
              </w:r>
            </w:hyperlink>
          </w:p>
        </w:tc>
      </w:tr>
      <w:tr>
        <w:trPr/>
        <w:tc>
          <w:tcPr>
            <w:tcW w:w="4115" w:type="dxa"/>
            <w:tcBorders/>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W">
              <w:r>
                <w:rPr>
                  <w:rStyle w:val="InternetLink"/>
                  <w:rFonts w:ascii="Times New Roman;Times;serif" w:hAnsi="Times New Roman;Times;serif"/>
                  <w:color w:val="000000"/>
                  <w:sz w:val="20"/>
                </w:rPr>
                <w:t>22</w:t>
              </w:r>
            </w:hyperlink>
          </w:p>
        </w:tc>
      </w:tr>
      <w:tr>
        <w:trPr/>
        <w:tc>
          <w:tcPr>
            <w:tcW w:w="4115" w:type="dxa"/>
            <w:tcBorders/>
            <w:shd w:fill="CCEEFF" w:val="clear"/>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OU">
              <w:r>
                <w:rPr>
                  <w:rStyle w:val="InternetLink"/>
                  <w:rFonts w:ascii="Times New Roman;Times;serif" w:hAnsi="Times New Roman;Times;serif"/>
                  <w:color w:val="000000"/>
                  <w:sz w:val="20"/>
                </w:rPr>
                <w:t>24</w:t>
              </w:r>
            </w:hyperlink>
          </w:p>
        </w:tc>
      </w:tr>
      <w:tr>
        <w:trPr/>
        <w:tc>
          <w:tcPr>
            <w:tcW w:w="4115" w:type="dxa"/>
            <w:tcBorders/>
            <w:vAlign w:val="center"/>
          </w:tcPr>
          <w:p>
            <w:pPr>
              <w:pStyle w:val="TableContents"/>
              <w:bidi w:val="0"/>
              <w:spacing w:before="0" w:after="283"/>
              <w:ind w:left="0" w:right="0" w:hanging="0"/>
              <w:jc w:val="left"/>
              <w:rPr/>
            </w:pPr>
            <w:hyperlink w:anchor="tLOO">
              <w:r>
                <w:rPr>
                  <w:rStyle w:val="InternetLink"/>
                  <w:rFonts w:ascii="Times New Roman;Times;serif" w:hAnsi="Times New Roman;Times;serif"/>
                  <w:color w:val="000000"/>
                  <w:sz w:val="20"/>
                </w:rPr>
                <w:t>Legal Ownership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OO">
              <w:r>
                <w:rPr>
                  <w:rStyle w:val="InternetLink"/>
                  <w:rFonts w:ascii="Times New Roman;Times;serif" w:hAnsi="Times New Roman;Times;serif"/>
                  <w:color w:val="000000"/>
                  <w:sz w:val="20"/>
                </w:rPr>
                <w:t>25</w:t>
              </w:r>
            </w:hyperlink>
          </w:p>
        </w:tc>
      </w:tr>
      <w:tr>
        <w:trPr/>
        <w:tc>
          <w:tcPr>
            <w:tcW w:w="4115"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S">
              <w:r>
                <w:rPr>
                  <w:rStyle w:val="InternetLink"/>
                  <w:rFonts w:ascii="Times New Roman;Times;serif" w:hAnsi="Times New Roman;Times;serif"/>
                  <w:color w:val="000000"/>
                  <w:sz w:val="20"/>
                </w:rPr>
                <w:t>28</w:t>
              </w:r>
            </w:hyperlink>
          </w:p>
        </w:tc>
      </w:tr>
      <w:tr>
        <w:trPr/>
        <w:tc>
          <w:tcPr>
            <w:tcW w:w="411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30</w:t>
              </w:r>
            </w:hyperlink>
          </w:p>
        </w:tc>
      </w:tr>
      <w:tr>
        <w:trPr/>
        <w:tc>
          <w:tcPr>
            <w:tcW w:w="411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33</w:t>
              </w:r>
            </w:hyperlink>
          </w:p>
        </w:tc>
      </w:tr>
      <w:tr>
        <w:trPr/>
        <w:tc>
          <w:tcPr>
            <w:tcW w:w="4115" w:type="dxa"/>
            <w:tcBorders/>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X">
              <w:r>
                <w:rPr>
                  <w:rStyle w:val="InternetLink"/>
                  <w:rFonts w:ascii="Times New Roman;Times;serif" w:hAnsi="Times New Roman;Times;serif"/>
                  <w:color w:val="000000"/>
                  <w:sz w:val="20"/>
                </w:rPr>
                <w:t>33</w:t>
              </w:r>
            </w:hyperlink>
          </w:p>
        </w:tc>
      </w:tr>
      <w:tr>
        <w:trPr/>
        <w:tc>
          <w:tcPr>
            <w:tcW w:w="4115"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33</w:t>
              </w:r>
            </w:hyperlink>
          </w:p>
        </w:tc>
      </w:tr>
      <w:tr>
        <w:trPr/>
        <w:tc>
          <w:tcPr>
            <w:tcW w:w="4115" w:type="dxa"/>
            <w:tcBorders/>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Incorporation of Certain Information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OC">
              <w:r>
                <w:rPr>
                  <w:rStyle w:val="InternetLink"/>
                  <w:rFonts w:ascii="Times New Roman;Times;serif" w:hAnsi="Times New Roman;Times;serif"/>
                  <w:color w:val="000000"/>
                  <w:sz w:val="20"/>
                </w:rPr>
                <w:t>34</w:t>
              </w:r>
            </w:hyperlink>
          </w:p>
        </w:tc>
      </w:tr>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4684x4_424b5_203-about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ATP"/>
      <w:bookmarkEnd w:id="43"/>
      <w:r>
        <w:rPr>
          <w:rFonts w:ascii="Times New Roman;Times;serif" w:hAnsi="Times New Roman;Times;serif"/>
          <w:b/>
          <w:color w:val="000000"/>
          <w:sz w:val="20"/>
        </w:rPr>
        <w:t xml:space="preserve">ABOUT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on Form S-3 that we filed with the Securities and Exchange Commission (the “SEC”) using a “shelf” registration process. Under this shelf registration statement, we and the Selling Stockholders may sell from time to time in one or more offerings securities in the amounts and types described in this prospectus. 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carefully read both this prospectus and the applicable prospectus supplement and any related free writing prospectus, together with the additional information described under “Where You Can Find More Information,” before buying any of the securities being offered.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we, the Selling Stockholders,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indicated herein or as the context otherwise requires, references in this prospectus to “Momentus,” “the Company,” “we,” “us,” “our” and similar references refer to Momentus Inc., an entity incorporated under the laws of the State of Delaware, and where appropriate our consolidated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4684x4_424b5_204-summary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45" w:name="tPS"/>
      <w:bookmarkEnd w:id="45"/>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summary highlights information contained elsewhere in this prospectus or incorporated by reference herein and does not contain all the information that may be important to purchasers of our securities. Prospective purchasers of our securities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Prospective purchasers of our securities should also carefully read the information incorporated by reference into this prospectus, including our financial statements, and the exhibits to the registration statement of which this prospectus is a part.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provide or plan to provide services, including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plan to provide these services with Orbital Service Vehicles (“OSVs”) that we design and manufacture. While we plan to eventually operate a family of progressively larger and more capable OSVs, we are currently focused on Vigoride, which was originally designed to operate in low-Earth orbit (“LEO”), but is undergoing enhancements designed to allow it to operate in Geostationary-Earth Orbit (“GEO”), Lunar, and Deep Space orbits.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4684x4_424b5_204-summary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 </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currently plan to offer the following infrastructure services to the space economy: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Satellites and Constellation Bus:</w:t>
            </w:r>
            <w:r>
              <w:rPr>
                <w:rFonts w:ascii="Times New Roman;Times;serif" w:hAnsi="Times New Roman;Times;serif"/>
                <w:color w:val="000000"/>
                <w:sz w:val="20"/>
              </w:rPr>
              <w:t xml:space="preserve"> Momentus offers or plans to offer production and operation of small satellites to meet a range of defense, government, and commercial needs such as communications, tracking of missiles, remote sensing, and space domain awareness. Technologies used to support the Hosted Payload market are directly applicable to offering customer-owned satellites for use in constellations.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Satellite Technologies:</w:t>
            </w:r>
            <w:r>
              <w:rPr>
                <w:rFonts w:ascii="Times New Roman;Times;serif" w:hAnsi="Times New Roman;Times;serif"/>
                <w:color w:val="000000"/>
                <w:sz w:val="20"/>
              </w:rPr>
              <w:t xml:space="preserve"> Momentus is developing and plans to offer satellite technologies such as our Tape Spring Solar Array, 3D printed propulsion 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Space Transportation:</w:t>
            </w:r>
            <w:r>
              <w:rPr>
                <w:rFonts w:ascii="Times New Roman;Times;serif" w:hAnsi="Times New Roman;Times;serif"/>
                <w:color w:val="000000"/>
                <w:sz w:val="20"/>
              </w:rPr>
              <w:t xml:space="preserve"> Momentus offers a transportation service to deliver customers’ satellites to precision orbits. Under this model, our customers would deliver their payload to us a few months prior to launch for integration onto our vehicle. Once we have integrated our customers’ payloads, we would then ship our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4684x4_424b5_204-summary_pg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our transportation service has the potential to expand our customers’ deployment options relative to what they could achieve with ride share launch alone, while reducing their costs relative to what they could achieve with a dedicated small launch vehicle.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Hosted Payload:</w:t>
            </w:r>
            <w:r>
              <w:rPr>
                <w:rFonts w:ascii="Times New Roman;Times;serif" w:hAnsi="Times New Roman;Times;serif"/>
                <w:color w:val="000000"/>
                <w:sz w:val="20"/>
              </w:rPr>
              <w:t xml:space="preserve"> There are a broad range of payloads, satellite components, and other space technologies, that customers want to operate, test, or 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In-Orbit Servicing:</w:t>
            </w:r>
            <w:r>
              <w:rPr>
                <w:rFonts w:ascii="Times New Roman;Times;serif" w:hAnsi="Times New Roman;Times;serif"/>
                <w:color w:val="000000"/>
                <w:sz w:val="20"/>
              </w:rPr>
              <w:t xml:space="preserve"> As the number of satellites in space increases, so does their need to be serviced. We are actively developing and testing Momentus’ 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Satellite Bus:</w:t>
            </w:r>
            <w:r>
              <w:rPr>
                <w:rFonts w:ascii="Times New Roman;Times;serif" w:hAnsi="Times New Roman;Times;serif"/>
                <w:color w:val="000000"/>
                <w:sz w:val="20"/>
              </w:rPr>
              <w:t xml:space="preserve"> Technologies used to support the hosted payload market are directly applicable to offering customer-owned satellite buses for use in 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further description of the risks associated with our business, see “Risk Factors.” Investors are cautioned to review the following description of Momentus’ business together with the entirety of this prospectus, including the within-mentioned risk factors.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January 2026 Private Placement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January 5, 2026, the Company engaged in a private placement pursuant to which the Company agreed with an investor (the “January PIPE Investor”) to sell and issue to such stockholder (i) pre-funded warrants to purchase up to 925,926 shares of Common Stock (the “January 2026 Pre-Funded Warrants”), and (ii) warrants to purchase up to 925,926 shares of Common Stock (the “January 2026 Common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purchase price of each January 2026 Pre-Funded Warrant equals $5.39999, and the exercise price of each January 2026 Pre-Funded Warrant equals $0.00001 per share. The January 2026 Pre-Funded Warrants are exercisable at any time after their original issuance and will not expire until exercised in full. The January 2026 Common Warrants have an exercise price per share of Common Stock equal to $5.40 per share. The January 2026 Common Warrants will be exercisable immediately following receipt of shareholder approval and will expire five years from the initial exercise date. The exercise price and the number of shares of Common Stock issuable upon exercise of the January 2026 Common Warrants is subject to appropriate adjustments in the event of certain stock dividends and distributions, stock splits, stock combinations, reclassifications or similar events affecting the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private placement, on January 5,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46,296 shares of Common Stock (the “January 2026 PA Warrants”) at an exercise price of $5.94, which are exercisable on or after July 6, 2026. The January 2026 PA Warrants have a term of five years from January 6,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received aggregate gross proceeds from the private placement of approximately $5 million, before deducting placement agent commissions and expenses in connection with the private placement, which were paid by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4684x4_424b5_204-summary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Also in connection with the private placement, the Company and the January 2026 PIPE Investor agreed to reduce the exercise price of certain warrants issued to the 2026 PIPE Investor on October 15, 2025 and December 11, 2025 from $13.74 per share to $5.40 per share.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April 2026 Private Placement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April 14, 2026, the Company engaged in a private placement pursuant to which the Company agreed with an investor (the “April PIPE Investor”) to sell and issue to such stockholder (i) 450,000 shares of Common Stock (the “April 2026 Private Placement Shares”) and (ii) pre-funded warrants to purchase up to 883,334 shares of Common Stock (the “April 2026 Pre-Funded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purchase price of each April 2026 Private Placement Share equals $3.75. The purchase price of each April 2026 Pre-Funded Warrant equals $3.74999, and the exercise price of each April 2026 Pre-Funded Warrant equals $0.00001 per share. The April 2026 Pre-Funded Warrants are exercisable at any time after their original issuance and will not expire until exercised in full.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private placement, on April 14,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66,666 shares of Common Stock (the “April 2026 PA Warrants”) at an exercise price of $4.125, which are exercisable on or after October 11, 2026. The April 2026 PA Warrants have a term of five years from April 15,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May 2026 Private Placement</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May 26, 2026, the Company engaged in a private placement pursuant to which the Company agreed with investors (the “May PIPE Investors”) to sell and issue to such stockholders (i) 2,173,420 shares of Common Stock (the “May 2026 Private Placement Shares”) and (ii) pre-funded warrants to purchase up to768,580 shares of Common Stock (the “May 2026 Pre-Funded Warrants”).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purchase price of each May 2026 Private Placement Share equals $8.50. The purchase price of each May 2026 Pre-Funded Warrant equals $8.49999, and the exercise price of each May 2026 Pre-Funded Warrant equals $0.00001 per share. The May 2026 Pre-Funded Warrants are exercisable at any time after their original issuance and will not expire until exercised in full.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private placement, on May 26,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Placement Agent warrants to purchase up to 147,100 shares of Common Stock (the “May 2026 PA Warrants”) at an exercise price of $9.35, which are exercisable on or after November 23, 2026. The May 2026 PA Warrants have a term of five years from May 26,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private placement closed on May 28, 2026, and the Company received aggregate gross proceeds from the private placement of approximately $25 million, before deducting placement agent commissions and expenses in connection with the private placement, which were paid by the Company. After deducting the approximately $1.75 million paid to the Placement Agent pursuant to the Placement Agency Agreement, the Company received approximately $23.25 million in proceeds from the private placement. The Company agreed to use the net proceeds from the private placement for general corporate purposes, which may include repayment of principal on the Company’s indebtedness, capital expenditures, and funding its working capital needs.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4684x4_424b5_204-summary_pg5"/>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Capital Resources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consolidated financial statements are prepared assuming that the Company will continue as a going concern. The going concern basis of presentation assumes that the Company will continue in operation one year after the date the consolidated financial statements are issued and will be able to realize its assets and discharge its liabilities and commitments in the normal course of business. The Company previously disclosed that conditions and events raised substantial doubt regarding its ability to continue as a going concern. Management believes that, as a result of the financings and related transactions completed since December 31, 2025, substantial doubt no longer exists. </w:t>
      </w:r>
    </w:p>
    <w:p>
      <w:pPr>
        <w:pStyle w:val="TextBody"/>
        <w:bidi w:val="0"/>
        <w:spacing w:before="1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 Smaller Reporting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company with less than $100 million of annual revenue in our most recently completed fiscal year and the market value of our stock held by non-affiliates as of June 30, 2025, was less than $700 million, we qualify as a “smaller reporting company” as defined in Rule 12b-2 of the Securities Exchange Act of 1934, as amended. A smaller reporting company may take advantage of specified reduced reporting requirements that are otherwise applicable generally to public companies. These reduced reporting requirements include, but are not limited to, reduced disclosure about our executive compensation arrangements and an exemption from the requirements to obtain a non-binding advisory vote on golden parachute arrangements. Accordingly, the information contained herein may be different from the information you receive from other public companies in which you hold stock. </w:t>
      </w:r>
    </w:p>
    <w:p>
      <w:pPr>
        <w:pStyle w:val="TextBody"/>
        <w:bidi w:val="0"/>
        <w:spacing w:before="1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incorporated in the State of Delaware in May 2019 as a special purpose acquisition company under the name Stable Road Acquisition Corp. On November 13, 2019, we completed our initial public offering. On August 12, 2021, we consummated a business combination with Momentus Inc. (a separate legal entity from the Company) pursuant to that Agreement and Plan of Merger, dated October 7, 2020. In connection with such business combination, we changed our name from Stable Road Acquisition Corp. to Momentus Inc.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principal executive offices are located at 1762 Automation Parkway, San Jose, California 95131. Our telephone number is (650) 564-7820. Our website address is www.momentus.space. Information contained on our website or connected thereto does not constitute part of, and is not incorporated by reference into, this prospectus or the registration statement of which it forms a part.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Momentus, the Momentus logo and our other registered or common law trademarks, service marks or trade names appearing in this prospectus are the property of Momentus. Other trademarks, service marks and trade names used in this prospectus are the property of their respective owners. </w:t>
      </w:r>
    </w:p>
    <w:p>
      <w:pPr>
        <w:pStyle w:val="TextBody"/>
        <w:bidi w:val="0"/>
        <w:spacing w:before="1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Risks Associated with our Business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 </w:t>
      </w:r>
    </w:p>
    <w:p>
      <w:pPr>
        <w:pStyle w:val="TextBody"/>
        <w:bidi w:val="0"/>
        <w:spacing w:before="1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Securities We May Offer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shares of our common stock, preferred stock, various series of debt securities and/or warrants to purchase any of such securities, either individually or as units in combination with other securities, with a total value of up to $200,000,000 from time to time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tbl>
      <w:tblPr>
        <w:tblW w:w="2530" w:type="dxa"/>
        <w:jc w:val="left"/>
        <w:tblInd w:w="24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designation or classification; </w:t>
            </w:r>
          </w:p>
        </w:tc>
      </w:tr>
    </w:tbl>
    <w:tbl>
      <w:tblPr>
        <w:tblW w:w="4660" w:type="dxa"/>
        <w:jc w:val="left"/>
        <w:tblInd w:w="24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aggregate principal amount or aggregate offering price; </w:t>
            </w:r>
          </w:p>
        </w:tc>
      </w:tr>
    </w:tbl>
    <w:tbl>
      <w:tblPr>
        <w:tblW w:w="925" w:type="dxa"/>
        <w:jc w:val="left"/>
        <w:tblInd w:w="240" w:type="dxa"/>
        <w:tblLayout w:type="fixed"/>
        <w:tblCellMar>
          <w:top w:w="0" w:type="dxa"/>
          <w:left w:w="0" w:type="dxa"/>
          <w:bottom w:w="0" w:type="dxa"/>
          <w:right w:w="0" w:type="dxa"/>
        </w:tblCellMar>
      </w:tblPr>
      <w:tblGrid>
        <w:gridCol w:w="110"/>
        <w:gridCol w:w="815"/>
      </w:tblGrid>
      <w:tr>
        <w:trPr/>
        <w:tc>
          <w:tcPr>
            <w:tcW w:w="110" w:type="dxa"/>
            <w:tcBorders/>
            <w:vAlign w:val="center"/>
          </w:tcPr>
          <w:p>
            <w:pPr>
              <w:pStyle w:val="TableContents"/>
              <w:bidi w:val="0"/>
              <w:spacing w:before="0" w:after="0"/>
              <w:jc w:val="left"/>
              <w:rPr>
                <w:color w:val="000000"/>
              </w:rPr>
            </w:pPr>
            <w:r>
              <w:rPr>
                <w:color w:val="000000"/>
              </w:rPr>
              <w:t>•</w:t>
            </w:r>
          </w:p>
        </w:tc>
        <w:tc>
          <w:tcPr>
            <w:tcW w:w="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maturity; </w:t>
            </w:r>
          </w:p>
        </w:tc>
      </w:tr>
    </w:tbl>
    <w:tbl>
      <w:tblPr>
        <w:tblW w:w="2080" w:type="dxa"/>
        <w:jc w:val="left"/>
        <w:tblInd w:w="240" w:type="dxa"/>
        <w:tblLayout w:type="fixed"/>
        <w:tblCellMar>
          <w:top w:w="0" w:type="dxa"/>
          <w:left w:w="0" w:type="dxa"/>
          <w:bottom w:w="0" w:type="dxa"/>
          <w:right w:w="0" w:type="dxa"/>
        </w:tblCellMar>
      </w:tblPr>
      <w:tblGrid>
        <w:gridCol w:w="110"/>
        <w:gridCol w:w="1970"/>
      </w:tblGrid>
      <w:tr>
        <w:trPr/>
        <w:tc>
          <w:tcPr>
            <w:tcW w:w="11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original issue discount; </w:t>
            </w:r>
          </w:p>
        </w:tc>
      </w:tr>
    </w:tbl>
    <w:tbl>
      <w:tblPr>
        <w:tblW w:w="4315" w:type="dxa"/>
        <w:jc w:val="left"/>
        <w:tblInd w:w="240" w:type="dxa"/>
        <w:tblLayout w:type="fixed"/>
        <w:tblCellMar>
          <w:top w:w="0" w:type="dxa"/>
          <w:left w:w="0" w:type="dxa"/>
          <w:bottom w:w="0" w:type="dxa"/>
          <w:right w:w="0" w:type="dxa"/>
        </w:tblCellMar>
      </w:tblPr>
      <w:tblGrid>
        <w:gridCol w:w="110"/>
        <w:gridCol w:w="4205"/>
      </w:tblGrid>
      <w:tr>
        <w:trPr/>
        <w:tc>
          <w:tcPr>
            <w:tcW w:w="11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rates and times of payment of interest or dividends; </w:t>
            </w:r>
          </w:p>
        </w:tc>
      </w:tr>
    </w:tbl>
    <w:tbl>
      <w:tblPr>
        <w:tblW w:w="5545" w:type="dxa"/>
        <w:jc w:val="left"/>
        <w:tblInd w:w="24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redemption, conversion, exercise, exchange or sinking fund terms; </w:t>
            </w:r>
          </w:p>
        </w:tc>
      </w:tr>
    </w:tbl>
    <w:tbl>
      <w:tblPr>
        <w:tblW w:w="865" w:type="dxa"/>
        <w:jc w:val="left"/>
        <w:tblInd w:w="240" w:type="dxa"/>
        <w:tblLayout w:type="fixed"/>
        <w:tblCellMar>
          <w:top w:w="0" w:type="dxa"/>
          <w:left w:w="0" w:type="dxa"/>
          <w:bottom w:w="0" w:type="dxa"/>
          <w:right w:w="0" w:type="dxa"/>
        </w:tblCellMar>
      </w:tblPr>
      <w:tblGrid>
        <w:gridCol w:w="110"/>
        <w:gridCol w:w="755"/>
      </w:tblGrid>
      <w:tr>
        <w:trPr/>
        <w:tc>
          <w:tcPr>
            <w:tcW w:w="110" w:type="dxa"/>
            <w:tcBorders/>
            <w:vAlign w:val="center"/>
          </w:tcPr>
          <w:p>
            <w:pPr>
              <w:pStyle w:val="TableContents"/>
              <w:bidi w:val="0"/>
              <w:spacing w:before="0" w:after="0"/>
              <w:jc w:val="left"/>
              <w:rPr>
                <w:color w:val="000000"/>
              </w:rPr>
            </w:pPr>
            <w:r>
              <w:rPr>
                <w:color w:val="000000"/>
              </w:rPr>
              <w:t>•</w:t>
            </w:r>
          </w:p>
        </w:tc>
        <w:tc>
          <w:tcPr>
            <w:tcW w:w="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ranking;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4684x4_424b5_204-summary_pg6"/>
        <w:bookmarkEnd w:id="50"/>
        <w:r>
          <w:rPr>
            <w:rStyle w:val="InternetLink"/>
            <w:rFonts w:ascii="Times New Roman;Times;Serif" w:hAnsi="Times New Roman;Times;Serif"/>
            <w:b/>
            <w:caps w:val="false"/>
            <w:smallCaps w:val="false"/>
            <w:color w:val="000000"/>
            <w:sz w:val="16"/>
          </w:rPr>
          <w:t>TABLE OF CONTENTS</w:t>
        </w:r>
      </w:hyperlink>
    </w:p>
    <w:tbl>
      <w:tblPr>
        <w:tblW w:w="1915" w:type="dxa"/>
        <w:jc w:val="left"/>
        <w:tblInd w:w="240" w:type="dxa"/>
        <w:tblLayout w:type="fixed"/>
        <w:tblCellMar>
          <w:top w:w="0" w:type="dxa"/>
          <w:left w:w="0" w:type="dxa"/>
          <w:bottom w:w="0" w:type="dxa"/>
          <w:right w:w="0" w:type="dxa"/>
        </w:tblCellMar>
      </w:tblPr>
      <w:tblGrid>
        <w:gridCol w:w="110"/>
        <w:gridCol w:w="1805"/>
      </w:tblGrid>
      <w:tr>
        <w:trPr/>
        <w:tc>
          <w:tcPr>
            <w:tcW w:w="110" w:type="dxa"/>
            <w:tcBorders/>
            <w:vAlign w:val="center"/>
          </w:tcPr>
          <w:p>
            <w:pPr>
              <w:pStyle w:val="TableContents"/>
              <w:bidi w:val="0"/>
              <w:spacing w:before="0" w:after="0"/>
              <w:jc w:val="left"/>
              <w:rPr>
                <w:color w:val="000000"/>
              </w:rPr>
            </w:pPr>
            <w:r>
              <w:rPr>
                <w:color w:val="000000"/>
              </w:rPr>
              <w:t>•</w:t>
            </w:r>
          </w:p>
        </w:tc>
        <w:tc>
          <w:tcPr>
            <w:tcW w:w="1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restrictive covenants; </w:t>
            </w:r>
          </w:p>
        </w:tc>
      </w:tr>
    </w:tbl>
    <w:tbl>
      <w:tblPr>
        <w:tblW w:w="1960" w:type="dxa"/>
        <w:jc w:val="left"/>
        <w:tblInd w:w="240" w:type="dxa"/>
        <w:tblLayout w:type="fixed"/>
        <w:tblCellMar>
          <w:top w:w="0" w:type="dxa"/>
          <w:left w:w="0" w:type="dxa"/>
          <w:bottom w:w="0" w:type="dxa"/>
          <w:right w:w="0" w:type="dxa"/>
        </w:tblCellMar>
      </w:tblPr>
      <w:tblGrid>
        <w:gridCol w:w="110"/>
        <w:gridCol w:w="1850"/>
      </w:tblGrid>
      <w:tr>
        <w:trPr/>
        <w:tc>
          <w:tcPr>
            <w:tcW w:w="110" w:type="dxa"/>
            <w:tcBorders/>
            <w:vAlign w:val="center"/>
          </w:tcPr>
          <w:p>
            <w:pPr>
              <w:pStyle w:val="TableContents"/>
              <w:bidi w:val="0"/>
              <w:spacing w:before="0" w:after="0"/>
              <w:jc w:val="left"/>
              <w:rPr>
                <w:color w:val="000000"/>
              </w:rPr>
            </w:pPr>
            <w:r>
              <w:rPr>
                <w:color w:val="000000"/>
              </w:rPr>
              <w:t>•</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or other rights;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conversion or exchange prices or rates and, if applicable, any provisions for changes to or adjustments in the conversion or exchange prices or rates and in the securities or other property receivable upon conversion or exchange; and </w:t>
            </w:r>
          </w:p>
        </w:tc>
      </w:tr>
    </w:tbl>
    <w:tbl>
      <w:tblPr>
        <w:tblW w:w="6580" w:type="dxa"/>
        <w:jc w:val="left"/>
        <w:tblInd w:w="24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discussion of material United States federal income tax considerations, if any.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 </w:t>
      </w:r>
    </w:p>
    <w:tbl>
      <w:tblPr>
        <w:tblW w:w="4270" w:type="dxa"/>
        <w:jc w:val="left"/>
        <w:tblInd w:w="24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those agents, underwriters, or dealers; </w:t>
            </w:r>
          </w:p>
        </w:tc>
      </w:tr>
    </w:tbl>
    <w:tbl>
      <w:tblPr>
        <w:tblW w:w="5275" w:type="dxa"/>
        <w:jc w:val="left"/>
        <w:tblInd w:w="24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applicable fees, discounts and commissions to be paid to them; </w:t>
            </w:r>
          </w:p>
        </w:tc>
      </w:tr>
    </w:tbl>
    <w:tbl>
      <w:tblPr>
        <w:tblW w:w="4405" w:type="dxa"/>
        <w:jc w:val="left"/>
        <w:tblInd w:w="24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details regarding over-allotment options, if any; and </w:t>
            </w:r>
          </w:p>
        </w:tc>
      </w:tr>
    </w:tbl>
    <w:tbl>
      <w:tblPr>
        <w:tblW w:w="1975" w:type="dxa"/>
        <w:jc w:val="left"/>
        <w:tblInd w:w="24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net proceeds to us. </w:t>
            </w:r>
          </w:p>
        </w:tc>
      </w:tr>
    </w:tbl>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is a summary of the securities we may offer with this prospectus. </w:t>
      </w:r>
    </w:p>
    <w:p>
      <w:pPr>
        <w:pStyle w:val="TextBody"/>
        <w:bidi w:val="0"/>
        <w:spacing w:before="35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issue shares of our common stock from time to time. Each holder of our common stock is entitled to one vote for each share on all matters submitted to a vote of the stockholders, including the election of directors. Under our second amended and restated certificate of incorporation, as amended (the “Certificate of Incorporation”) and second amended and restated bylaws (the “Bylaws”), our stockholders do not have cumulative voting rights. Subject to preferences that may be applicable to any then-outstanding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Holders of shares of our common stock do not have preemptive, subscription, redemption, or conversion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 </w:t>
      </w:r>
    </w:p>
    <w:p>
      <w:pPr>
        <w:pStyle w:val="TextBody"/>
        <w:bidi w:val="0"/>
        <w:spacing w:before="35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Preferred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the holder’s option and would be at prescribed conversion rates. 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4684x4_424b5_204-summary_pg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Debt Securities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issue warrants for the purchase of common stock, preferred stock and/or debt securities in one or more series. We may issue warrants independently or as units in combination with common stock, preferred stock and/or debt securities, and the warrants may be attached to or separate from these securities. In this prospectus, we have summarized certain general features of the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urge you, however, to read the applicable prospectus supplement (and any free writing prospectus that we may authorize to be provided to you) related to the series of warrants being offered, as well as any warrant agreements and warrant certificates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Units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this prospectus, we have summarized certain general features of the units under “Description of Units.” We urge you, however, to read the applicable prospectus supplement (and any related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specific unit agreement that contains the terms of the particular series of units we are offering, before the issuance of such units.</w:t>
      </w:r>
    </w:p>
    <w:p>
      <w:pPr>
        <w:pStyle w:val="TextBody"/>
        <w:bidi w:val="0"/>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The Securities the Selling Stockholders May Offer</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Selling Stockholders may offer up to 3,089,100 shares of Common Stock consisting of (i) 2,173,420 Private Placement Shares (ii) 768,580 Pre-Funded Warrant Shares issuable to the Selling Stockholders upon the exercise of the Pre-Funded Warrants; and (iii) 147,100 PA Warrant Shares issuable to the Selling Stockholders upon exercise of the PA Warrants.</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Selling Stockholders will determine when and how they will sell the Shares offered in this prospectus, as described in “Plan of Distribution.”</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not receive any proceeds from the sale by the Selling Stockholders of the Shares covered by this 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4684x4_424b5_205-risk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RF"/>
      <w:bookmarkEnd w:id="53"/>
      <w:r>
        <w:rPr>
          <w:rFonts w:ascii="Times New Roman;Times;serif" w:hAnsi="Times New Roman;Times;serif"/>
          <w:b/>
          <w:color w:val="000000"/>
          <w:sz w:val="20"/>
        </w:rPr>
        <w:t xml:space="preserve">RISK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as may be updated by subsequent annual, quarterly and other reports that are incorporated by reference into this prospectus in their entirety.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4684x4_424b5_206-fls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FLS"/>
      <w:bookmarkEnd w:id="55"/>
      <w:r>
        <w:rPr>
          <w:rFonts w:ascii="Times New Roman;Times;serif" w:hAnsi="Times New Roman;Times;serif"/>
          <w:b/>
          <w:color w:val="000000"/>
          <w:sz w:val="20"/>
        </w:rPr>
        <w:t xml:space="preserve">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including the documents that we incorporate by reference herein, contains, and any applicable prospectus supplement or free writing prospectus including the documents we incorporate by reference therein may contain, forward-looking statements within the meaning of Section 27A of the Securities Act of 1933, as amended (the “Securities Act”) and Section 21E of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and our Current Reports on Form 8-K, as well as any amendments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in their entirety, many of these risks and uncertainties under the heading “Risk Factors” contained in the applicable prospectus supplement, in any free writing prospectus we may authorize for use in connection with a specific offering, and in the documents incorporated by reference herein. These statements reflect our current views with respect to future events and are based on assumptions and subject to risks and uncertainties.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4684x4_424b5_207-use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UOP"/>
      <w:bookmarkEnd w:id="57"/>
      <w:r>
        <w:rPr>
          <w:rFonts w:ascii="Times New Roman;Times;serif" w:hAnsi="Times New Roman;Times;serif"/>
          <w:b/>
          <w:color w:val="000000"/>
          <w:sz w:val="20"/>
        </w:rPr>
        <w:t xml:space="preserve">USE OF PROCEEDS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retain broad discretion over the use of the net proceeds from the sale by us of the securities offered hereby. Except as described in any prospectus supplement or in any related free writing prospectus that we may authorize to be provided to you, we currently intend to use the net proceeds from the sale of the securities offered by us hereunder primarily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not receive any of the proceeds from the sale of the Shares by the Selling Stockholders pursuant to this prospectus. We will bear all fees and expenses incident to our obligation to register such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4684x4_424b5_208-desc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DOC"/>
      <w:bookmarkEnd w:id="59"/>
      <w:r>
        <w:rPr>
          <w:rFonts w:ascii="Times New Roman;Times;serif" w:hAnsi="Times New Roman;Times;serif"/>
          <w:b/>
          <w:color w:val="000000"/>
          <w:sz w:val="20"/>
        </w:rPr>
        <w:t xml:space="preserve">DESCRIPTION OF CAPITAL STOCK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is a description of the material terms of our capital stock. This is a summary only and does not purport to be complete. It is subject to and qualified in its entirety by reference to our Second Amended and Restated Certificate of Incorporation, as amended, and our Amended and Restated Bylaws, as amended, each of which are incorporated by reference as an exhibit to the registration statement of which this prospectus forms a part. We encourage you to read our Second Amended and Restated Certificate of Incorporation, as amended, and our Amended and Restated Bylaws, as amended, and the applicable provisions of the Delaware General Corporation Law (the “DGCL”), for additional information.</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and Outstanding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our Second Amended and Restated Certificate of Incorporation, as amended, our authorized capital stock consists of: </w:t>
      </w:r>
    </w:p>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the Common Stock, $0.00001 par value per share;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20,000,000 shares of undesignated Preferred Stock, $0.00001 par value per share (“Preferred Stock”), of which 673,408 shares have been designated as the Series A Convertible Preferred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1, 2026, there were 16,215,379 shares of the Common Stock issued and outstanding and no shares of Preferred Stock outstanding.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Power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Common Stock are entitled to one vote per share on all matters submitted to a vote of stockholders. The holders of Common Stock will generally vote together as a single class on all matters submitted to a vote of stockholders, unless otherwise required by Delaware law or the Second Amended and Restated Certificate of Incorporation,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Second Amended and Restated Certificate of Incorporation, as amended, and the Amended and Restated Bylaws, as amended (collectively, our “Organizational Documents”), established a classified board of directors (the “board”)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 The Second Amended and Restated Certificate of Incorporation does not provide for cumulative voting for the election of directors.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preferences that may apply to any shares of Preferred Stock outstanding at the time, the holders of Common Stock are entitled to receive dividends out of funds legally available if the board, in its discretion, determines to issue dividends and then only at the times and in the amounts that the board may determine.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not paid any cash dividends on the Common Stock to date and do not intend to pay cash dividends in the foreseeable future.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Preemptive or Similar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the Common Stock are not entitled to preemptive rights and are not subject to conversion (except as noted above), redemption or sinking fund provisions.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Right to Receive Liquidation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become subject to a liquidation, dissolution or winding-up, the assets legally available for distribution to our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4684x4_424b5_208-desc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Fully Paid and Non-Assessable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the outstanding shares of Common Stock are fully paid and non-assessable.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authorized, subject to limitations prescribed by Delaware law, to issue Preferred Stock in one or more series, to establish from time to time the number of shares to be included in each series, and to fix the designation, vesting, powers, preferences, and rights of the shares of each series and any of its qualifications, limitations, or restrictions, in each case without further vote or action by the stockholders. Our board can also increase or decrease the number of shares of any series of Preferred Stock, but not below the number of shares of that series then outstanding, without any further vote or action by the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Common Stock and the voting and other rights of the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filed the Certificate of Designations, which designated 673,408 shares of our preferred stock as “Series A Convertible Preferred Stock”, none of which are issued and outstanding as of May 21, 2026.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A Convertible Preferred Stock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Ranking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(i) payment of dividends, (ii) distribution of assets, and (iii) all other liquidation, winding up, dissolution, dividend and redemption rights, the Series A Convertible Preferred Stock shall rank pari passu in priority of payment to all Parity Stock (defined below) and senior in priority of payment to all Junior Stock (defined below) in any liquidation, dissolution, winding up or distribution of the Company, and junior to any indebtedness of the Company.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Junior Stock” means (i) the Common Stock and (ii) any other equity interest of the Company, in each case which by its terms ranks junior to the Series A Convertible Preferred Stock with respect to payment of dividends and/or distribution of assets.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Parity Stock” means any equity interest of the Company hereinafter created which by its terms ranks pari passu with the Series A Convertible Preferred Stock.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Series A Convertible Preferred Stock shall participate in any dividends or distributions paid to the holders of Common Stock as if such Series A Convertible Preferred Stock had been converted into Common Stock as of the record date for such dividend or distribution.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Voting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Series A Convertible Preferred Stock are not entitled to vote on any matters presented to the stockholders for their action or consideration, except as required by law or as otherwise provided in the Certificate of Designations.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Optional Conversion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Series A Convertible Preferred Stock may convert all of their respective shares of Series A Convertible Preferred Stock into shares of Common Stock at any time, subject to certain ownership limitations set forth in the Certificate of Designations.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Conversion Rate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that each holder of Series A Convertible Preferred Stock will receive upon conversion of such holder’s shares of Series A Convertible Preferred Stock will be equal to the quotient of the stated value of the shares of Series A Convertible Preferred Stock to be converted, which is $20.80 per share divided by the Conversion Price, which is $37.13. No fractional shares of Common Stock shall be issued upon the exercise of any conversion right. Any fractional shares of Common Stock that a holder would otherwise be entitled to will be rounded up to the next whole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4684x4_424b5_208-desc_pg3"/>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Adjustments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Series A Convertible Preferred Stock will have rights to certain adjustments for stock dividends, stock splits and other combinations or subdivisions of its outstanding shares of Common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provisions of Delaware law, the Second Amended and Restated Certificate of Incorporation, as amended, and the Amended and Restated Bylaws, as amended,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outweighs the disadvantages of discouraging these proposals because negotiation of these proposals could result in an improvement of their terms.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Delaware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date of the transaction, the board of directors of the corporation approved either the business combination or the transaction which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the board does not approve in advance. We also anticipate that Section 203 may also discourage attempts that might result in a premium over the market price for the shares of common stock held by stockholders.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Organizational Documents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of our Organizational Documents could make it more difficult to acquire us by means of a tender offer, a proxy contest or otherwise, or to remove incumbent officers and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Second Amended and Restated Certificate of Incorporation, as amended, and our Amended and Restated Bylaws, as amended, provide for certain provisions that may have an anti-takeover effect: </w:t>
      </w:r>
    </w:p>
    <w:tbl>
      <w:tblPr>
        <w:tblW w:w="6550" w:type="dxa"/>
        <w:jc w:val="left"/>
        <w:tblInd w:w="0" w:type="dxa"/>
        <w:tblLayout w:type="fixed"/>
        <w:tblCellMar>
          <w:top w:w="0" w:type="dxa"/>
          <w:left w:w="0" w:type="dxa"/>
          <w:bottom w:w="0" w:type="dxa"/>
          <w:right w:w="0" w:type="dxa"/>
        </w:tblCellMar>
      </w:tblPr>
      <w:tblGrid>
        <w:gridCol w:w="110"/>
        <w:gridCol w:w="6440"/>
      </w:tblGrid>
      <w:tr>
        <w:trPr/>
        <w:tc>
          <w:tcPr>
            <w:tcW w:w="11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classified board of directors whose members serve staggered three-year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authorization of “blank check” preferred stock, which could be issued by our board of directors without stockholder approval and may contain voting, liquidation, dividend and other rights superior to the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4684x4_424b5_208-desc_pg4"/>
        <w:bookmarkEnd w:id="62"/>
        <w:r>
          <w:rPr>
            <w:rStyle w:val="InternetLink"/>
            <w:rFonts w:ascii="Times New Roman;Times;Serif" w:hAnsi="Times New Roman;Times;Serif"/>
            <w:b/>
            <w:caps w:val="false"/>
            <w:smallCaps w:val="false"/>
            <w:color w:val="000000"/>
            <w:sz w:val="16"/>
          </w:rPr>
          <w:t>TABLE OF CONTENTS</w:t>
        </w:r>
      </w:hyperlink>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limitation on the liability of, and providing indemnification to, our directors and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special meetings of our stockholders can be called only by our board of directors acting by a written resolution by a majority of our directors then in office, the Chairperson of our board of directors, our Chief Executive Officer, or our Lead Independent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of advance notice of stockholder proposals for business to be conducted at meetings of our stockholders and for nominations of candidates for election to our board of directors; </w:t>
            </w:r>
          </w:p>
        </w:tc>
      </w:tr>
    </w:tbl>
    <w:tbl>
      <w:tblPr>
        <w:tblW w:w="9370" w:type="dxa"/>
        <w:jc w:val="left"/>
        <w:tblInd w:w="0" w:type="dxa"/>
        <w:tblLayout w:type="fixed"/>
        <w:tblCellMar>
          <w:top w:w="0" w:type="dxa"/>
          <w:left w:w="0" w:type="dxa"/>
          <w:bottom w:w="0" w:type="dxa"/>
          <w:right w:w="0" w:type="dxa"/>
        </w:tblCellMar>
      </w:tblPr>
      <w:tblGrid>
        <w:gridCol w:w="110"/>
        <w:gridCol w:w="9260"/>
      </w:tblGrid>
      <w:tr>
        <w:trPr/>
        <w:tc>
          <w:tcPr>
            <w:tcW w:w="11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our directors may be removed only for cause and by a two-thirds (2/3) vote of the stockholders;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prohibition on stockholder action by written consent;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vacancies on our board of directors may be filled only by a majority of directors then in office or by a sole remaining director (subject to limited exceptions), even though less than a quorum;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of the approval of the board of directors or the holders of at least two-thirds of our outstanding shares of capital stock to amend our bylaws and certain provisions of our certificate of incorporation.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and Indemnification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as amended, provide that we will indemnify our directors and officers, and may indemnify our employees and other agents, to the fullest extent permitted by Delaware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law prohibits the Second Amended and Restated Certificate of Incorporation, as amended, from limiting the liability of our directors for the following: </w:t>
      </w:r>
    </w:p>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breach of the director’s duty of loyalty to us or to our stockholders;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or omissions not in good faith or that involve intentional misconduct or a knowing violation of law;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unlawful payment of dividends or unlawful stock repurchases or redemptions; and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from which the director derived an improper personal benefit.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Delaware law is amended to authorize corporate action further eliminating or limiting the personal liability of a director, then the liability of our directors will be eliminated or limited to the fullest extent permitted by Delaware law, as so amended. The Second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as amended, we can purchase insurance on behalf of any person whom we are required or permitted to indemnify.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indemnification required in our Organizational Documents, we have entered into an indemnification agreement with each member of our board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us,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the Company, no indemnification will be provided for any claim where a court determines that the indemnified party is prohibited from receiving indemnification. We believe that these certificate of incorporation and bylaw provisions and indemnification agreements are necessary to attract and retain qualified persons as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limitation of liability and indemnification provisions in our Organizational Documents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4684x4_424b5_208-desc_pg5"/>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of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Common Stock and Public Warrants are listed on the Nasdaq Capital Market under the symbols “MNTS” and “MNTSW,”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the Common Stock is Continental Stock Transfer &amp; Trust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4684x4_424b5_208-desc_pg6"/>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DOD"/>
      <w:bookmarkEnd w:id="65"/>
      <w:r>
        <w:rPr>
          <w:rFonts w:ascii="Times New Roman;Times;serif" w:hAnsi="Times New Roman;Times;serif"/>
          <w:b/>
          <w:color w:val="000000"/>
          <w:sz w:val="20"/>
        </w:rPr>
        <w:t xml:space="preserve">DESCRIPTION OF DEBT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 and any related free writing prospectus related to the debt securities that we may offer under this prospectus, as well as the complete indenture that contains the terms of the debt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indenture will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describe in the applicable prospectus supplement the terms of the series of debt securities being offered, including: </w:t>
      </w:r>
    </w:p>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series of debt securities;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upon the aggregate principal amount that may be issued;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maturity date or dates; </w:t>
            </w:r>
          </w:p>
        </w:tc>
      </w:tr>
    </w:tbl>
    <w:tbl>
      <w:tblPr>
        <w:tblW w:w="3640" w:type="dxa"/>
        <w:jc w:val="left"/>
        <w:tblInd w:w="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of the debt securities of the series; </w:t>
            </w:r>
          </w:p>
        </w:tc>
      </w:tr>
    </w:tbl>
    <w:tbl>
      <w:tblPr>
        <w:tblW w:w="3055" w:type="dxa"/>
        <w:jc w:val="left"/>
        <w:tblInd w:w="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applicability of any guarantees; </w:t>
            </w:r>
          </w:p>
        </w:tc>
      </w:tr>
    </w:tbl>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or not the debt securities will be secured or unsecured, and the terms of any secured debt;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debt securities rank as senior debt, senior subordinated debt, subordinated debt or any combination thereof, and the terms of any subordination;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right, if any, to defer payment of interest and the maximum length of any such deferral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4684x4_424b5_208-desc_pg7"/>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denominations in which we will issue the series of debt securities, if other than denominations of $1,000 and any integral multiple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other than the full principal amount thereof, the portion of the principal amount of debt securities of the series which shall be payable upon declaration of acceleration of the maturity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additions to or changes in the covenants applicable to the particular debt securities being issued, including, among others, the consolidation, merger or sale covenant;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additions to or changes in or deletions of the provisions relating to covenant defeasance and legal defeasance; </w:t>
            </w:r>
          </w:p>
        </w:tc>
      </w:tr>
    </w:tbl>
    <w:tbl>
      <w:tblPr>
        <w:tblW w:w="7900" w:type="dxa"/>
        <w:jc w:val="left"/>
        <w:tblInd w:w="0" w:type="dxa"/>
        <w:tblLayout w:type="fixed"/>
        <w:tblCellMar>
          <w:top w:w="0" w:type="dxa"/>
          <w:left w:w="0" w:type="dxa"/>
          <w:bottom w:w="0" w:type="dxa"/>
          <w:right w:w="0" w:type="dxa"/>
        </w:tblCellMar>
      </w:tblPr>
      <w:tblGrid>
        <w:gridCol w:w="110"/>
        <w:gridCol w:w="7790"/>
      </w:tblGrid>
      <w:tr>
        <w:trPr/>
        <w:tc>
          <w:tcPr>
            <w:tcW w:w="11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to or changes in the provisions relating to satisfaction and discharge of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additions to or changes in the provisions relating to the modification of the indenture both with and without the consent of holders of debt securities issued under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currency of payment of debt securities if other than U.S. dollars and the manner of determining the equivalent amount in U.S. dollars;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interest will be payable in cash or additional debt securities at our or the holders’ option and the terms and conditions upon which the election may be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restrictions on transfer, sale or assignment of the debt securities of the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4684x4_424b5_208-desc_pg8"/>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or Exchange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or Sale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under the Indenture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provide otherwise in the prospectus supplement applicable to a particular series of debt securities, the following are events of default under the indenture with respect to any series of debt securities that we may issue: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specified events of bankruptcy, insolvency or reorganization occur.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direction so given by the holder is not in conflict with any law or the applicable indenture;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4684x4_424b5_208-desc_pg9"/>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of the debt securities of any series will have the right to institute a proceeding under the indenture or to appoint a receiver or trustee, or to seek other remedies only if: </w:t>
      </w:r>
    </w:p>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holder has given written notice to the trustee of a continuing event of default with respect to that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at least 25% in aggregate principal amount of the outstanding debt securities of that series have made written request,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holders have offered to the trustee indemnity satisfactory to it against the costs, expenses and liabilities to be incurred by the trustee in compliance with the request;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periodically file statements with the trustee regarding our compliance with specified covenants in the indenture.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of Indenture; Waiver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the trustee may change an indenture without the consent of any holders with respect to specific matters: </w:t>
      </w:r>
    </w:p>
    <w:tbl>
      <w:tblPr>
        <w:tblW w:w="8305" w:type="dxa"/>
        <w:jc w:val="left"/>
        <w:tblInd w:w="0" w:type="dxa"/>
        <w:tblLayout w:type="fixed"/>
        <w:tblCellMar>
          <w:top w:w="0" w:type="dxa"/>
          <w:left w:w="0" w:type="dxa"/>
          <w:bottom w:w="0" w:type="dxa"/>
          <w:right w:w="0" w:type="dxa"/>
        </w:tblCellMar>
      </w:tblPr>
      <w:tblGrid>
        <w:gridCol w:w="110"/>
        <w:gridCol w:w="8195"/>
      </w:tblGrid>
      <w:tr>
        <w:trPr/>
        <w:tc>
          <w:tcPr>
            <w:tcW w:w="11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cure any ambiguity, defect or inconsistency in the indenture or in the debt securities of any series; </w:t>
            </w:r>
          </w:p>
        </w:tc>
      </w:tr>
    </w:tbl>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comply with the provisions described above under “Description of Debt Securities—Consolidation, Merger or Sale;”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uncertificated debt securities in addition to or in place of certificated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add to, delete from or revise the conditions, limitations, and restrictions on the authorized amount, terms, or purposes of issue, authentication and delivery of debt securities, as set forth in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make any change that does not adversely affect the interests of any holder of debt securities of any series in any material respect;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evidence and provide for the acceptance of appointment under any indenture by a successor trustee;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comply with any requirements of the SEC in connection with the qualification of any indenture under the Trust Indenture Act.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extending the fixed maturity of any debt securities of any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reducing the principal amount, reducing the rate of or extending the time of payment of interest, or reducing any premium payable upon the redemption of any series of any debt securities;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reducing the percentage of debt securities, the holders of which are required to consent to any amendment, supplement, modification or waiver.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4684x4_424b5_208-desc_pg10"/>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Discharge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indenture provides that we can elect to be discharged from our obligations with respect to one or more series of debt securities, except for specified obligations, including obligations to: </w:t>
      </w:r>
    </w:p>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payment;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register the transfer or exchange of debt securities of the series;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replace stolen, lost or mutilated debt securities of the series; </w:t>
            </w:r>
          </w:p>
        </w:tc>
      </w:tr>
    </w:tbl>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jc w:val="left"/>
              <w:rPr>
                <w:color w:val="000000"/>
              </w:rPr>
            </w:pPr>
            <w:r>
              <w:rPr>
                <w:color w:val="000000"/>
              </w:rPr>
              <w:t>•</w:t>
            </w:r>
          </w:p>
        </w:tc>
        <w:tc>
          <w:tcPr>
            <w:tcW w:w="6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 principal of and premium and interest on any debt securities of the series;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paying agencies; </w:t>
            </w:r>
          </w:p>
        </w:tc>
      </w:tr>
    </w:tbl>
    <w:tbl>
      <w:tblPr>
        <w:tblW w:w="2875" w:type="dxa"/>
        <w:jc w:val="left"/>
        <w:tblInd w:w="0" w:type="dxa"/>
        <w:tblLayout w:type="fixed"/>
        <w:tblCellMar>
          <w:top w:w="0" w:type="dxa"/>
          <w:left w:w="0" w:type="dxa"/>
          <w:bottom w:w="0" w:type="dxa"/>
          <w:right w:w="0" w:type="dxa"/>
        </w:tblCellMar>
      </w:tblPr>
      <w:tblGrid>
        <w:gridCol w:w="110"/>
        <w:gridCol w:w="2765"/>
      </w:tblGrid>
      <w:tr>
        <w:trPr/>
        <w:tc>
          <w:tcPr>
            <w:tcW w:w="11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 monies for payment in trust;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recover excess money held by the trustee;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compensate and indemnify the trustee; and </w:t>
            </w:r>
          </w:p>
        </w:tc>
      </w:tr>
    </w:tbl>
    <w:tbl>
      <w:tblPr>
        <w:tblW w:w="2590" w:type="dxa"/>
        <w:jc w:val="left"/>
        <w:tblInd w:w="0" w:type="dxa"/>
        <w:tblLayout w:type="fixed"/>
        <w:tblCellMar>
          <w:top w:w="0" w:type="dxa"/>
          <w:left w:w="0" w:type="dxa"/>
          <w:bottom w:w="0" w:type="dxa"/>
          <w:right w:w="0" w:type="dxa"/>
        </w:tblCellMar>
      </w:tblPr>
      <w:tblGrid>
        <w:gridCol w:w="110"/>
        <w:gridCol w:w="2480"/>
      </w:tblGrid>
      <w:tr>
        <w:trPr/>
        <w:tc>
          <w:tcPr>
            <w:tcW w:w="11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 any successor trustee.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 Exchange and Transfer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such securities will be set forth in the applicable prospectus supplement.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elect to redeem the debt securities of any series, we will not be required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4684x4_424b5_208-desc_pg1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Concerning the Trustee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and Paying Agents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4684x4_424b5_208-desc_pg1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DOW"/>
      <w:bookmarkEnd w:id="72"/>
      <w:r>
        <w:rPr>
          <w:rFonts w:ascii="Times New Roman;Times;serif" w:hAnsi="Times New Roman;Times;serif"/>
          <w:b/>
          <w:color w:val="000000"/>
          <w:sz w:val="20"/>
        </w:rPr>
        <w:t xml:space="preserve">DESCRIPTION OF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together with the additional information we may include in any applicable prospectus supplement and in any related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filed or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describe in the applicable prospectus supplement the terms of the series of warrants being offered, including, to the extent applicable: </w:t>
      </w:r>
    </w:p>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offering price and aggregate number of warrants offered;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for which the warrants may be purchased;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securities with which the warrants are issued and the number of warrants issued with each such security or each principal amount of such security;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and after which the warrants and the related securities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any merger, consolidation, sale or other disposition of our business on the warrant agreements and the warrants;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any rights to redeem or call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provisions for changes to or adjustments in the exercise price or number of securities issuable upon exercise of the warrants;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the right to exercise the warrants will commence and expire;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manner in which the warrant agreements and warrants may be modified;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discussion of material United States federal income tax consequences of holding or exercising the warrants; </w:t>
            </w:r>
          </w:p>
        </w:tc>
      </w:tr>
    </w:tbl>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securities issuable upon exercise of the warrants; and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specific terms, preferences, rights or limitations of or restrictions on the warrants.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4684x4_424b5_208-desc_pg1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Before exercising their warrants, holders of warrants will not have any of the rights of holders of the securities purchasable upon such exercise,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warrants to purchase common stock or preferred stock, the right to receive dividends, if any, or, payments upon our liquidation, dissolution or winding up or to exercise voting rights, if any;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warrants to purchase debt securities, the right to receive payments of principal of, or premium, if any, or interest on, the debt securities purchasable upon exercise or to enforce covenants in the applicable indenture.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Exercise of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otherwise specify in the applicable prospectus supplement, holders of the warrants may exercise the warrants by delivering the warrant or warrant certificate representing the warrants to be exercised together with specified information, and paying the required amount to the warrant agent, if applicable, in immediately available funds, as provided in the applicable prospectus supplement. We will set forth on the reverse side of any warrant certificate and in the applicable prospectus supplement the information that the holder of the warrant will be required to deliver to any warrant agent in connection with the exercise of the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Enforceability of Rights by Holders of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4684x4_424b5_208-desc_pg1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DOU"/>
      <w:bookmarkEnd w:id="75"/>
      <w:r>
        <w:rPr>
          <w:rFonts w:ascii="Times New Roman;Times;serif" w:hAnsi="Times New Roman;Times;serif"/>
          <w:b/>
          <w:color w:val="000000"/>
          <w:sz w:val="20"/>
        </w:rPr>
        <w:t xml:space="preserve">DESCRIPTION OF UNITS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together with the additional information we may include in any applicable prospectus supplement and related free writing prospectus, summarizes the material terms and provisions of the units that we may offer under this prospectus. We may issue units consisting of any combination of the other types of securities offered under this prospectus in one or more series.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evidence each series of units by unit certificates that we will issue under a separate agreement. We may enter into unit agreements with a unit agent. Each unit agent will be a bank or trust company that we select. We will indicate the name and address of any unit agent in the applicable prospectus supplement relating to a particular series of units. The summary below and that contained in any prospectus supplement is qualified in its entirety by reference to all of the provisions of the unit agreement and/or unit certificate, and depositary arrangements, if applicable. We urge you to read the applicable prospectus supplements and any related free writing prospectuses related to the units that we may offer under this prospectus, as well as the complete unit agreement and/or unit certificate, and depositary arrangements, as applicable, that contain the terms of the units.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file as exhibits to the registration statement of which this prospectus is a part, or will incorporate by reference from reports that we file with the SEC, the form of unit agreement and/or unit certificate, and depositary arrangements, as applicable, that contain the terms of the particular series of units we are offering, and any supplemental agreements, before the issuance of such units.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describe in the applicable prospectus supplement the terms of the series of units being offered,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units and of the securities comprising the units, including whether and under what circumstances those securities may be held or transferred separately;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provisions for the issuance, payment, settlement, transfer, or exchange of the units or of the securities composing the units;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units will be issued in fully registered or global form; and </w:t>
            </w:r>
          </w:p>
        </w:tc>
      </w:tr>
    </w:tbl>
    <w:tbl>
      <w:tblPr>
        <w:tblW w:w="2425" w:type="dxa"/>
        <w:jc w:val="left"/>
        <w:tblInd w:w="0" w:type="dxa"/>
        <w:tblLayout w:type="fixed"/>
        <w:tblCellMar>
          <w:top w:w="0" w:type="dxa"/>
          <w:left w:w="0" w:type="dxa"/>
          <w:bottom w:w="0" w:type="dxa"/>
          <w:right w:w="0" w:type="dxa"/>
        </w:tblCellMar>
      </w:tblPr>
      <w:tblGrid>
        <w:gridCol w:w="110"/>
        <w:gridCol w:w="2315"/>
      </w:tblGrid>
      <w:tr>
        <w:trPr/>
        <w:tc>
          <w:tcPr>
            <w:tcW w:w="11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units.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4684x4_424b5_209-security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LOO"/>
      <w:bookmarkEnd w:id="77"/>
      <w:r>
        <w:rPr>
          <w:rFonts w:ascii="Times New Roman;Times;serif" w:hAnsi="Times New Roman;Times;serif"/>
          <w:b/>
          <w:color w:val="000000"/>
          <w:sz w:val="20"/>
        </w:rPr>
        <w:t xml:space="preserve">LEGAL OWNERSHIP OF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Book-Entry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Street Name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Legal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4684x4_424b5_209-security_pg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Considerations for Indirect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how it handles securities payments and notices;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it imposes fees or charges;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how it would handle a request for the holders’ consent, if ever required;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and how you can instruct it to send you securities registered in your own name so you can be a holder, if that is permitted in the future;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how it would exercise rights under the securities if there were a default or other event triggering the need for holders to act to protect their interests; and </w:t>
            </w:r>
          </w:p>
        </w:tc>
      </w:tr>
    </w:tbl>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securities are in book-entry form, how the depositary’s rules and procedures will affect these matters.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Considerations for Global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securities are issued only as global securities, an investor should be aware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investor cannot cause the securities to be registered in his or her name, and cannot obtain non-global certificates for his or her interest in the securities, except in the special situations we describe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investor will be an indirect holder and must look to his or her own bank or broker for payments on the securities and protection of his or her legal rights relating to the securities, as we describe above;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4684x4_424b5_209-security_pg3"/>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depositary’s policies, which may change from time to time, will govern payments, transfers, exchanges and other matters relating to an investor’s interest in the global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Situations When a Global Security Will Be Terminated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provide otherwise in the applicable prospectus supplement, a global security will terminate when the following special situations occur: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depositary notifies us that it is unwilling, unable or no longer qualified to continue as depositary for that global security and we do not appoint another institution to act as depositary within 90 days;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we notify any applicable trustee that we wish to terminate that global security;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 event of default has occurred with regard to securities represented by that global security and has not been cured or waived.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4684x4_424b5_210-stockholder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SS"/>
      <w:bookmarkEnd w:id="81"/>
      <w:r>
        <w:rPr>
          <w:rFonts w:ascii="Times New Roman;Times;serif" w:hAnsi="Times New Roman;Times;serif"/>
          <w:b/>
          <w:color w:val="000000"/>
          <w:sz w:val="20"/>
        </w:rPr>
        <w:t xml:space="preserve">SELLING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covers the resale or other disposition by the Selling Stockholders identified in the table below of the Shares, consisting of up to an aggregate of 3,089,100 shares of Common Stock. The Selling Stockholders acquired the Shares in the transaction described above under the heading “Prospectus Summary—May 2026 Private Placement.”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Pre-Funded Warrants provide that the Selling Stockholders will not have the right to exercise any portion of the Pre-Funded Warrants if such exercise would cause the aggregate number of shares of Common Stock beneficially owned by the applicable Selling Stockholder (together with its affiliates) to exceed 9.99% (the “Pre-Funded Warrant Ownership Limitation”) of the number of shares of Common Stock outstanding immediately after giving effect to the exercise, as such percentage ownership is determined in accordance with the terms of the Pre-Funded Warrants. By written notice to the Company, a Selling Stockholder may decrease or increase the Pre-Funded Warrant Ownership Limitation to any other percentage, provided that in no event can the Pre-Funded Warrant Ownership Limitation exceed 9.99%. Any such increase will not be effective until the 61st day after such notice is delivered to the Company by the Selling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 Warrants provide that the Selling Stockholders will not have the right to exercise any portion of the PA Warrants before November 23, 2026. In addition, the PA Warrants provide that the Selling Stockholders will not have the right to exercise any portion of the PA Warrants if such exercise would cause the aggregate number of shares of Common Stock beneficially owned by the applicable Selling Stockholder (together with its affiliates) to exceed 4.99% (the “PA Warrant Ownership Limitation”) of the number of shares of Common Stock outstanding immediately after giving effect to the exercise, as such percentage ownership is determined in accordance with the terms of the PA Warrants. By written notice to the Company, a Selling Stockholder may decrease or increase the PA Warrant Ownership Limitation to any other percentage, provided that in no event can the PA Warrant Ownership Limitation exceed 9.99%. Any such increase will not be effective until the 61st day after such notice is delivered to the Company by the Selling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sets forth, as of June 1, 2026, the following information regarding the Selling Stockholders: </w:t>
      </w:r>
    </w:p>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Name of the Selling Stockholders;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Number of shares of Common Stock beneficially owned by the Selling Stockholders prior to exercise of the Warrants; and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Number of shares of Common Stock issuable upon the exercise of the Warrants;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owned are those beneficially owned, as determined under the rules of the SEC, and the information is not necessarily indicative of beneficial ownership for any other purpose.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Stockholders have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 arrangements, or understanding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from time to time, the shares of Common Stock they beneficially own in transactions exempt from the registration requirements of the Securities Act after the date on which it provided the information set forth in the table below. We have, therefore, assumed for the purposes of the following table, that the Selling Stockholders will sell all of their respective shares of Common Stock owned beneficially by them that are covered by this prospectus, but will not sell any other shares of Common Stock that they presently own. Except as set forth below, the Selling Stockholders have not held any position or office, or has otherwise had a material relationship, with us or any of our subsidiaries within the past three years other than as a result of the ownership of our shares of Common Stock or other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4684x4_424b5_210-stockholder_pg2"/>
        <w:bookmarkEnd w:id="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784"/>
        <w:gridCol w:w="140"/>
        <w:gridCol w:w="140"/>
        <w:gridCol w:w="1458"/>
        <w:gridCol w:w="140"/>
        <w:gridCol w:w="140"/>
        <w:gridCol w:w="1144"/>
        <w:gridCol w:w="140"/>
        <w:gridCol w:w="140"/>
        <w:gridCol w:w="992"/>
        <w:gridCol w:w="140"/>
        <w:gridCol w:w="140"/>
        <w:gridCol w:w="707"/>
      </w:tblGrid>
      <w:tr>
        <w:trPr/>
        <w:tc>
          <w:tcPr>
            <w:tcW w:w="47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7" w:type="dxa"/>
            <w:tcBorders/>
            <w:vAlign w:val="center"/>
          </w:tcPr>
          <w:p>
            <w:pPr>
              <w:pStyle w:val="TableContents"/>
              <w:bidi w:val="0"/>
              <w:spacing w:before="0" w:after="0"/>
              <w:jc w:val="left"/>
              <w:rPr/>
            </w:pPr>
            <w:r>
              <w:rPr/>
              <w:t> </w:t>
            </w:r>
          </w:p>
        </w:tc>
      </w:tr>
      <w:tr>
        <w:trPr/>
        <w:tc>
          <w:tcPr>
            <w:tcW w:w="478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Sale Hereby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478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Citadel CEMF Investments Ltd.(1)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58" w:type="dxa"/>
            <w:tcBorders/>
            <w:shd w:fill="CCEEFF" w:val="clear"/>
            <w:vAlign w:val="center"/>
          </w:tcPr>
          <w:p>
            <w:pPr>
              <w:pStyle w:val="TableContents"/>
              <w:bidi w:val="0"/>
              <w:spacing w:before="0" w:after="283"/>
              <w:ind w:left="37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lineRule="auto" w:line="240"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1,742,000(2)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lineRule="auto" w:line="240" w:before="0" w:after="283"/>
              <w:ind w:left="117" w:right="0" w:hanging="0"/>
              <w:jc w:val="left"/>
              <w:rPr>
                <w:color w:val="000000"/>
              </w:rPr>
            </w:pPr>
            <w:r>
              <w:rPr>
                <w:color w:val="000000"/>
              </w:rPr>
              <w:t>—</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7" w:type="dxa"/>
            <w:tcBorders/>
            <w:shd w:fill="CCEEFF" w:val="clear"/>
            <w:vAlign w:val="center"/>
          </w:tcPr>
          <w:p>
            <w:pPr>
              <w:pStyle w:val="TableContents"/>
              <w:bidi w:val="0"/>
              <w:spacing w:before="0" w:after="283"/>
              <w:ind w:left="193" w:right="0" w:hanging="0"/>
              <w:jc w:val="left"/>
              <w:rPr>
                <w:color w:val="000000"/>
              </w:rPr>
            </w:pPr>
            <w:r>
              <w:rPr>
                <w:color w:val="000000"/>
              </w:rPr>
              <w:t xml:space="preserve">— </w:t>
            </w:r>
          </w:p>
        </w:tc>
      </w:tr>
      <w:tr>
        <w:trPr/>
        <w:tc>
          <w:tcPr>
            <w:tcW w:w="4784"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Davidson Kempner Arbitrage, Equities and Relative Value LP(4)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8" w:type="dxa"/>
            <w:tcBorders/>
            <w:vAlign w:val="center"/>
          </w:tcPr>
          <w:p>
            <w:pPr>
              <w:pStyle w:val="TableContents"/>
              <w:bidi w:val="0"/>
              <w:spacing w:before="0" w:after="283"/>
              <w:ind w:left="37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1,177,320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lineRule="auto" w:line="240" w:before="0" w:after="283"/>
              <w:ind w:left="117" w:right="0" w:hanging="0"/>
              <w:jc w:val="left"/>
              <w:rPr>
                <w:color w:val="000000"/>
              </w:rPr>
            </w:pPr>
            <w:r>
              <w:rPr>
                <w:color w:val="000000"/>
              </w:rPr>
              <w:t>—</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7" w:type="dxa"/>
            <w:tcBorders/>
            <w:vAlign w:val="center"/>
          </w:tcPr>
          <w:p>
            <w:pPr>
              <w:pStyle w:val="TableContents"/>
              <w:bidi w:val="0"/>
              <w:spacing w:before="0" w:after="283"/>
              <w:ind w:left="193" w:right="0" w:hanging="0"/>
              <w:jc w:val="left"/>
              <w:rPr>
                <w:color w:val="000000"/>
              </w:rPr>
            </w:pPr>
            <w:r>
              <w:rPr>
                <w:color w:val="000000"/>
              </w:rPr>
              <w:t xml:space="preserve">— </w:t>
            </w:r>
          </w:p>
        </w:tc>
      </w:tr>
      <w:tr>
        <w:trPr/>
        <w:tc>
          <w:tcPr>
            <w:tcW w:w="478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M.H. Davidson &amp; Co.(5)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58" w:type="dxa"/>
            <w:tcBorders/>
            <w:shd w:fill="CCEEFF" w:val="clear"/>
            <w:vAlign w:val="center"/>
          </w:tcPr>
          <w:p>
            <w:pPr>
              <w:pStyle w:val="TableContents"/>
              <w:bidi w:val="0"/>
              <w:spacing w:before="0" w:after="283"/>
              <w:ind w:left="37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22,680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lineRule="auto" w:line="240" w:before="0" w:after="283"/>
              <w:ind w:left="117" w:right="0" w:hanging="0"/>
              <w:jc w:val="left"/>
              <w:rPr>
                <w:color w:val="000000"/>
              </w:rPr>
            </w:pPr>
            <w:r>
              <w:rPr>
                <w:color w:val="000000"/>
              </w:rPr>
              <w:t>—</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7" w:type="dxa"/>
            <w:tcBorders/>
            <w:shd w:fill="CCEEFF" w:val="clear"/>
            <w:vAlign w:val="center"/>
          </w:tcPr>
          <w:p>
            <w:pPr>
              <w:pStyle w:val="TableContents"/>
              <w:bidi w:val="0"/>
              <w:spacing w:before="0" w:after="283"/>
              <w:ind w:left="193" w:right="0" w:hanging="0"/>
              <w:jc w:val="left"/>
              <w:rPr>
                <w:color w:val="000000"/>
              </w:rPr>
            </w:pPr>
            <w:r>
              <w:rPr>
                <w:color w:val="000000"/>
              </w:rPr>
              <w:t xml:space="preserve">— </w:t>
            </w:r>
          </w:p>
        </w:tc>
      </w:tr>
      <w:tr>
        <w:trPr/>
        <w:tc>
          <w:tcPr>
            <w:tcW w:w="478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A.G.P. / Alliance Global Partners(6)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8" w:type="dxa"/>
            <w:tcBorders/>
            <w:vAlign w:val="center"/>
          </w:tcPr>
          <w:p>
            <w:pPr>
              <w:pStyle w:val="TableContents"/>
              <w:bidi w:val="0"/>
              <w:spacing w:lineRule="auto" w:line="240"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267,874(7)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lineRule="auto" w:line="240"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147,100</w:t>
            </w: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lineRule="auto" w:line="240"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120,774(3)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7"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7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securities are directly held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Florida 33131.</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Consists of (i) 973,420 shares of Common Stock and (ii) 768,580 shares of Common Stock issuable to the Selling Stockholder upon exercise of the Pre-Funded Warrants. The Pre-Funded Warrants are subject to a beneficial ownership limitation of 9.99%, which such limitation restricts the Selling Stockholders from exercising that portion of the warrants that would result in the Selling Stockholders and their respective affiliates owning, after exercise, a number of shares of Common Stock in excess of the beneficial ownership limitation </w:t>
            </w:r>
          </w:p>
        </w:tc>
      </w:tr>
    </w:tbl>
    <w:tbl>
      <w:tblPr>
        <w:tblW w:w="4270" w:type="dxa"/>
        <w:jc w:val="left"/>
        <w:tblInd w:w="0" w:type="dxa"/>
        <w:tblLayout w:type="fixed"/>
        <w:tblCellMar>
          <w:top w:w="0" w:type="dxa"/>
          <w:left w:w="0" w:type="dxa"/>
          <w:bottom w:w="0" w:type="dxa"/>
          <w:right w:w="0" w:type="dxa"/>
        </w:tblCellMar>
      </w:tblPr>
      <w:tblGrid>
        <w:gridCol w:w="245"/>
        <w:gridCol w:w="40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Assuming the sale of all securities offered hereby.</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securities are directly held by Davidson Kempner Arbitrage, Equities and Relative Value LP. Anthony A. Yoseloff may be deemed to have shared power to vote or direct the vote of, and/or shared power to dispose or to direct the disposition over, the securities. This disclosure is not and shall not be construed as an admission that Mr. Yoseloff is the beneficial owner of any securities of the Company other than the securities actually owned by such person (if any). The address of Davidson Kempner Arbitrage, Equities and Relative Value LP is c/o Davidson Kempner Capital Management LP, 9 West 57th Street, New York, New York 10019.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securities are directly held by M.H. Davidson &amp; Co. Anthony A. Yoseloff may be deemed to have shared power to vote or direct the vote of, and/or shared power to dispose or to direct the disposition over, the securities. This disclosure is not and shall not be construed as an admission that Mr. Yoseloff is the beneficial owner of any securities of the Company other than the securities actually owned by such person (if any). The address of M.H. Davidson &amp; Co. is c/o Davidson Kempner Capital Management LP, 9 West 57th Street, New York, New York 10019.</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securities are directly held by A.G.P./Alliance Global Partners. The address of A.G.P./Alliance Global Partners is 590 Madison Avenue, 28th Floor, New York, New York 10022.</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(i) 147,100 shares of Common Stock issuable to the Selling Stockholder upon exercise of the PA Warrants; and (ii) 120,774 shares of Common Stock issuable to the Selling Stockholder upon exercise of certain warrants.</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Consists of 147,100 shares of Common Stock issuable to the Selling Stockholder upon exercise of the PA Warrants. None of the PA Warrants may be exercised prior to November 23, 2026. In addition, the PA Warrants are subject to a beneficial ownership limitation of 4.99% (or, at the election of the applicable Selling Stockholder, 9.99%), which such limitation restricts the Selling Stockholders from exercising that portion of the warrants that would result in the Selling Stockholders and their respective affiliates owning, after exercise, a number of shares of Common Stock in excess of the beneficial ownership limitation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4684x4_424b5_211-plan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POD"/>
      <w:bookmarkEnd w:id="84"/>
      <w:r>
        <w:rPr>
          <w:rFonts w:ascii="Times New Roman;Times;serif" w:hAnsi="Times New Roman;Times;serif"/>
          <w:b/>
          <w:color w:val="000000"/>
          <w:sz w:val="20"/>
        </w:rPr>
        <w:t xml:space="preserve">PLAN OF DISTRIBUTION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 </w:t>
      </w:r>
    </w:p>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fixed price or prices, which may be changed;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market prices prevailing at the time of sale;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such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prospectus supplement or supplements (and any related free writing prospectus that we may authorize to be provided to you) will describe the terms of the offering of the securities, including, to the extent applicable: </w:t>
      </w:r>
    </w:p>
    <w:tbl>
      <w:tblPr>
        <w:tblW w:w="6700" w:type="dxa"/>
        <w:jc w:val="left"/>
        <w:tblInd w:w="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0"/>
              <w:jc w:val="left"/>
              <w:rPr>
                <w:color w:val="000000"/>
              </w:rPr>
            </w:pPr>
            <w:r>
              <w:rPr>
                <w:color w:val="000000"/>
              </w:rPr>
              <w:t>•</w:t>
            </w:r>
          </w:p>
        </w:tc>
        <w:tc>
          <w:tcPr>
            <w:tcW w:w="6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or names of the underwriters, dealers, agents or other purchasers, if any;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of the securities or other consideration therefor, and the proceeds we will receive from the sale;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option to purchase additional shares or other options under which underwriters, dealers, agents or other purchasers may purchase additional securities from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agency fees or underwriting discounts to be allowed or paid to the agent or underwriters and other items constituting agents’ or underwriters’ compensation;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public offering price;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or concessions allowed or reallowed or paid to dealers; and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securities exchange or market on which the securities may be listed.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4684x4_424b5_211-plan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or their affiliates may engage in transactions with, or perform services for, us in the ordinary course of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option to purchase additional shares or in the open market after the distribution is completed, to cover short positions.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underwriters, dealers or agents that are qualified market makers on Nasdaq may engage in passive market making transactions in our common stock on Nasdaq in accordance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specific terms of any lock-up provisions in respect of any given offering will be described in the applicable prospectus supplement.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anticipated date of delivery of offered securities will be set forth in the applicable prospectus supplement relating to each offer.</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By the Selling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Selling Stockholders and any of their respective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The Selling Stockholders may use any one or more of the following methods when selling securities:</w:t>
      </w:r>
    </w:p>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ordinary brokerage transactions and transactions in which the broker-dealer solicits purchasers;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block trades in which the broker-dealer will attempt to sell the securities as agent but may position and resell a portion of the block as principal to facilitate the transaction;</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purchases by a broker-dealer as principal and resale by the broker-dealer for its account;</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 exchange distribution in accordance with the rules of the applicable exchange;</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privately negotiated transactions;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transactions through broker-dealers that agree with the applicable Selling Stockholder to sell a specified number of such securities at a stipulated price per security;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through the writing or settlement of options or other hedging transactions, whether through an options exchange or otherwise;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4684x4_424b5_211-plan_pg3"/>
        <w:bookmarkEnd w:id="86"/>
        <w:r>
          <w:rPr>
            <w:rStyle w:val="InternetLink"/>
            <w:rFonts w:ascii="Times New Roman;Times;Serif" w:hAnsi="Times New Roman;Times;Serif"/>
            <w:b/>
            <w:caps w:val="false"/>
            <w:smallCaps w:val="false"/>
            <w:color w:val="000000"/>
            <w:sz w:val="16"/>
          </w:rPr>
          <w:t>TABLE OF CONTENTS</w:t>
        </w:r>
      </w:hyperlink>
    </w:p>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combination of any such methods of sale; or</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method permitted pursuant to applicable law.</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Selling Stockholders may also sell securities under Rule 144 or any other exemption from registration under the Securities Act of 1933, as amended (the “Securities Act“), if available, rather than under this prospectus.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Broker-dealers engaged by the applicable Selling Stockholder may arrange for other brokers-dealers to participate in sales. Broker-dealers may receive commissions or discounts from the applicable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the sale of the securities or interests therein, the applicable Selling Stockholder may enter into hedging transactions with broker-dealers or other financial institutions, which may in turn engage in short sales of the securities in the course of hedging the positions they assume. The applicable Selling Stockholder may also sell securities short and deliver these securities to close out its short positions, or loan or pledge the securities to broker-dealers that in turn may sell these securities. The applicable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Applicable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have informed the Company that they do not have any written or oral agreement or understanding, directly or indirectly, with any person to distribute the securities.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required to pay certain fees and expenses incurred by the Company incident to the registration of the securities. The Company has agreed to indemnify the Selling Stockholders against certain losses, claims, damages and liabilities.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securities by the applicable Selling Stockholder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4684x4_424b5_212-legal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LM"/>
      <w:bookmarkEnd w:id="88"/>
      <w:r>
        <w:rPr>
          <w:rFonts w:ascii="Times New Roman;Times;serif" w:hAnsi="Times New Roman;Times;serif"/>
          <w:b/>
          <w:color w:val="000000"/>
          <w:sz w:val="20"/>
        </w:rPr>
        <w:t xml:space="preserve">LEGAL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securities offered hereby will be passed upon for us by Bradley Arant Boult Cummings LLP. Additional legal matters may be passed upon for us or any underwriters, dealers or agents, by counsel that we will name in the applicable prospectus supplement. </w:t>
      </w:r>
    </w:p>
    <w:p>
      <w:pPr>
        <w:pStyle w:val="TextBody"/>
        <w:bidi w:val="0"/>
        <w:spacing w:before="410" w:after="283"/>
        <w:jc w:val="center"/>
        <w:rPr>
          <w:rFonts w:ascii="Times New Roman;Times;serif" w:hAnsi="Times New Roman;Times;serif"/>
          <w:b/>
          <w:color w:val="000000"/>
          <w:sz w:val="20"/>
        </w:rPr>
      </w:pPr>
      <w:bookmarkStart w:id="89" w:name="tEX"/>
      <w:bookmarkEnd w:id="89"/>
      <w:r>
        <w:rPr>
          <w:rFonts w:ascii="Times New Roman;Times;serif" w:hAnsi="Times New Roman;Times;serif"/>
          <w:b/>
          <w:color w:val="000000"/>
          <w:sz w:val="20"/>
        </w:rPr>
        <w:t xml:space="preserve">EXPERTS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the Company and subsidiaries as of and for the year ended December 31, 2025 and 2024, incorporated by reference in this prospectus,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 </w:t>
      </w:r>
    </w:p>
    <w:p>
      <w:pPr>
        <w:pStyle w:val="TextBody"/>
        <w:bidi w:val="0"/>
        <w:spacing w:before="410" w:after="283"/>
        <w:jc w:val="center"/>
        <w:rPr>
          <w:rFonts w:ascii="Times New Roman;Times;serif" w:hAnsi="Times New Roman;Times;serif"/>
          <w:b/>
          <w:color w:val="000000"/>
          <w:sz w:val="20"/>
        </w:rPr>
      </w:pPr>
      <w:bookmarkStart w:id="90" w:name="tWYC"/>
      <w:bookmarkEnd w:id="90"/>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Times;serif" w:hAnsi="Times New Roman;Times;serif"/>
          <w:i/>
          <w:color w:val="000000"/>
          <w:sz w:val="20"/>
        </w:rPr>
        <w:t>www.momentus.space</w:t>
      </w:r>
      <w:r>
        <w:rPr>
          <w:rFonts w:ascii="Times New Roman;Times;serif" w:hAnsi="Times New Roman;Times;serif"/>
          <w:color w:val="000000"/>
          <w:sz w:val="20"/>
        </w:rPr>
        <w:t xml:space="preserve">,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Momentus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John C. Rood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1762 Automation Parkway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Jose, CA 95131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564-7820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4684x4_424b5_212-legal_pg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IOC"/>
      <w:bookmarkEnd w:id="92"/>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incorporate by reference into this prospectus and the registration statement of which this prospectus is a part the information or documents listed below that we have filed with the SEC (Commission File No. 001-12584): </w:t>
      </w:r>
    </w:p>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fiscal year ended December 31, 2025, filed with the SEC on </w:t>
            </w:r>
            <w:hyperlink r:id="rId19">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Reports on Form 10-Q for the quarter ended March 31, 2026, filed with the SEC on </w:t>
            </w:r>
            <w:hyperlink r:id="rId20">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w:t>
            </w:r>
          </w:p>
        </w:tc>
      </w:tr>
    </w:tbl>
    <w:tbl>
      <w:tblPr>
        <w:tblW w:w="7255" w:type="dxa"/>
        <w:jc w:val="left"/>
        <w:tblInd w:w="0" w:type="dxa"/>
        <w:tblLayout w:type="fixed"/>
        <w:tblCellMar>
          <w:top w:w="0" w:type="dxa"/>
          <w:left w:w="0" w:type="dxa"/>
          <w:bottom w:w="0" w:type="dxa"/>
          <w:right w:w="0" w:type="dxa"/>
        </w:tblCellMar>
      </w:tblPr>
      <w:tblGrid>
        <w:gridCol w:w="110"/>
        <w:gridCol w:w="7145"/>
      </w:tblGrid>
      <w:tr>
        <w:trPr/>
        <w:tc>
          <w:tcPr>
            <w:tcW w:w="110" w:type="dxa"/>
            <w:tcBorders/>
            <w:vAlign w:val="center"/>
          </w:tcPr>
          <w:p>
            <w:pPr>
              <w:pStyle w:val="TableContents"/>
              <w:bidi w:val="0"/>
              <w:spacing w:before="0" w:after="0"/>
              <w:jc w:val="left"/>
              <w:rPr>
                <w:color w:val="000000"/>
              </w:rPr>
            </w:pPr>
            <w:r>
              <w:rPr>
                <w:color w:val="000000"/>
              </w:rPr>
              <w:t>•</w:t>
            </w:r>
          </w:p>
        </w:tc>
        <w:tc>
          <w:tcPr>
            <w:tcW w:w="7145" w:type="dxa"/>
            <w:tcBorders/>
            <w:vAlign w:val="center"/>
          </w:tcPr>
          <w:p>
            <w:pPr>
              <w:pStyle w:val="TableContents"/>
              <w:bidi w:val="0"/>
              <w:spacing w:before="0" w:after="0"/>
              <w:jc w:val="left"/>
              <w:rPr/>
            </w:pPr>
            <w:r>
              <w:rPr>
                <w:rFonts w:ascii="Times New Roman;Times;serif" w:hAnsi="Times New Roman;Times;serif"/>
                <w:color w:val="000000"/>
                <w:sz w:val="20"/>
              </w:rPr>
              <w:t xml:space="preserve">our Definitive Proxy Statement on Schedule 14A, filed with the SEC on </w:t>
            </w:r>
            <w:hyperlink r:id="rId21">
              <w:r>
                <w:rPr>
                  <w:rStyle w:val="InternetLink"/>
                  <w:rFonts w:ascii="Times New Roman;Times;serif" w:hAnsi="Times New Roman;Times;serif"/>
                  <w:color w:val="000080"/>
                  <w:sz w:val="20"/>
                </w:rPr>
                <w:t>April 10,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contained in Exhibit 4.19 to our Registration Statement on Form S-1, as filed with the SEC on </w:t>
            </w:r>
            <w:hyperlink r:id="rId22">
              <w:r>
                <w:rPr>
                  <w:rStyle w:val="InternetLink"/>
                  <w:rFonts w:ascii="Times New Roman;Times;serif" w:hAnsi="Times New Roman;Times;serif"/>
                  <w:color w:val="000080"/>
                  <w:sz w:val="20"/>
                </w:rPr>
                <w:t>April 21, 2025</w:t>
              </w:r>
            </w:hyperlink>
            <w:r>
              <w:rPr>
                <w:rFonts w:ascii="Times New Roman;Times;serif" w:hAnsi="Times New Roman;Times;serif"/>
                <w:color w:val="000000"/>
                <w:sz w:val="20"/>
              </w:rPr>
              <w:t xml:space="preserve">, and including any further amendment or report filed for the purpose of updating such description;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filed on Form 8-K with the SEC on </w:t>
            </w:r>
            <w:hyperlink r:id="rId23">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w:t>
            </w:r>
            <w:hyperlink r:id="rId24">
              <w:r>
                <w:rPr>
                  <w:rStyle w:val="InternetLink"/>
                  <w:rFonts w:ascii="Times New Roman;Times;serif" w:hAnsi="Times New Roman;Times;serif"/>
                  <w:color w:val="000080"/>
                  <w:sz w:val="20"/>
                </w:rPr>
                <w:t>January 13, 2026</w:t>
              </w:r>
            </w:hyperlink>
            <w:r>
              <w:rPr>
                <w:rFonts w:ascii="Times New Roman;Times;serif" w:hAnsi="Times New Roman;Times;serif"/>
                <w:color w:val="000000"/>
                <w:sz w:val="20"/>
              </w:rPr>
              <w:t xml:space="preserve">, </w:t>
            </w:r>
            <w:hyperlink r:id="rId25">
              <w:r>
                <w:rPr>
                  <w:rStyle w:val="InternetLink"/>
                  <w:rFonts w:ascii="Times New Roman;Times;serif" w:hAnsi="Times New Roman;Times;serif"/>
                  <w:color w:val="000080"/>
                  <w:sz w:val="20"/>
                </w:rPr>
                <w:t>February 12, 2026</w:t>
              </w:r>
            </w:hyperlink>
            <w:r>
              <w:rPr>
                <w:rFonts w:ascii="Times New Roman;Times;serif" w:hAnsi="Times New Roman;Times;serif"/>
                <w:color w:val="000000"/>
                <w:sz w:val="20"/>
              </w:rPr>
              <w:t xml:space="preserve">, </w:t>
            </w:r>
            <w:hyperlink r:id="rId26">
              <w:r>
                <w:rPr>
                  <w:rStyle w:val="InternetLink"/>
                  <w:rFonts w:ascii="Times New Roman;Times;serif" w:hAnsi="Times New Roman;Times;serif"/>
                  <w:color w:val="000080"/>
                  <w:sz w:val="20"/>
                </w:rPr>
                <w:t>February 20, 2026</w:t>
              </w:r>
            </w:hyperlink>
            <w:r>
              <w:rPr>
                <w:rFonts w:ascii="Times New Roman;Times;serif" w:hAnsi="Times New Roman;Times;serif"/>
                <w:color w:val="000000"/>
                <w:sz w:val="20"/>
              </w:rPr>
              <w:t xml:space="preserve">, </w:t>
            </w:r>
            <w:hyperlink r:id="rId27">
              <w:r>
                <w:rPr>
                  <w:rStyle w:val="InternetLink"/>
                  <w:rFonts w:ascii="Times New Roman;Times;serif" w:hAnsi="Times New Roman;Times;serif"/>
                  <w:color w:val="000080"/>
                  <w:sz w:val="20"/>
                </w:rPr>
                <w:t>April 13, 2026</w:t>
              </w:r>
            </w:hyperlink>
            <w:r>
              <w:rPr>
                <w:rFonts w:ascii="Times New Roman;Times;serif" w:hAnsi="Times New Roman;Times;serif"/>
                <w:color w:val="000000"/>
                <w:sz w:val="20"/>
              </w:rPr>
              <w:t xml:space="preserve">, </w:t>
            </w:r>
            <w:hyperlink r:id="rId28">
              <w:r>
                <w:rPr>
                  <w:rStyle w:val="InternetLink"/>
                  <w:rFonts w:ascii="Times New Roman;Times;serif" w:hAnsi="Times New Roman;Times;serif"/>
                  <w:color w:val="000080"/>
                  <w:sz w:val="20"/>
                </w:rPr>
                <w:t>April 16, 2026</w:t>
              </w:r>
            </w:hyperlink>
            <w:r>
              <w:rPr>
                <w:rFonts w:ascii="Times New Roman;Times;serif" w:hAnsi="Times New Roman;Times;serif"/>
                <w:color w:val="000000"/>
                <w:sz w:val="20"/>
              </w:rPr>
              <w:t xml:space="preserve">, </w:t>
            </w:r>
            <w:hyperlink r:id="rId29">
              <w:r>
                <w:rPr>
                  <w:rStyle w:val="InternetLink"/>
                  <w:rFonts w:ascii="Times New Roman;Times;serif" w:hAnsi="Times New Roman;Times;serif"/>
                  <w:color w:val="000080"/>
                  <w:sz w:val="20"/>
                </w:rPr>
                <w:t>April 20, 2026</w:t>
              </w:r>
            </w:hyperlink>
            <w:r>
              <w:rPr>
                <w:rFonts w:ascii="Times New Roman;Times;serif" w:hAnsi="Times New Roman;Times;serif"/>
                <w:color w:val="000000"/>
                <w:sz w:val="20"/>
              </w:rPr>
              <w:t xml:space="preserve">, </w:t>
            </w:r>
            <w:hyperlink r:id="rId30">
              <w:r>
                <w:rPr>
                  <w:rStyle w:val="InternetLink"/>
                  <w:rFonts w:ascii="Times New Roman;Times;serif" w:hAnsi="Times New Roman;Times;serif"/>
                  <w:color w:val="000080"/>
                  <w:sz w:val="20"/>
                </w:rPr>
                <w:t>May 5, 2026</w:t>
              </w:r>
            </w:hyperlink>
            <w:r>
              <w:rPr>
                <w:rFonts w:ascii="Times New Roman;Times;serif" w:hAnsi="Times New Roman;Times;serif"/>
                <w:color w:val="000000"/>
                <w:sz w:val="20"/>
              </w:rPr>
              <w:t xml:space="preserve">, </w:t>
            </w:r>
            <w:hyperlink r:id="rId31">
              <w:r>
                <w:rPr>
                  <w:rStyle w:val="InternetLink"/>
                  <w:rFonts w:ascii="Times New Roman;Times;serif" w:hAnsi="Times New Roman;Times;serif"/>
                  <w:color w:val="000080"/>
                  <w:sz w:val="20"/>
                </w:rPr>
                <w:t>May 22, 2026</w:t>
              </w:r>
            </w:hyperlink>
            <w:r>
              <w:rPr>
                <w:rFonts w:ascii="Times New Roman;Times;serif" w:hAnsi="Times New Roman;Times;serif"/>
                <w:color w:val="000000"/>
                <w:sz w:val="20"/>
              </w:rPr>
              <w:t xml:space="preserve"> and </w:t>
            </w:r>
            <w:hyperlink r:id="rId32">
              <w:r>
                <w:rPr>
                  <w:rStyle w:val="InternetLink"/>
                  <w:rFonts w:ascii="Times New Roman;Times;serif" w:hAnsi="Times New Roman;Times;serif"/>
                  <w:color w:val="000080"/>
                  <w:sz w:val="20"/>
                </w:rPr>
                <w:t>May 29, 2026</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reports and other documents that we file with the SEC under Sections 13(a), 13(c), 14, or 15(d) of the Exchange Act on or after the date of the filing of the registration statement of which this prospectus forms a part and prior to effectiveness of the registration statement, and on or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4684x4_424b5_300-bcv_pg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3015" w:after="283"/>
        <w:ind w:left="0" w:right="0" w:hanging="0"/>
        <w:jc w:val="center"/>
        <w:rPr>
          <w:color w:val="000000"/>
        </w:rPr>
      </w:pPr>
      <w:r>
        <w:rPr>
          <w:color w:val="000000"/>
        </w:rPr>
        <w:drawing>
          <wp:inline distT="0" distB="0" distL="0" distR="0">
            <wp:extent cx="1638300" cy="1495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3"/>
                    <a:stretch>
                      <a:fillRect/>
                    </a:stretch>
                  </pic:blipFill>
                  <pic:spPr bwMode="auto">
                    <a:xfrm>
                      <a:off x="0" y="0"/>
                      <a:ext cx="1638300" cy="1495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130" w:after="283"/>
        <w:jc w:val="center"/>
        <w:rPr>
          <w:rFonts w:ascii="Times New Roman;Times;serif" w:hAnsi="Times New Roman;Times;serif"/>
          <w:b/>
          <w:color w:val="000000"/>
          <w:sz w:val="20"/>
        </w:rPr>
      </w:pPr>
      <w:r>
        <w:rPr>
          <w:rFonts w:ascii="Times New Roman;Times;serif" w:hAnsi="Times New Roman;Times;serif"/>
          <w:b/>
          <w:color w:val="000000"/>
          <w:sz w:val="20"/>
        </w:rPr>
        <w:t>Up to $75,000,000</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Common Stock </w:t>
      </w:r>
    </w:p>
    <w:p>
      <w:pPr>
        <w:pStyle w:val="TextBody"/>
        <w:bidi w:val="0"/>
        <w:spacing w:before="111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PROSPECTUS SUPPLEMENT </w:t>
      </w:r>
    </w:p>
    <w:p>
      <w:pPr>
        <w:pStyle w:val="TextBody"/>
        <w:bidi w:val="0"/>
        <w:spacing w:before="970" w:after="283"/>
        <w:jc w:val="center"/>
        <w:rPr>
          <w:rFonts w:ascii="Times New Roman;Times;serif" w:hAnsi="Times New Roman;Times;serif"/>
          <w:i/>
          <w:color w:val="000000"/>
          <w:sz w:val="20"/>
        </w:rPr>
      </w:pPr>
      <w:r>
        <w:rPr>
          <w:rFonts w:ascii="Times New Roman;Times;serif" w:hAnsi="Times New Roman;Times;serif"/>
          <w:i/>
          <w:color w:val="000000"/>
          <w:sz w:val="20"/>
        </w:rPr>
        <w:t>Sole Sales Agent</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A.G.P. </w:t>
      </w:r>
    </w:p>
    <w:p>
      <w:pPr>
        <w:pStyle w:val="TextBody"/>
        <w:bidi w:val="0"/>
        <w:spacing w:before="32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18,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81162/000162828026022291/mnts-20251231.htm" TargetMode="External"/><Relationship Id="rId4" Type="http://schemas.openxmlformats.org/officeDocument/2006/relationships/hyperlink" Target="https://www.sec.gov/ix?doc=/Archives/edgar/data/1781162/000162828026034490/mnts-20260331.htm" TargetMode="External"/><Relationship Id="rId5" Type="http://schemas.openxmlformats.org/officeDocument/2006/relationships/hyperlink" Target="https://www.sec.gov/ix?doc=/Archives/edgar/data/1781162/000114036126014277/ny20066708x1_def14a.htm" TargetMode="External"/><Relationship Id="rId6" Type="http://schemas.openxmlformats.org/officeDocument/2006/relationships/hyperlink" Target="https://www.sec.gov/Archives/edgar/data/1781162/000114036125014782/ny20047547x1_ex4-19.htm" TargetMode="External"/><Relationship Id="rId7" Type="http://schemas.openxmlformats.org/officeDocument/2006/relationships/hyperlink" Target="https://www.sec.gov/ix?doc=/Archives/edgar/data/1781162/000114036126000853/ef20062616_8k.htm" TargetMode="External"/><Relationship Id="rId8" Type="http://schemas.openxmlformats.org/officeDocument/2006/relationships/hyperlink" Target="https://www.sec.gov/ix?doc=/Archives/edgar/data/1781162/000114036126001016/ef20062613_8k.htm" TargetMode="External"/><Relationship Id="rId9" Type="http://schemas.openxmlformats.org/officeDocument/2006/relationships/hyperlink" Target="https://www.sec.gov/ix?doc=/Archives/edgar/data/1781162/000114036126004972/ef20065509_8k.htm" TargetMode="External"/><Relationship Id="rId10" Type="http://schemas.openxmlformats.org/officeDocument/2006/relationships/hyperlink" Target="https://www.sec.gov/ix?doc=/Archives/edgar/data/1781162/000114036126006335/ef20066258_8k.htm" TargetMode="External"/><Relationship Id="rId11" Type="http://schemas.openxmlformats.org/officeDocument/2006/relationships/hyperlink" Target="https://www.sec.gov/ix?doc=/Archives/edgar/data/1781162/000114036126014365/ef20070362_8k.htm" TargetMode="External"/><Relationship Id="rId12" Type="http://schemas.openxmlformats.org/officeDocument/2006/relationships/hyperlink" Target="https://www.sec.gov/ix?doc=/Archives/edgar/data/1781162/000114036126014988/ef20070575_8k.htm" TargetMode="External"/><Relationship Id="rId13" Type="http://schemas.openxmlformats.org/officeDocument/2006/relationships/hyperlink" Target="https://www.sec.gov/ix?doc=/Archives/edgar/data/1781162/000114036126015530/ef20070972_8k.htm" TargetMode="External"/><Relationship Id="rId14" Type="http://schemas.openxmlformats.org/officeDocument/2006/relationships/hyperlink" Target="https://www.sec.gov/ix?doc=/Archives/edgar/data/1781162/000114036126019009/ef20072374_8k.htm" TargetMode="External"/><Relationship Id="rId15" Type="http://schemas.openxmlformats.org/officeDocument/2006/relationships/hyperlink" Target="https://www.sec.gov/ix?doc=/Archives/edgar/data/1781162/000114036126022497/ef20074640_8k.htm" TargetMode="External"/><Relationship Id="rId16" Type="http://schemas.openxmlformats.org/officeDocument/2006/relationships/hyperlink" Target="https://www.sec.gov/ix?doc=/Archives/edgar/data/1781162/000114036126023337/ef20075150_8k.htm" TargetMode="External"/><Relationship Id="rId17" Type="http://schemas.openxmlformats.org/officeDocument/2006/relationships/hyperlink" Target="https://www.sec.gov/ix?doc=/Archives/edgar/data/1781162/000114036126025252/ef20076187_8k.htm" TargetMode="External"/><Relationship Id="rId18" Type="http://schemas.openxmlformats.org/officeDocument/2006/relationships/image" Target="media/image1.jpeg"/><Relationship Id="rId19" Type="http://schemas.openxmlformats.org/officeDocument/2006/relationships/hyperlink" Target="https://www.sec.gov/ix?doc=/Archives/edgar/data/1781162/000162828026022291/mnts-20251231.htm" TargetMode="External"/><Relationship Id="rId20" Type="http://schemas.openxmlformats.org/officeDocument/2006/relationships/hyperlink" Target="https://www.sec.gov/ix?doc=/Archives/edgar/data/1781162/000162828026034490/mnts-20260331.htm" TargetMode="External"/><Relationship Id="rId21" Type="http://schemas.openxmlformats.org/officeDocument/2006/relationships/hyperlink" Target="https://www.sec.gov/ix?doc=/Archives/edgar/data/1781162/000114036126014277/ny20066708x1_def14a.htm" TargetMode="External"/><Relationship Id="rId22" Type="http://schemas.openxmlformats.org/officeDocument/2006/relationships/hyperlink" Target="https://www.sec.gov/Archives/edgar/data/1781162/000114036125014782/ny20047547x1_ex4-19.htm" TargetMode="External"/><Relationship Id="rId23" Type="http://schemas.openxmlformats.org/officeDocument/2006/relationships/hyperlink" Target="https://www.sec.gov/ix?doc=/Archives/edgar/data/1781162/000114036126000853/ef20062616_8k.htm" TargetMode="External"/><Relationship Id="rId24" Type="http://schemas.openxmlformats.org/officeDocument/2006/relationships/hyperlink" Target="https://www.sec.gov/ix?doc=/Archives/edgar/data/1781162/000114036126001016/ef20062613_8k.htm" TargetMode="External"/><Relationship Id="rId25" Type="http://schemas.openxmlformats.org/officeDocument/2006/relationships/hyperlink" Target="https://www.sec.gov/ix?doc=/Archives/edgar/data/1781162/000114036126004972/ef20065509_8k.htm" TargetMode="External"/><Relationship Id="rId26" Type="http://schemas.openxmlformats.org/officeDocument/2006/relationships/hyperlink" Target="https://www.sec.gov/ix?doc=/Archives/edgar/data/1781162/000114036126006335/ef20066258_8k.htm" TargetMode="External"/><Relationship Id="rId27" Type="http://schemas.openxmlformats.org/officeDocument/2006/relationships/hyperlink" Target="https://www.sec.gov/ix?doc=/Archives/edgar/data/1781162/000114036126014365/ef20070362_8k.htm" TargetMode="External"/><Relationship Id="rId28" Type="http://schemas.openxmlformats.org/officeDocument/2006/relationships/hyperlink" Target="https://www.sec.gov/ix?doc=/Archives/edgar/data/1781162/000114036126014988/ef20070575_8k.htm" TargetMode="External"/><Relationship Id="rId29" Type="http://schemas.openxmlformats.org/officeDocument/2006/relationships/hyperlink" Target="https://www.sec.gov/ix?doc=/Archives/edgar/data/1781162/000114036126015530/ef20070972_8k.htm" TargetMode="External"/><Relationship Id="rId30" Type="http://schemas.openxmlformats.org/officeDocument/2006/relationships/hyperlink" Target="https://www.sec.gov/ix?doc=/Archives/edgar/data/1781162/000114036126019009/ef20072374_8k.htm" TargetMode="External"/><Relationship Id="rId31" Type="http://schemas.openxmlformats.org/officeDocument/2006/relationships/hyperlink" Target="https://www.sec.gov/ix?doc=/Archives/edgar/data/1781162/000114036126022497/ef20074640_8k.htm" TargetMode="External"/><Relationship Id="rId32" Type="http://schemas.openxmlformats.org/officeDocument/2006/relationships/hyperlink" Target="https://www.sec.gov/ix?doc=/Archives/edgar/data/1781162/000114036126023337/ef20075150_8k.htm" TargetMode="External"/><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38040</Words>
  <Characters>201630</Characters>
  <CharactersWithSpaces>239373</CharactersWithSpaces>
  <Paragraphs>1372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