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44" w:lineRule="exact"/>
        <w:rPr>
          <w:sz w:val="24"/>
          <w:szCs w:val="24"/>
          <w:color w:val="auto"/>
        </w:rPr>
      </w:pPr>
    </w:p>
    <w:p>
      <w:pPr>
        <w:jc w:val="center"/>
        <w:ind w:left="3920" w:right="1120" w:hanging="2808"/>
        <w:spacing w:after="0" w:line="390" w:lineRule="auto"/>
        <w:tabs>
          <w:tab w:leader="none" w:pos="1313"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29" w:lineRule="exact"/>
        <w:rPr>
          <w:rFonts w:ascii="MS PGothic" w:cs="MS PGothic" w:eastAsia="MS PGothic" w:hAnsi="MS PGothic"/>
          <w:sz w:val="18"/>
          <w:szCs w:val="18"/>
          <w:color w:val="auto"/>
        </w:rPr>
      </w:pPr>
    </w:p>
    <w:p>
      <w:pPr>
        <w:ind w:left="1140" w:hanging="21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44"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001-39128</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340" w:type="dxa"/>
            <w:vAlign w:val="bottom"/>
            <w:gridSpan w:val="7"/>
          </w:tcPr>
          <w:p>
            <w:pPr>
              <w:jc w:val="center"/>
              <w:ind w:left="3810"/>
              <w:spacing w:after="0"/>
              <w:rPr>
                <w:sz w:val="20"/>
                <w:szCs w:val="20"/>
                <w:color w:val="auto"/>
              </w:rPr>
            </w:pPr>
            <w:r>
              <w:rPr>
                <w:rFonts w:ascii="Arial" w:cs="Arial" w:eastAsia="Arial" w:hAnsi="Arial"/>
                <w:sz w:val="18"/>
                <w:szCs w:val="18"/>
                <w:b w:val="1"/>
                <w:bCs w:val="1"/>
                <w:color w:val="auto"/>
                <w:w w:val="91"/>
              </w:rPr>
              <w:t>Stable Road Acquisition Corp.</w:t>
            </w:r>
          </w:p>
        </w:tc>
        <w:tc>
          <w:tcPr>
            <w:tcW w:w="3900" w:type="dxa"/>
            <w:vAlign w:val="bottom"/>
          </w:tcPr>
          <w:p>
            <w:pPr>
              <w:spacing w:after="0"/>
              <w:rPr>
                <w:sz w:val="18"/>
                <w:szCs w:val="18"/>
                <w:color w:val="auto"/>
              </w:rPr>
            </w:pPr>
          </w:p>
        </w:tc>
      </w:tr>
      <w:tr>
        <w:trPr>
          <w:trHeight w:val="234"/>
        </w:trPr>
        <w:tc>
          <w:tcPr>
            <w:tcW w:w="11240" w:type="dxa"/>
            <w:vAlign w:val="bottom"/>
            <w:gridSpan w:val="8"/>
          </w:tcPr>
          <w:p>
            <w:pPr>
              <w:ind w:left="360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372"/>
        </w:trPr>
        <w:tc>
          <w:tcPr>
            <w:tcW w:w="474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b w:val="1"/>
                <w:bCs w:val="1"/>
                <w:color w:val="auto"/>
                <w:w w:val="91"/>
              </w:rPr>
              <w:t>Delaware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84-1905538</w:t>
            </w:r>
          </w:p>
        </w:tc>
      </w:tr>
      <w:tr>
        <w:trPr>
          <w:trHeight w:val="202"/>
        </w:trPr>
        <w:tc>
          <w:tcPr>
            <w:tcW w:w="4740" w:type="dxa"/>
            <w:vAlign w:val="bottom"/>
            <w:gridSpan w:val="2"/>
          </w:tcPr>
          <w:p>
            <w:pPr>
              <w:jc w:val="center"/>
              <w:ind w:left="690"/>
              <w:spacing w:after="0" w:line="201" w:lineRule="exact"/>
              <w:rPr>
                <w:sz w:val="20"/>
                <w:szCs w:val="20"/>
                <w:color w:val="auto"/>
              </w:rPr>
            </w:pPr>
            <w:r>
              <w:rPr>
                <w:rFonts w:ascii="Arial" w:cs="Arial" w:eastAsia="Arial" w:hAnsi="Arial"/>
                <w:sz w:val="18"/>
                <w:szCs w:val="18"/>
                <w:color w:val="auto"/>
                <w:w w:val="92"/>
              </w:rPr>
              <w:t>(State or other jurisdiction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Pr>
          <w:p>
            <w:pPr>
              <w:jc w:val="center"/>
              <w:ind w:right="15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74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00" w:type="dxa"/>
            <w:vAlign w:val="bottom"/>
          </w:tcPr>
          <w:p>
            <w:pPr>
              <w:jc w:val="center"/>
              <w:ind w:right="1510"/>
              <w:spacing w:after="0"/>
              <w:rPr>
                <w:sz w:val="20"/>
                <w:szCs w:val="20"/>
                <w:color w:val="auto"/>
              </w:rPr>
            </w:pPr>
            <w:r>
              <w:rPr>
                <w:rFonts w:ascii="Arial" w:cs="Arial" w:eastAsia="Arial" w:hAnsi="Arial"/>
                <w:sz w:val="18"/>
                <w:szCs w:val="18"/>
                <w:color w:val="auto"/>
                <w:w w:val="94"/>
              </w:rPr>
              <w:t>Identification Number)</w:t>
            </w:r>
          </w:p>
        </w:tc>
      </w:tr>
      <w:tr>
        <w:trPr>
          <w:trHeight w:val="333"/>
        </w:trPr>
        <w:tc>
          <w:tcPr>
            <w:tcW w:w="474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91"/>
              </w:rPr>
              <w:t>1345 Abbot Kinney Blvd.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41"/>
        </w:trPr>
        <w:tc>
          <w:tcPr>
            <w:tcW w:w="4740" w:type="dxa"/>
            <w:vAlign w:val="bottom"/>
            <w:tcBorders>
              <w:bottom w:val="single" w:sz="8" w:color="auto"/>
            </w:tcBorders>
            <w:gridSpan w:val="2"/>
          </w:tcPr>
          <w:p>
            <w:pPr>
              <w:jc w:val="center"/>
              <w:ind w:left="710"/>
              <w:spacing w:after="0"/>
              <w:rPr>
                <w:sz w:val="20"/>
                <w:szCs w:val="20"/>
                <w:color w:val="auto"/>
              </w:rPr>
            </w:pPr>
            <w:r>
              <w:rPr>
                <w:rFonts w:ascii="Arial" w:cs="Arial" w:eastAsia="Arial" w:hAnsi="Arial"/>
                <w:sz w:val="18"/>
                <w:szCs w:val="18"/>
                <w:b w:val="1"/>
                <w:bCs w:val="1"/>
                <w:color w:val="auto"/>
                <w:w w:val="91"/>
              </w:rPr>
              <w:t>Venice, California</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90291</w:t>
            </w:r>
          </w:p>
        </w:tc>
      </w:tr>
      <w:tr>
        <w:trPr>
          <w:trHeight w:val="230"/>
        </w:trPr>
        <w:tc>
          <w:tcPr>
            <w:tcW w:w="474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00" w:type="dxa"/>
            <w:vAlign w:val="bottom"/>
          </w:tcPr>
          <w:p>
            <w:pPr>
              <w:jc w:val="center"/>
              <w:ind w:right="1490"/>
              <w:spacing w:after="0"/>
              <w:rPr>
                <w:sz w:val="20"/>
                <w:szCs w:val="20"/>
                <w:color w:val="auto"/>
              </w:rPr>
            </w:pPr>
            <w:r>
              <w:rPr>
                <w:rFonts w:ascii="Arial" w:cs="Arial" w:eastAsia="Arial" w:hAnsi="Arial"/>
                <w:sz w:val="18"/>
                <w:szCs w:val="18"/>
                <w:color w:val="auto"/>
                <w:w w:val="94"/>
              </w:rPr>
              <w:t>(Zip Code)</w:t>
            </w:r>
          </w:p>
        </w:tc>
      </w:tr>
      <w:tr>
        <w:trPr>
          <w:trHeight w:val="337"/>
        </w:trPr>
        <w:tc>
          <w:tcPr>
            <w:tcW w:w="7340" w:type="dxa"/>
            <w:vAlign w:val="bottom"/>
            <w:gridSpan w:val="7"/>
          </w:tcPr>
          <w:p>
            <w:pPr>
              <w:jc w:val="center"/>
              <w:ind w:left="3830"/>
              <w:spacing w:after="0"/>
              <w:rPr>
                <w:sz w:val="20"/>
                <w:szCs w:val="20"/>
                <w:color w:val="auto"/>
              </w:rPr>
            </w:pPr>
            <w:r>
              <w:rPr>
                <w:rFonts w:ascii="Arial" w:cs="Arial" w:eastAsia="Arial" w:hAnsi="Arial"/>
                <w:sz w:val="18"/>
                <w:szCs w:val="18"/>
                <w:color w:val="auto"/>
                <w:w w:val="90"/>
              </w:rPr>
              <w:t xml:space="preserve">Registrant’s telephone number: </w:t>
            </w:r>
            <w:r>
              <w:rPr>
                <w:rFonts w:ascii="Arial" w:cs="Arial" w:eastAsia="Arial" w:hAnsi="Arial"/>
                <w:sz w:val="18"/>
                <w:szCs w:val="18"/>
                <w:b w:val="1"/>
                <w:bCs w:val="1"/>
                <w:color w:val="auto"/>
                <w:w w:val="90"/>
              </w:rPr>
              <w:t>(883) 478-2253</w:t>
            </w:r>
          </w:p>
        </w:tc>
        <w:tc>
          <w:tcPr>
            <w:tcW w:w="3900" w:type="dxa"/>
            <w:vAlign w:val="bottom"/>
          </w:tcPr>
          <w:p>
            <w:pPr>
              <w:spacing w:after="0"/>
              <w:rPr>
                <w:sz w:val="24"/>
                <w:szCs w:val="24"/>
                <w:color w:val="auto"/>
              </w:rPr>
            </w:pPr>
          </w:p>
        </w:tc>
      </w:tr>
      <w:tr>
        <w:trPr>
          <w:trHeight w:val="351"/>
        </w:trPr>
        <w:tc>
          <w:tcPr>
            <w:tcW w:w="112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71"/>
        </w:trPr>
        <w:tc>
          <w:tcPr>
            <w:tcW w:w="4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Title of Each Class</w:t>
            </w:r>
          </w:p>
        </w:tc>
        <w:tc>
          <w:tcPr>
            <w:tcW w:w="260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1"/>
              </w:rPr>
              <w:t>Trading Symbol(s)</w:t>
            </w:r>
          </w:p>
        </w:tc>
        <w:tc>
          <w:tcPr>
            <w:tcW w:w="39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2"/>
        </w:trPr>
        <w:tc>
          <w:tcPr>
            <w:tcW w:w="4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share of Class A Common Stock</w:t>
            </w:r>
          </w:p>
        </w:tc>
        <w:tc>
          <w:tcPr>
            <w:tcW w:w="2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gridSpan w:val="3"/>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95"/>
              </w:rPr>
              <w:t>SRACU</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900" w:type="dxa"/>
            <w:vAlign w:val="bottom"/>
            <w:tcBorders>
              <w:top w:val="single" w:sz="8" w:color="auto"/>
            </w:tcBorders>
            <w:shd w:val="clear" w:color="auto" w:fill="CCEEFF"/>
          </w:tcPr>
          <w:p>
            <w:pPr>
              <w:jc w:val="center"/>
              <w:ind w:right="270"/>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and one-half of one Redeemable Warrant</w:t>
            </w: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Class A Common Stock, par value $0.0001 per share</w:t>
            </w:r>
          </w:p>
        </w:tc>
        <w:tc>
          <w:tcPr>
            <w:tcW w:w="2600" w:type="dxa"/>
            <w:vAlign w:val="bottom"/>
            <w:gridSpan w:val="5"/>
          </w:tcPr>
          <w:p>
            <w:pPr>
              <w:jc w:val="center"/>
              <w:ind w:right="580"/>
              <w:spacing w:after="0"/>
              <w:rPr>
                <w:sz w:val="20"/>
                <w:szCs w:val="20"/>
                <w:color w:val="auto"/>
              </w:rPr>
            </w:pPr>
            <w:r>
              <w:rPr>
                <w:rFonts w:ascii="Arial" w:cs="Arial" w:eastAsia="Arial" w:hAnsi="Arial"/>
                <w:sz w:val="18"/>
                <w:szCs w:val="18"/>
                <w:color w:val="auto"/>
                <w:w w:val="91"/>
              </w:rPr>
              <w:t>SRAC</w:t>
            </w:r>
          </w:p>
        </w:tc>
        <w:tc>
          <w:tcPr>
            <w:tcW w:w="3900" w:type="dxa"/>
            <w:vAlign w:val="bottom"/>
          </w:tcPr>
          <w:p>
            <w:pPr>
              <w:jc w:val="center"/>
              <w:ind w:right="270"/>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7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89"/>
              </w:rPr>
              <w:t>Redeemable Warrants, each whole warrant exercisable for</w:t>
            </w:r>
          </w:p>
        </w:tc>
        <w:tc>
          <w:tcPr>
            <w:tcW w:w="2600" w:type="dxa"/>
            <w:vAlign w:val="bottom"/>
            <w:gridSpan w:val="5"/>
            <w:shd w:val="clear" w:color="auto" w:fill="CCEEFF"/>
          </w:tcPr>
          <w:p>
            <w:pPr>
              <w:jc w:val="center"/>
              <w:ind w:right="600"/>
              <w:spacing w:after="0" w:line="201" w:lineRule="exact"/>
              <w:rPr>
                <w:sz w:val="20"/>
                <w:szCs w:val="20"/>
                <w:color w:val="auto"/>
              </w:rPr>
            </w:pPr>
            <w:r>
              <w:rPr>
                <w:rFonts w:ascii="Arial" w:cs="Arial" w:eastAsia="Arial" w:hAnsi="Arial"/>
                <w:sz w:val="18"/>
                <w:szCs w:val="18"/>
                <w:color w:val="auto"/>
                <w:w w:val="95"/>
              </w:rPr>
              <w:t>SRACW</w:t>
            </w:r>
          </w:p>
        </w:tc>
        <w:tc>
          <w:tcPr>
            <w:tcW w:w="3900" w:type="dxa"/>
            <w:vAlign w:val="bottom"/>
            <w:shd w:val="clear" w:color="auto" w:fill="CCEEFF"/>
          </w:tcPr>
          <w:p>
            <w:pPr>
              <w:jc w:val="center"/>
              <w:ind w:right="270"/>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one share of Class A Common Stock at an exercise price of</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r>
      <w:tr>
        <w:trPr>
          <w:trHeight w:val="230"/>
        </w:trPr>
        <w:tc>
          <w:tcPr>
            <w:tcW w:w="4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$11.50</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r>
    </w:tbl>
    <w:p>
      <w:pPr>
        <w:spacing w:after="0" w:line="130"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15" w:lineRule="exact"/>
        <w:rPr>
          <w:sz w:val="24"/>
          <w:szCs w:val="24"/>
          <w:color w:val="auto"/>
        </w:rPr>
      </w:pPr>
    </w:p>
    <w:p>
      <w:pPr>
        <w:spacing w:after="0" w:line="207" w:lineRule="exact"/>
        <w:tabs>
          <w:tab w:leader="none" w:pos="8620" w:val="left"/>
          <w:tab w:leader="none" w:pos="926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07" w:lineRule="exact"/>
        <w:tabs>
          <w:tab w:leader="none" w:pos="9520" w:val="left"/>
          <w:tab w:leader="none" w:pos="1022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40" w:right="339" w:bottom="1440" w:gutter="0" w:footer="0" w:header="0"/>
        </w:sectPr>
      </w:pPr>
    </w:p>
    <w:p>
      <w:pPr>
        <w:spacing w:after="0" w:line="10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3">
            <w:col w:w="1620" w:space="140"/>
            <w:col w:w="2920" w:space="720"/>
            <w:col w:w="5840"/>
          </w:cols>
          <w:pgMar w:left="320" w:top="540" w:right="339" w:bottom="1440"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tabs>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As of June 28, 2019, the last business day of the registrant’s most recently completed second fiscal quarter, the registrant’s securities were not publicly traded. The registrant’s units began trading on the Nasdaq Capital Market on November 8, 2019 and the registrant’s shares of Class A common stock and warrants began trading on the Nasdaq Capital Market on December 30, 2019.</w:t>
      </w:r>
    </w:p>
    <w:p>
      <w:pPr>
        <w:spacing w:after="0" w:line="103"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As of March 26, 2020, there were 17,795,000 shares of Class A common stock and 4,312,500 shares of Class B common stock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60" w:type="dxa"/>
            <w:vAlign w:val="bottom"/>
            <w:gridSpan w:val="10"/>
          </w:tcPr>
          <w:p>
            <w:pPr>
              <w:ind w:left="42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17"/>
                <w:szCs w:val="17"/>
                <w:color w:val="auto"/>
              </w:rPr>
            </w:pPr>
          </w:p>
        </w:tc>
      </w:tr>
      <w:tr>
        <w:trPr>
          <w:trHeight w:val="473"/>
        </w:trPr>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1100" w:type="dxa"/>
            <w:vAlign w:val="bottom"/>
            <w:tcBorders>
              <w:top w:val="single" w:sz="8" w:color="auto"/>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PAGE</w:t>
            </w:r>
          </w:p>
        </w:tc>
      </w:tr>
      <w:tr>
        <w:trPr>
          <w:trHeight w:val="196"/>
        </w:trPr>
        <w:tc>
          <w:tcPr>
            <w:tcW w:w="680" w:type="dxa"/>
            <w:vAlign w:val="bottom"/>
            <w:gridSpan w:val="5"/>
            <w:shd w:val="clear" w:color="auto" w:fill="CCEEFF"/>
          </w:tcPr>
          <w:p>
            <w:pPr>
              <w:spacing w:after="0" w:line="142" w:lineRule="exact"/>
              <w:rPr>
                <w:rFonts w:ascii="Arial" w:cs="Arial" w:eastAsia="Arial" w:hAnsi="Arial"/>
                <w:sz w:val="16"/>
                <w:szCs w:val="16"/>
                <w:color w:val="0000EE"/>
              </w:rPr>
            </w:pPr>
            <w:hyperlink w:anchor="page5">
              <w:r>
                <w:rPr>
                  <w:rFonts w:ascii="Arial" w:cs="Arial" w:eastAsia="Arial" w:hAnsi="Arial"/>
                  <w:sz w:val="16"/>
                  <w:szCs w:val="16"/>
                  <w:color w:val="0000EE"/>
                </w:rPr>
                <w:t>PART I</w:t>
              </w:r>
            </w:hyperlink>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r>
      <w:tr>
        <w:trPr>
          <w:trHeight w:val="176"/>
        </w:trPr>
        <w:tc>
          <w:tcPr>
            <w:tcW w:w="60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0" w:type="dxa"/>
            <w:vAlign w:val="bottom"/>
            <w:tcBorders>
              <w:top w:val="single" w:sz="8" w:color="CCEEFF"/>
            </w:tcBorders>
            <w:gridSpan w:val="3"/>
          </w:tcPr>
          <w:p>
            <w:pPr>
              <w:spacing w:after="0"/>
              <w:rPr>
                <w:sz w:val="15"/>
                <w:szCs w:val="15"/>
                <w:color w:val="auto"/>
              </w:rPr>
            </w:pPr>
          </w:p>
        </w:tc>
        <w:tc>
          <w:tcPr>
            <w:tcW w:w="9220" w:type="dxa"/>
            <w:vAlign w:val="bottom"/>
            <w:tcBorders>
              <w:top w:val="single" w:sz="8" w:color="CCEEFF"/>
            </w:tcBorders>
            <w:gridSpan w:val="24"/>
          </w:tcPr>
          <w:p>
            <w:pPr>
              <w:ind w:left="2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3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680" w:type="dxa"/>
            <w:vAlign w:val="bottom"/>
            <w:gridSpan w:val="5"/>
            <w:shd w:val="clear" w:color="auto" w:fill="CCEEFF"/>
          </w:tcPr>
          <w:p>
            <w:pPr>
              <w:spacing w:after="0" w:line="176"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Item 1A.</w:t>
              </w:r>
            </w:hyperlink>
          </w:p>
        </w:tc>
        <w:tc>
          <w:tcPr>
            <w:tcW w:w="9220" w:type="dxa"/>
            <w:vAlign w:val="bottom"/>
            <w:gridSpan w:val="24"/>
            <w:shd w:val="clear" w:color="auto" w:fill="CCEEFF"/>
          </w:tcPr>
          <w:p>
            <w:pPr>
              <w:ind w:left="2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40" w:type="dxa"/>
            <w:vAlign w:val="bottom"/>
            <w:gridSpan w:val="3"/>
          </w:tcPr>
          <w:p>
            <w:pPr>
              <w:spacing w:after="0" w:line="17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Item 1B.</w:t>
              </w:r>
            </w:hyperlink>
          </w:p>
        </w:tc>
        <w:tc>
          <w:tcPr>
            <w:tcW w:w="40" w:type="dxa"/>
            <w:vAlign w:val="bottom"/>
            <w:gridSpan w:val="2"/>
          </w:tcPr>
          <w:p>
            <w:pPr>
              <w:spacing w:after="0"/>
              <w:rPr>
                <w:sz w:val="15"/>
                <w:szCs w:val="15"/>
                <w:color w:val="auto"/>
              </w:rPr>
            </w:pPr>
          </w:p>
        </w:tc>
        <w:tc>
          <w:tcPr>
            <w:tcW w:w="9220" w:type="dxa"/>
            <w:vAlign w:val="bottom"/>
            <w:gridSpan w:val="24"/>
          </w:tcPr>
          <w:p>
            <w:pPr>
              <w:ind w:left="24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2.</w:t>
              </w:r>
            </w:hyperlink>
          </w:p>
        </w:tc>
        <w:tc>
          <w:tcPr>
            <w:tcW w:w="160" w:type="dxa"/>
            <w:vAlign w:val="bottom"/>
            <w:gridSpan w:val="4"/>
            <w:shd w:val="clear" w:color="auto" w:fill="CCEEFF"/>
          </w:tcPr>
          <w:p>
            <w:pPr>
              <w:spacing w:after="0"/>
              <w:rPr>
                <w:sz w:val="15"/>
                <w:szCs w:val="15"/>
                <w:color w:val="auto"/>
              </w:rPr>
            </w:pPr>
          </w:p>
        </w:tc>
        <w:tc>
          <w:tcPr>
            <w:tcW w:w="9220" w:type="dxa"/>
            <w:vAlign w:val="bottom"/>
            <w:gridSpan w:val="24"/>
            <w:shd w:val="clear" w:color="auto" w:fill="CCEEFF"/>
          </w:tcPr>
          <w:p>
            <w:pPr>
              <w:ind w:left="24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line="17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3.</w:t>
              </w:r>
            </w:hyperlink>
          </w:p>
        </w:tc>
        <w:tc>
          <w:tcPr>
            <w:tcW w:w="160" w:type="dxa"/>
            <w:vAlign w:val="bottom"/>
            <w:gridSpan w:val="4"/>
          </w:tcPr>
          <w:p>
            <w:pPr>
              <w:spacing w:after="0"/>
              <w:rPr>
                <w:sz w:val="15"/>
                <w:szCs w:val="15"/>
                <w:color w:val="auto"/>
              </w:rPr>
            </w:pPr>
          </w:p>
        </w:tc>
        <w:tc>
          <w:tcPr>
            <w:tcW w:w="9220" w:type="dxa"/>
            <w:vAlign w:val="bottom"/>
            <w:gridSpan w:val="24"/>
          </w:tcPr>
          <w:p>
            <w:pPr>
              <w:ind w:left="24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9220" w:type="dxa"/>
            <w:vAlign w:val="bottom"/>
            <w:gridSpan w:val="24"/>
            <w:shd w:val="clear" w:color="auto" w:fill="CCEEFF"/>
          </w:tcPr>
          <w:p>
            <w:pPr>
              <w:ind w:left="24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PART II</w:t>
              </w:r>
            </w:hyperlink>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175"/>
        </w:trPr>
        <w:tc>
          <w:tcPr>
            <w:tcW w:w="60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5.</w:t>
              </w:r>
            </w:hyperlink>
          </w:p>
        </w:tc>
        <w:tc>
          <w:tcPr>
            <w:tcW w:w="80" w:type="dxa"/>
            <w:vAlign w:val="bottom"/>
            <w:tcBorders>
              <w:top w:val="single" w:sz="8" w:color="CCEEFF"/>
            </w:tcBorders>
            <w:gridSpan w:val="3"/>
          </w:tcPr>
          <w:p>
            <w:pPr>
              <w:spacing w:after="0"/>
              <w:rPr>
                <w:sz w:val="15"/>
                <w:szCs w:val="15"/>
                <w:color w:val="auto"/>
              </w:rPr>
            </w:pPr>
          </w:p>
        </w:tc>
        <w:tc>
          <w:tcPr>
            <w:tcW w:w="9220" w:type="dxa"/>
            <w:vAlign w:val="bottom"/>
            <w:tcBorders>
              <w:top w:val="single" w:sz="8" w:color="CCEEFF"/>
            </w:tcBorders>
            <w:gridSpan w:val="24"/>
          </w:tcPr>
          <w:p>
            <w:pPr>
              <w:ind w:left="2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Market for Registrant’s Common Equity, Related Stockholder Matters and Issuer Purchases of Equity Securities</w:t>
              </w:r>
            </w:hyperlink>
          </w:p>
        </w:tc>
        <w:tc>
          <w:tcPr>
            <w:tcW w:w="13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160" w:type="dxa"/>
            <w:vAlign w:val="bottom"/>
            <w:gridSpan w:val="4"/>
            <w:shd w:val="clear" w:color="auto" w:fill="CCEEFF"/>
          </w:tcPr>
          <w:p>
            <w:pPr>
              <w:spacing w:after="0"/>
              <w:rPr>
                <w:sz w:val="15"/>
                <w:szCs w:val="15"/>
                <w:color w:val="auto"/>
              </w:rPr>
            </w:pPr>
          </w:p>
        </w:tc>
        <w:tc>
          <w:tcPr>
            <w:tcW w:w="9220" w:type="dxa"/>
            <w:vAlign w:val="bottom"/>
            <w:gridSpan w:val="24"/>
            <w:shd w:val="clear" w:color="auto" w:fill="CCEEFF"/>
          </w:tcPr>
          <w:p>
            <w:pPr>
              <w:ind w:left="2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Selected Financial Data</w:t>
              </w:r>
            </w:hyperlink>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line="17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7.</w:t>
              </w:r>
            </w:hyperlink>
          </w:p>
        </w:tc>
        <w:tc>
          <w:tcPr>
            <w:tcW w:w="160" w:type="dxa"/>
            <w:vAlign w:val="bottom"/>
            <w:gridSpan w:val="4"/>
          </w:tcPr>
          <w:p>
            <w:pPr>
              <w:spacing w:after="0"/>
              <w:rPr>
                <w:sz w:val="15"/>
                <w:szCs w:val="15"/>
                <w:color w:val="auto"/>
              </w:rPr>
            </w:pPr>
          </w:p>
        </w:tc>
        <w:tc>
          <w:tcPr>
            <w:tcW w:w="9220" w:type="dxa"/>
            <w:vAlign w:val="bottom"/>
            <w:gridSpan w:val="24"/>
          </w:tcPr>
          <w:p>
            <w:pPr>
              <w:ind w:left="24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680" w:type="dxa"/>
            <w:vAlign w:val="bottom"/>
            <w:gridSpan w:val="5"/>
            <w:shd w:val="clear" w:color="auto" w:fill="CCEEFF"/>
          </w:tcPr>
          <w:p>
            <w:pPr>
              <w:spacing w:after="0" w:line="176"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Item 7A.</w:t>
              </w:r>
            </w:hyperlink>
          </w:p>
        </w:tc>
        <w:tc>
          <w:tcPr>
            <w:tcW w:w="9220" w:type="dxa"/>
            <w:vAlign w:val="bottom"/>
            <w:gridSpan w:val="24"/>
            <w:shd w:val="clear" w:color="auto" w:fill="CCEEFF"/>
          </w:tcPr>
          <w:p>
            <w:pPr>
              <w:ind w:left="24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gridSpan w:val="3"/>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8.</w:t>
              </w:r>
            </w:hyperlink>
          </w:p>
        </w:tc>
        <w:tc>
          <w:tcPr>
            <w:tcW w:w="40" w:type="dxa"/>
            <w:vAlign w:val="bottom"/>
            <w:gridSpan w:val="2"/>
          </w:tcPr>
          <w:p>
            <w:pPr>
              <w:spacing w:after="0"/>
              <w:rPr>
                <w:sz w:val="15"/>
                <w:szCs w:val="15"/>
                <w:color w:val="auto"/>
              </w:rPr>
            </w:pPr>
          </w:p>
        </w:tc>
        <w:tc>
          <w:tcPr>
            <w:tcW w:w="9220" w:type="dxa"/>
            <w:vAlign w:val="bottom"/>
            <w:gridSpan w:val="24"/>
          </w:tcPr>
          <w:p>
            <w:pPr>
              <w:ind w:left="24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Supplementary Data</w:t>
              </w:r>
            </w:hyperlink>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9.</w:t>
              </w:r>
            </w:hyperlink>
          </w:p>
        </w:tc>
        <w:tc>
          <w:tcPr>
            <w:tcW w:w="160" w:type="dxa"/>
            <w:vAlign w:val="bottom"/>
            <w:gridSpan w:val="4"/>
            <w:shd w:val="clear" w:color="auto" w:fill="CCEEFF"/>
          </w:tcPr>
          <w:p>
            <w:pPr>
              <w:spacing w:after="0"/>
              <w:rPr>
                <w:sz w:val="15"/>
                <w:szCs w:val="15"/>
                <w:color w:val="auto"/>
              </w:rPr>
            </w:pPr>
          </w:p>
        </w:tc>
        <w:tc>
          <w:tcPr>
            <w:tcW w:w="9220" w:type="dxa"/>
            <w:vAlign w:val="bottom"/>
            <w:gridSpan w:val="24"/>
            <w:shd w:val="clear" w:color="auto" w:fill="CCEEFF"/>
          </w:tcPr>
          <w:p>
            <w:pPr>
              <w:ind w:left="24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Changes in and Disagreements with Accountants on Accounting and Financial Disclosure</w:t>
              </w:r>
            </w:hyperlink>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80" w:type="dxa"/>
            <w:vAlign w:val="bottom"/>
            <w:gridSpan w:val="5"/>
          </w:tcPr>
          <w:p>
            <w:pPr>
              <w:spacing w:after="0" w:line="176"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Item 9A.</w:t>
              </w:r>
            </w:hyperlink>
          </w:p>
        </w:tc>
        <w:tc>
          <w:tcPr>
            <w:tcW w:w="9220" w:type="dxa"/>
            <w:vAlign w:val="bottom"/>
            <w:gridSpan w:val="24"/>
          </w:tcPr>
          <w:p>
            <w:pPr>
              <w:ind w:left="24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680" w:type="dxa"/>
            <w:vAlign w:val="bottom"/>
            <w:gridSpan w:val="5"/>
            <w:shd w:val="clear" w:color="auto" w:fill="CCEEFF"/>
          </w:tcPr>
          <w:p>
            <w:pPr>
              <w:spacing w:after="0" w:line="176"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Item 9B.</w:t>
              </w:r>
            </w:hyperlink>
          </w:p>
        </w:tc>
        <w:tc>
          <w:tcPr>
            <w:tcW w:w="9220" w:type="dxa"/>
            <w:vAlign w:val="bottom"/>
            <w:gridSpan w:val="24"/>
            <w:shd w:val="clear" w:color="auto" w:fill="CCEEFF"/>
          </w:tcPr>
          <w:p>
            <w:pPr>
              <w:ind w:left="24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5"/>
            <w:shd w:val="clear" w:color="auto" w:fill="CCEEFF"/>
          </w:tcPr>
          <w:p>
            <w:pPr>
              <w:spacing w:after="0" w:line="17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PART III</w:t>
              </w:r>
            </w:hyperlink>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176"/>
        </w:trPr>
        <w:tc>
          <w:tcPr>
            <w:tcW w:w="660" w:type="dxa"/>
            <w:vAlign w:val="bottom"/>
            <w:tcBorders>
              <w:top w:val="single" w:sz="8" w:color="0000EE"/>
            </w:tcBorders>
            <w:gridSpan w:val="4"/>
          </w:tcPr>
          <w:p>
            <w:pPr>
              <w:spacing w:after="0" w:line="176"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Item 10.</w:t>
              </w:r>
            </w:hyperlink>
          </w:p>
        </w:tc>
        <w:tc>
          <w:tcPr>
            <w:tcW w:w="20" w:type="dxa"/>
            <w:vAlign w:val="bottom"/>
            <w:tcBorders>
              <w:top w:val="single" w:sz="8" w:color="CCEEFF"/>
            </w:tcBorders>
          </w:tcPr>
          <w:p>
            <w:pPr>
              <w:spacing w:after="0"/>
              <w:rPr>
                <w:sz w:val="15"/>
                <w:szCs w:val="15"/>
                <w:color w:val="auto"/>
              </w:rPr>
            </w:pPr>
          </w:p>
        </w:tc>
        <w:tc>
          <w:tcPr>
            <w:tcW w:w="9220" w:type="dxa"/>
            <w:vAlign w:val="bottom"/>
            <w:tcBorders>
              <w:top w:val="single" w:sz="8" w:color="CCEEFF"/>
            </w:tcBorders>
            <w:gridSpan w:val="24"/>
          </w:tcPr>
          <w:p>
            <w:pPr>
              <w:ind w:left="24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Directors, Executive Officers and Corporate Governance</w:t>
              </w:r>
            </w:hyperlink>
          </w:p>
        </w:tc>
        <w:tc>
          <w:tcPr>
            <w:tcW w:w="13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11.</w:t>
              </w:r>
            </w:hyperlink>
          </w:p>
        </w:tc>
        <w:tc>
          <w:tcPr>
            <w:tcW w:w="9220" w:type="dxa"/>
            <w:vAlign w:val="bottom"/>
            <w:gridSpan w:val="24"/>
            <w:shd w:val="clear" w:color="auto" w:fill="CCEEFF"/>
          </w:tcPr>
          <w:p>
            <w:pPr>
              <w:ind w:left="24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56</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80" w:type="dxa"/>
            <w:vAlign w:val="bottom"/>
            <w:gridSpan w:val="5"/>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12.</w:t>
              </w:r>
            </w:hyperlink>
          </w:p>
        </w:tc>
        <w:tc>
          <w:tcPr>
            <w:tcW w:w="9220" w:type="dxa"/>
            <w:vAlign w:val="bottom"/>
            <w:gridSpan w:val="24"/>
          </w:tcPr>
          <w:p>
            <w:pPr>
              <w:ind w:left="24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Security Ownership of Certain Beneficial Owners and Management and Related Stockholder Matters</w:t>
              </w:r>
            </w:hyperlink>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13.</w:t>
              </w:r>
            </w:hyperlink>
          </w:p>
        </w:tc>
        <w:tc>
          <w:tcPr>
            <w:tcW w:w="9220" w:type="dxa"/>
            <w:vAlign w:val="bottom"/>
            <w:gridSpan w:val="24"/>
            <w:shd w:val="clear" w:color="auto" w:fill="CCEEFF"/>
          </w:tcPr>
          <w:p>
            <w:pPr>
              <w:ind w:left="24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gridSpan w:val="5"/>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14.</w:t>
              </w:r>
            </w:hyperlink>
          </w:p>
        </w:tc>
        <w:tc>
          <w:tcPr>
            <w:tcW w:w="9220" w:type="dxa"/>
            <w:vAlign w:val="bottom"/>
            <w:gridSpan w:val="24"/>
          </w:tcPr>
          <w:p>
            <w:pPr>
              <w:ind w:left="24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Principal Accounting Fees and Services</w:t>
              </w:r>
            </w:hyperlink>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75"/>
        </w:trPr>
        <w:tc>
          <w:tcPr>
            <w:tcW w:w="680" w:type="dxa"/>
            <w:vAlign w:val="bottom"/>
            <w:tcBorders>
              <w:bottom w:val="single" w:sz="8" w:color="0000EE"/>
            </w:tcBorders>
            <w:gridSpan w:val="5"/>
          </w:tcPr>
          <w:p>
            <w:pPr>
              <w:spacing w:after="0" w:line="17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PART IV</w:t>
              </w:r>
            </w:hyperlink>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15.</w:t>
              </w:r>
            </w:hyperlink>
          </w:p>
        </w:tc>
        <w:tc>
          <w:tcPr>
            <w:tcW w:w="9220" w:type="dxa"/>
            <w:vAlign w:val="bottom"/>
            <w:gridSpan w:val="24"/>
            <w:shd w:val="clear" w:color="auto" w:fill="CCEEFF"/>
          </w:tcPr>
          <w:p>
            <w:pPr>
              <w:ind w:left="24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Exhibits and Financial Statement Schedules</w:t>
              </w:r>
            </w:hyperlink>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80" w:type="dxa"/>
            <w:vAlign w:val="bottom"/>
            <w:gridSpan w:val="5"/>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16.</w:t>
              </w:r>
            </w:hyperlink>
          </w:p>
        </w:tc>
        <w:tc>
          <w:tcPr>
            <w:tcW w:w="9220" w:type="dxa"/>
            <w:vAlign w:val="bottom"/>
            <w:gridSpan w:val="24"/>
          </w:tcPr>
          <w:p>
            <w:pPr>
              <w:ind w:left="24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Form 10-K Summary</w:t>
              </w:r>
            </w:hyperlink>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This report, including, without limitation, statements under the heading “Management’s Discussion and Analysis of Financial Condition and Results of Operations,” includes forward-looking statements within the meaning of Section 27A of the Securities Act of 1933 and Section 21E of the Securities Exchange Act of 1934.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ability to consummate any acquisition or other business combination and any other statements that are not statements of current or historical facts. These statements are based on management’s current expectations, but actual results may differ materially due to various factors, including, but not limited to:</w:t>
      </w:r>
    </w:p>
    <w:p>
      <w:pPr>
        <w:spacing w:after="0" w:line="178"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980" w:right="8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the listing on, or the delisting of our securities from, Nasdaq or an inability to have our securities listed on Nasdaq or another national securities exchange following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“Risk Factors” may not be exhaustive.</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t>Unless otherwise stated in this report, or the context otherwise requires, references to:</w:t>
      </w:r>
    </w:p>
    <w:p>
      <w:pPr>
        <w:spacing w:after="0" w:line="225" w:lineRule="exact"/>
        <w:rPr>
          <w:sz w:val="20"/>
          <w:szCs w:val="20"/>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 are to our Class A common stock and our Class B common stock, collectively;</w:t>
      </w:r>
    </w:p>
    <w:p>
      <w:pPr>
        <w:spacing w:after="0" w:line="225" w:lineRule="exact"/>
        <w:rPr>
          <w:rFonts w:ascii="Arial" w:cs="Arial" w:eastAsia="Arial" w:hAnsi="Arial"/>
          <w:sz w:val="18"/>
          <w:szCs w:val="18"/>
          <w:color w:val="auto"/>
        </w:rPr>
      </w:pPr>
    </w:p>
    <w:p>
      <w:pPr>
        <w:ind w:left="324" w:right="420" w:hanging="324"/>
        <w:spacing w:after="0" w:line="308" w:lineRule="auto"/>
        <w:tabs>
          <w:tab w:leader="none" w:pos="324" w:val="left"/>
        </w:tabs>
        <w:numPr>
          <w:ilvl w:val="0"/>
          <w:numId w:val="3"/>
        </w:numPr>
        <w:rPr>
          <w:rFonts w:ascii="Arial" w:cs="Arial" w:eastAsia="Arial" w:hAnsi="Arial"/>
          <w:sz w:val="17"/>
          <w:szCs w:val="17"/>
          <w:color w:val="auto"/>
        </w:rPr>
      </w:pPr>
      <w:r>
        <w:rPr>
          <w:rFonts w:ascii="Arial" w:cs="Arial" w:eastAsia="Arial" w:hAnsi="Arial"/>
          <w:sz w:val="17"/>
          <w:szCs w:val="17"/>
          <w:color w:val="auto"/>
        </w:rPr>
        <w:t>“founder shares” are to shares of our Class B common stock initially purchased by our sponsor in a private placement prior to our initial public offering, and the shares of our Class A common stock issued upon the conversion thereof as described herein;</w:t>
      </w:r>
    </w:p>
    <w:p>
      <w:pPr>
        <w:spacing w:after="0" w:line="146" w:lineRule="exact"/>
        <w:rPr>
          <w:rFonts w:ascii="Arial" w:cs="Arial" w:eastAsia="Arial" w:hAnsi="Arial"/>
          <w:sz w:val="17"/>
          <w:szCs w:val="17"/>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stockholders” are to our sponsor and any other holders of our founder shares (or their permitted transferees);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324" w:right="260"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are to the warrants issued to our sponsor in a private placement simultaneously with the closing of our initial public offering;</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shares” are to shares of our Class A common stock sold as part of the units in our initial public offering (whether they were purchased in such offering or thereafter in the open market);</w:t>
      </w:r>
    </w:p>
    <w:p>
      <w:pPr>
        <w:spacing w:after="0" w:line="170" w:lineRule="exact"/>
        <w:rPr>
          <w:rFonts w:ascii="Arial" w:cs="Arial" w:eastAsia="Arial" w:hAnsi="Arial"/>
          <w:sz w:val="18"/>
          <w:szCs w:val="18"/>
          <w:color w:val="auto"/>
        </w:rPr>
      </w:pPr>
    </w:p>
    <w:p>
      <w:pPr>
        <w:ind w:left="324" w:right="80" w:hanging="324"/>
        <w:spacing w:after="0" w:line="286" w:lineRule="auto"/>
        <w:tabs>
          <w:tab w:leader="none" w:pos="324"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shall only exist with respect to such public shares;</w:t>
      </w:r>
    </w:p>
    <w:p>
      <w:pPr>
        <w:spacing w:after="0" w:line="165" w:lineRule="exact"/>
        <w:rPr>
          <w:rFonts w:ascii="Arial" w:cs="Arial" w:eastAsia="Arial" w:hAnsi="Arial"/>
          <w:sz w:val="17"/>
          <w:szCs w:val="17"/>
          <w:color w:val="auto"/>
        </w:rPr>
      </w:pPr>
    </w:p>
    <w:p>
      <w:pPr>
        <w:ind w:left="324" w:right="80" w:hanging="324"/>
        <w:spacing w:after="0" w:line="259"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warrants” are to our redeemable warrants sold as part of the units in our initial public offering (whether they were purchased in our initial public offering or thereafter in the open market) and to any private placement warrants or warrants issued upon conversion of working capital loans that are sold to third parties that are not initial purchasers or executive officers or directors (or permitted transferees) following the consummation of our initial business combination;</w:t>
      </w:r>
    </w:p>
    <w:p>
      <w:pPr>
        <w:spacing w:after="0" w:line="186" w:lineRule="exact"/>
        <w:rPr>
          <w:rFonts w:ascii="Arial" w:cs="Arial" w:eastAsia="Arial" w:hAnsi="Arial"/>
          <w:sz w:val="18"/>
          <w:szCs w:val="18"/>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are to SRC-NI Holdings, LLC, a Delaware limited liability company;</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are to our redeemable warrants, which includes the public warrants as well as the private placement warrants to the extent they are no longer held by the initial purchasers of the private placement warrants or their permitted transferees; and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“company” or “our company” are to Stable Road Acquisition Corp..</w:t>
      </w:r>
    </w:p>
    <w:p>
      <w:pPr>
        <w:spacing w:after="0" w:line="200" w:lineRule="exact"/>
        <w:rPr>
          <w:sz w:val="20"/>
          <w:szCs w:val="20"/>
          <w:color w:val="auto"/>
        </w:rPr>
      </w:pPr>
    </w:p>
    <w:p>
      <w:pPr>
        <w:spacing w:after="0" w:line="234"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are an early stage blank check company recently formed as a Delaware corporation for the purpose of effecting a merger, capital stock exchange, asset acquisition, stock purchase, reorganization or similar business combination with one or more businesses. Throughout this Report we will refer to this as our initial business combination. While our efforts to identify a target business may span many industries and regions worldwide, we are focusing our search for prospects within the cannabis industry which are not directly involved in the production, distribution and sale of cannabis (i.e. businesses that “touch the plant”) and that are compliant with all applicable laws and regulations within the jurisdictions in which they are located or operate. We will not invest in, or consummate a business combination with, a target business that we determine has been operating, or whose business plan is to operate, in violation of U.S. federal laws, including the U.S. Controlled Substances Act. Our ability to locate a potential target is subject to the uncertainties discussed elsewhere in this Report.</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Although the cannabis industry has evolved significantly and continues to mature, we believe the industry is still undercapitalized and companies operating across multiple verticals consistently have trouble accessing capital from traditional sources. Historically, businesses that operate within the legal cannabis industry in the U.S. have relied largely on private money — friends and family, high net-worth individuals and small-to-medium-sized private investment firms, as institutional investors have shied away from companies in the cannabis industry, especially those that are directly involved in the production, distribution and sale of cannabis. Even businesses that do not touch the plant and instead provide ancillary services to the industry have found it extremely difficult to access large pools of institutional capital. As a result, we believe we have the opportunity to create a compelling structure that will enable a target company to go public, thereby accessing significant capital for both organic growth and for acquisitions of synergistic and often undercapitalized assets. Given the rapid growth of the legal cannabis market, management believes that the ability to move quickly to capitalize on new opportunities will be critical to success in creating stakeholder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management team has broad experience in identifying targets and acquiring businesses through different economic cycles and under diverse market conditions. We believe our management team is well positioned to identify and evaluate businesses within the cannabis sector that would benefit from their skills and access to the public markets. We believe our management team offers extensive experience in growing and operating companies, as well as a deep network of contacts, in the cannabis sector.</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management team has over 60 years of combined professional experience and is led by Brian Kabot, the chief investment officer of Stable Road Capital, and Juan Manuel Quiroga, the chief investment officer of NALA Investments. Stable Road Capital is a single-family office managing a portfolio of investments across public securities, private credit, private equity, real estate, venture capital, and cannabis. NALA Investments is a single-family office with investment interests across various industries including communications, transportation, consumer products, real estate, technology and media. Stable Road Capital and NALA Investments manage, in the aggregate, over $1.0 billion of investment capital. Through Stable Road Capital and NALA Investments, Mr. Kabot and Mr. Quiroga have, in the aggregate, executed over 20 transactions within or ancillary to the cannabis sector and have been responsible for investing over $150 million within or ancillary to the cannabis sector since July 2017. We believe that our management team’s investment experience and network of relationships developed through recent investment activity in the cannabis industry will provide us with a substantial number of potential acquisition opportunities.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Brian Kabot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Mr. Kabot, our Chairman and Chief Executive Officer, has over 19 years of principal investing experience and has served as Chief Investment Officer of Stable Road Capital since July 2017. Mr. Kabot previously served as the Director of Research at Eschaton Opportunities Fund Management LP, a management company for two global value hedge funds, and as a partner and Deputy Portfolio Manager of Riverloft Capital. Mr. Kabot serves as a director of the Treehouse Real Estate Investment Trust, a private real estate investment trust. Mr. Kabot also serves as a director of Old Pal, LLC, a private cannabis brand company, and Grenco Science LLC, a private developer of vape pens and portable vaporizers. He is also a Strategic Advisor to The Cannabis ETF (NYSE: THCX), a newly-launched cannabis-oriented exchange-traded fund managed by Innovation Shares LLC.</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James Norris</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Mr. Norris, our Chief Financial Officer, has more than 18 years of experience in the investment management industry. Since November 2018, Mr. Norris has served as the Chief Financial Officer of Stable Road Capital. Mr. Norris previously served as the Chief Financial Officer of Cycad Management LLC, a single family investment office, Chief Financial Officer and Chief Compliance Officer of Blue Jay Capital Management LLC, a SEC-registered investment management firm focused on equity investments in the healthcare sector, the Controller and Chief Compliance Officer of Expo Capital Management LLC, a SEC-registered investment management firm, and a Manager at PriceWaterhouseCoopers.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i w:val="1"/>
          <w:iCs w:val="1"/>
          <w:color w:val="auto"/>
        </w:rPr>
        <w:t>Juan Manuel Quiroga</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Mr. Quiroga, our Chief Investment Officer, has over 20 years of experience in the financial sector, including 14 years of principal investing experience. Since August 2015, Mr. Quiroga has served as Chief Investment Officer of Nala Investments. From September 2007 to August 2015, Mr. Quiroga served as Senior Vice President of Darby Private Equity. From August 2005 to August 2007, Mr. Quiroga served as a Vice President of Market Intelligence at General Electric Capital Solutions. Prior to that, from 1996 to 1998 and from 2000 to 2003, Mr. Quiroga worked for Grupo Financiero Banorte in Mexico City and New York City, where he collaborated on the creation of an asset management and financial derivatives division. Mr. Quiroga currently serves on the board of directors of Acrecent Financial Corporation, Cobiscopr and Good Media Company.</w:t>
      </w:r>
    </w:p>
    <w:p>
      <w:pPr>
        <w:spacing w:after="0" w:line="178"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color w:val="auto"/>
        </w:rPr>
        <w:t>Past performance of our management team, Stable Road Capital or NALA Investments is not a guarantee either (i) of success with respect to any business combination we may consummate or (ii) that we will be able to identify a suitable candidate for our initial business combination. You should not rely on the historical performance record of our management team, Stable Road Capital or NALA Investments as indicative of our future performance.</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Additionally, in the course of their respective careers, members of our management team have been involved in businesses and deals that were unsuccessful. Our officers and directors have no other experience with blank check companies or special purpose acquisition companies. In addition, our executive officers and directors may have conflicts of interest with other entities to which they owe fiduciary or contractual obligations with respect to initial business combination opportunities.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strategy is to pursue one or more business combinations with companies servicing and operating adjacent or ancillary to, the cannabis sector but which are not directly involved in the production, distribution and sale of cannabis (i.e. businesses that “touch the plant”). We are focusing our efforts on seeking and completing an initial business combination with one or more companies that have an aggregate enterprise value in excess of $300 million, although target entities with a smaller enterprise value may be considered. We are seeking potential targets which we believe can materially grow revenue and earnings both organically and inorganically through the efforts of our management team. These may include targets that can benefit from access to capital in order to: (i) increase spending on strategic initiatives that are expected to generate favorable returns and which can accelerate revenue and earnings growth; (ii) invest in infrastructure or technology; or (iii) fundamentally restructure their business operations.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pursuing opportunities across a number of verticals providing support to the cannabis industry with a particular focus on companies within the following sectors:</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 vaporization products, cannabis accessories and other products featuring a recurring revenue model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 seed to sale tracking, dispensary business software, point of sale solutions and compliance-related software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Labs </w:t>
      </w:r>
      <w:r>
        <w:rPr>
          <w:rFonts w:ascii="Arial" w:cs="Arial" w:eastAsia="Arial" w:hAnsi="Arial"/>
          <w:sz w:val="18"/>
          <w:szCs w:val="18"/>
          <w:color w:val="auto"/>
        </w:rPr>
        <w:t>— cannabis testing across flower, concentrates and infused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 supply chain partners, inventory management, shipping and logistics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 retail and industrial properties for recreational and medical cannabis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Brands </w:t>
      </w:r>
      <w:r>
        <w:rPr>
          <w:rFonts w:ascii="Arial" w:cs="Arial" w:eastAsia="Arial" w:hAnsi="Arial"/>
          <w:sz w:val="18"/>
          <w:szCs w:val="18"/>
          <w:color w:val="auto"/>
        </w:rPr>
        <w:t>— focus on unique business models such as licensing and direct to consumer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Packaging </w:t>
      </w:r>
      <w:r>
        <w:rPr>
          <w:rFonts w:ascii="Arial" w:cs="Arial" w:eastAsia="Arial" w:hAnsi="Arial"/>
          <w:sz w:val="18"/>
          <w:szCs w:val="18"/>
          <w:color w:val="auto"/>
        </w:rPr>
        <w:t>— premier cannabis compliant packaging across all product types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pursuit of our business strategy, we are:</w:t>
      </w:r>
    </w:p>
    <w:p>
      <w:pPr>
        <w:spacing w:after="0" w:line="225" w:lineRule="exact"/>
        <w:rPr>
          <w:sz w:val="20"/>
          <w:szCs w:val="20"/>
          <w:color w:val="auto"/>
        </w:rPr>
      </w:pPr>
    </w:p>
    <w:p>
      <w:pPr>
        <w:ind w:left="980" w:right="24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Opportunity Identification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Utilizing the extensive network of our management team to identify candidates for a possible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including cannabis industry investors, business owners, industry thought leaders, advisors, members of our sponsor, financial intermediaries, managers and others;</w:t>
      </w:r>
    </w:p>
    <w:p>
      <w:pPr>
        <w:spacing w:after="0" w:line="183"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Target and Industry Evaluation</w:t>
      </w:r>
      <w:r>
        <w:rPr>
          <w:rFonts w:ascii="Arial" w:cs="Arial" w:eastAsia="Arial" w:hAnsi="Arial"/>
          <w:sz w:val="18"/>
          <w:szCs w:val="18"/>
          <w:color w:val="auto"/>
        </w:rPr>
        <w:t>. Conducting a thorough assessment of the growth potential for possible targets including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analysis of current and future market opportunities;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 Assessment</w:t>
      </w:r>
      <w:r>
        <w:rPr>
          <w:rFonts w:ascii="Arial" w:cs="Arial" w:eastAsia="Arial" w:hAnsi="Arial"/>
          <w:sz w:val="18"/>
          <w:szCs w:val="18"/>
          <w:color w:val="auto"/>
        </w:rPr>
        <w:t>. Conducting rigorous due diligence on one or more targets, including a review of company-specific information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an analysis of the overall industry and competitive landscape.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also seek to:</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Financing</w:t>
      </w:r>
      <w:r>
        <w:rPr>
          <w:rFonts w:ascii="Arial" w:cs="Arial" w:eastAsia="Arial" w:hAnsi="Arial"/>
          <w:sz w:val="18"/>
          <w:szCs w:val="18"/>
          <w:color w:val="auto"/>
        </w:rPr>
        <w:t>.  Arrange appropriate financing to provide the target company with adequate capital to execute its business plan;</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 Pricing</w:t>
      </w:r>
      <w:r>
        <w:rPr>
          <w:rFonts w:ascii="Arial" w:cs="Arial" w:eastAsia="Arial" w:hAnsi="Arial"/>
          <w:sz w:val="18"/>
          <w:szCs w:val="18"/>
          <w:color w:val="auto"/>
        </w:rPr>
        <w:t>. Structure the transaction at a price that management deems attractive relative to its view of intrinsic value and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 w:name="page7"/>
    <w:bookmarkEnd w:id="6"/>
    <w:p>
      <w:pPr>
        <w:ind w:left="980" w:right="1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Operational Optimization</w:t>
      </w:r>
      <w:r>
        <w:rPr>
          <w:rFonts w:ascii="Arial" w:cs="Arial" w:eastAsia="Arial" w:hAnsi="Arial"/>
          <w:sz w:val="18"/>
          <w:szCs w:val="18"/>
          <w:color w:val="auto"/>
        </w:rPr>
        <w:t>. Implement operational and financial business planning which we believe can accelerate the growth of the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providing it with appropriate financial and operational flexibility; and</w:t>
      </w:r>
    </w:p>
    <w:p>
      <w:pPr>
        <w:spacing w:after="0" w:line="170" w:lineRule="exact"/>
        <w:rPr>
          <w:rFonts w:ascii="Arial" w:cs="Arial" w:eastAsia="Arial" w:hAnsi="Arial"/>
          <w:sz w:val="18"/>
          <w:szCs w:val="18"/>
          <w:color w:val="auto"/>
        </w:rPr>
      </w:pPr>
    </w:p>
    <w:p>
      <w:pPr>
        <w:ind w:left="980" w:right="9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Follow on Acquisition Opportunities</w:t>
      </w:r>
      <w:r>
        <w:rPr>
          <w:rFonts w:ascii="Arial" w:cs="Arial" w:eastAsia="Arial" w:hAnsi="Arial"/>
          <w:sz w:val="18"/>
          <w:szCs w:val="18"/>
          <w:color w:val="auto"/>
        </w:rPr>
        <w:t>. Seek further strategic acquisitions, divestitures or other transactions following a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with the goal of further enhancing shareholder value.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identified the following general criteria and guidelines that we believe are consistent with our acquisition philosophy and our management’s experience, and that we believe are important in evaluating prospective target businesses. We use these criteria and guidelines to evaluate acquisition opportunities, but we may decide to enter into our initial business combination with a target business that does not meet these criteria and guidelines.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seeking a business combination with one or more companies that we believe possess some or all of the following characteristics:</w:t>
      </w:r>
    </w:p>
    <w:p>
      <w:pPr>
        <w:spacing w:after="0" w:line="23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Operates adjacent or ancillary to the cannabis industry, but does not “touch the plant” and complies with all U.S. federal laws;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highly scalable;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strong intellectual property including brands, technology, software, methods, etc.;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an institutional mindset/infrastructure;</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a strong professional management team with deep networks within the cannabis sector and the ability to adapt to a quickly changing business environment;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potential to achieve significant growth in revenue and earnings;</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potential to generate attractive returns on invested capital, with incremental investment opportunities that will allow the company to increase earnings;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strong intellectual property, a defensible business model, a strong competitive position established customer relationships, and sustainable margins;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potential to grow via add-on acquisitions or is viewed as an appropriate platform for a future roll-up strategy;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Can benefit from expected consolidation within the cannabis industry;</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Can benefit from additional managerial guidance and strategic initiatives to reposition the company, accelerate growth or refocus the business on strategies that will result in value creation;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well received by financial markets as a public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the potential to generate risk-adjusted returns that are attractive for our stockholders.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Report, would be in the form of proxy solicitation materials or tender offer documents that we would file with the SEC.</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leveraged and will continue to leverage the following competitive strengths in seeking to achieve our business strategy: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Experienced management team with proven expertise in deploying capital within the cannabis ecosystem</w:t>
      </w:r>
    </w:p>
    <w:p>
      <w:pPr>
        <w:spacing w:after="0" w:line="225"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We believe that our management team’s long and diverse transaction experience provides us with a competitive advantage. Our Chairman and Chief Executive Officer has over 19 years of principal investing experience across a number of industries as an owner or financier and our Chief Investment Officer has over 14 years of principal investing experience. Stable Road Capital and NALA Investments manage, in the aggregate, over $1.0 billion of investment capital. Through Stable Road Capital and NALA Investments, Mr. Kabot and Mr. Quiroga have, in aggregate, executed over 20 transactions within or ancillary to the cannabis sector and have been responsible for investing over $150 million within or ancillary to the cannabis sector since July 2017. In addition to deep transaction experience in the cannabis sector and related support industries, our management team has extensive experience acquiring companies for private equity investors. Their transaction history includes control private equity investments, distressed debt for control transactions, and a hostile takeover of a public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647" w:gutter="0" w:footer="0" w:header="0"/>
        </w:sectPr>
      </w:pPr>
    </w:p>
    <w:bookmarkStart w:id="7" w:name="page8"/>
    <w:bookmarkEnd w:id="7"/>
    <w:p>
      <w:pPr>
        <w:ind w:left="660"/>
        <w:spacing w:after="0"/>
        <w:rPr>
          <w:sz w:val="20"/>
          <w:szCs w:val="20"/>
          <w:color w:val="auto"/>
        </w:rPr>
      </w:pPr>
      <w:r>
        <w:rPr>
          <w:rFonts w:ascii="Arial" w:cs="Arial" w:eastAsia="Arial" w:hAnsi="Arial"/>
          <w:sz w:val="16"/>
          <w:szCs w:val="16"/>
          <w:b w:val="1"/>
          <w:bCs w:val="1"/>
          <w:i w:val="1"/>
          <w:iCs w:val="1"/>
          <w:color w:val="auto"/>
        </w:rPr>
        <w:t>Utilizing our management team’s extensive sourcing network to identify the leading companies and assets servicing the cannabis industry</w:t>
      </w:r>
    </w:p>
    <w:p>
      <w:pPr>
        <w:spacing w:after="0" w:line="248" w:lineRule="exact"/>
        <w:rPr>
          <w:sz w:val="20"/>
          <w:szCs w:val="20"/>
          <w:color w:val="auto"/>
        </w:rPr>
      </w:pPr>
    </w:p>
    <w:p>
      <w:pPr>
        <w:ind w:right="480" w:firstLine="648"/>
        <w:spacing w:after="0" w:line="257" w:lineRule="auto"/>
        <w:rPr>
          <w:sz w:val="20"/>
          <w:szCs w:val="20"/>
          <w:color w:val="auto"/>
        </w:rPr>
      </w:pPr>
      <w:r>
        <w:rPr>
          <w:rFonts w:ascii="Arial" w:cs="Arial" w:eastAsia="Arial" w:hAnsi="Arial"/>
          <w:sz w:val="18"/>
          <w:szCs w:val="18"/>
          <w:color w:val="auto"/>
        </w:rPr>
        <w:t>Our management team has an extensive network of relationships with asset owners (including venture equity fund managers, private market investors and individuals), management teams, industry thought leaders, stakeholders, industry experts, consultants, professionals and financial intermediaries. Stable Road Capital and NALA Investments have led a number of capital raising rounds, and members of the management team have served on the board of directors of companies within the cannabis and cannabis services space. We believe these relationships will provide access to attractive acquisition opportunities.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Leveraging management’s extensive experience in capital markets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management team has substantial cross capital structure experience in both the private and public markets. Their cannabis transaction experience includes private and public companies as well as debt and equity investments across various stages of a company’s lifecycle. In addition, our management team has also overseen portfolios that invested in a wide variety of non-cannabis transactions, including private equity, public equities, private and public credit, real estate, and venture capital. We view this broad experience in capital markets to be a competitive advantage in sourcing a prospective business combination.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Implementing operational best practices and financial structuring opportunities post-closing</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leveraged and will continue to leverage our management team’s principal investing experience to develop and implement strategies to improve the operational and financial performance of the business combination target to create a platform for growth. Specifically, our management team intends to evaluate opportunities for industry consolidation in the target’s core lines of business as well as opportunities to vertically or horizontally integrate with other industry participants. We also intend to structure and execute a business combination that will provide the target business with a capital structure that provides flexibility to grow organically and through strategic acquisitions or divestitures to drive shareholder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However, we intend to satisfy the 80% requirement even if our securities are not listed on Nasdaq at the time of our initial business combination.</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initial business combination may collectively own a minority interest in the post-transaction company, depending on valuations ascribed to the target and us in the initial business combination.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Nasdaq’s 80% fair market value test. If the initial business combination involves more than one target business, the 80% fair market value test will be based on the aggregate value of all of the transactions and we will treat the target businesses together as the initial business combination for purposes of a tender offer or for seeking stockholder approval, as applicable.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believe our management team’s operational and investment track record in the cannabis industry and related sectors provides us with a deep understanding of challenges faced by business operators and owners of cannabis-related assets. We conduct robust due diligence as we evaluate a prospective target business to assess attributes that differentiate sustainable cannabis-servicing businesses from unattractive assets. Our diligence includes an assessment of the company’s competitive advantage through meetings with management and key employees, key customers, interactions with consultants and experts within our network, visits of key operating facilities and a review of financial, legal and operational documents. We also have the ability to bring creative solutions from a capital structure, growth, vision and operational standpoint to unlock shareholder value. In addition, we have retained and worked with financial advisors and legal counsel as well as industry consultants to conduct due diligence, develop strategic plans, and implement operational strategies.</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Stable Road Capital, NALA Investments, or our sponsor, officers or directors. In the event we seek to complete our initial business combination with a company that is affiliated with Stable Road Capital, NALA Investments or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Members of our management team directly or indirectly own our founders shares, common stock and/or private placement units,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Certain of our officers and directors presently have fiduciary or contractual obligations to other entities, including Stable Road Capital and NALA Investments,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may need to obtain additional financing either to complete our initial business combination or because we become obligated to redeem a significant number of our public shares upon completion of our initial business combination. We intend to acquire a company with an enterprise value significantly above the net proceeds of our initial public offering and the sale of the placement units. Depending on the size of the transaction or the number of public shares we become obligated to redeem, we may potentially utilize several additional financing sources, including but not limited to the issuance of additional securities to the sellers of a target business, debt issued by banks or other lenders or the owners of the target, a private placement to raise additional funds, or a combination of the foregoing. If we are unable to complete our initial business combination because we do not have sufficient funds available to us, we will be forced to cease operations and liquidate the trust account. In addition, following our initial business combination, if cash on hand is insufficient to meet our obligations or our working capital needs, we may need to obtain additional financing.</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growth, cost savings and acquisition opportunities, and accessing the financial markets to optimize the company’s capital structure. Subsequent to the closing of the initial business combination we expect to pursue initiatives through participation on the board of directors, through direct involvement with company operations or contacting former managers and advisors when necessary.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Members of our management team are not obligated to devote any specific number of hours to our matters but they devote as much of their time as they, in the exercise of their respective business judgment, deem necessary to our affairs and intend to continue doing so until we have completed our initial business combination. The amount of time that any member of our management team devotes in any time period may vary based on whether a target business has been selected for our initial business combination and the current stage of the business combination process. We do not have an employment agreement with any member of our management team.</w:t>
      </w:r>
    </w:p>
    <w:p>
      <w:pPr>
        <w:spacing w:after="0" w:line="18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believe our management team’s operating and transaction experience and relationships with companies will provide us with a substantial number of potential business combination targets. Over the course of their careers, the members of our management team have developed a broad network of contacts and corporate relationships in the cannabis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believe our structure makes us an attractive business combination partner to target businesses. As a public company, we offer a target business an alternative to the traditional initial public offering through a merger or other business combination with us. Following an initial business combination, we believe the target business would have greater access to capital and additional means of creating management incentives that are better aligned with stockholders’ interests than it would as a private company. A target business can further benefit by augmenting its profile among potential new customers and vendors and aid in attracting talented employees. In a business combination transaction with us, the owners of the target business may, for example, exchange their shares of stock in the target business for our shares of Class A common stock (or shares of a new holding company) or for a combination of our shares of Class A common stock and cash, allowing us to tailor the consideration to the specific needs of the sellers.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there are various costs and obligations associated with being a public company,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marketing and road show efforts that may not be present to the same extent in connection with an initial business combination with us.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and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78"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8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November 13, 2024, (b) in which we have total annual gross revenue of at least $1.07 billion, or (c) in which we are deemed to be a large accelerated filer, which means the market value of</w:t>
      </w:r>
    </w:p>
    <w:p>
      <w:pPr>
        <w:ind w:right="40"/>
        <w:spacing w:after="0" w:line="209" w:lineRule="auto"/>
        <w:rPr>
          <w:sz w:val="20"/>
          <w:szCs w:val="20"/>
          <w:color w:val="auto"/>
        </w:rPr>
      </w:pPr>
      <w:r>
        <w:rPr>
          <w:rFonts w:ascii="Arial" w:cs="Arial" w:eastAsia="Arial" w:hAnsi="Arial"/>
          <w:sz w:val="18"/>
          <w:szCs w:val="18"/>
          <w:color w:val="auto"/>
        </w:rPr>
        <w:t>our Class A common stock that is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With funds available in the trust account for an initial business combination in the amount of $165,946,011 (as of December 31, 2019), after payment of $6,900,000 of deferred underwriting fees,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We intend to effectuate our initial business combination using cash from the proceeds of our initial public offering and the private placement of the placement units, the proceeds of the sale of our shares in connection with our initial business combination (pursuant to backstop agreements we may enter into), shares issued to the owners of the target, debt issued by banks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39" w:gutter="0" w:footer="0" w:header="0"/>
        </w:sectPr>
      </w:pPr>
    </w:p>
    <w:bookmarkStart w:id="10" w:name="page11"/>
    <w:bookmarkEnd w:id="10"/>
    <w:p>
      <w:pPr>
        <w:ind w:right="40" w:firstLine="648"/>
        <w:spacing w:after="0" w:line="257"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common stock,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larger than we could acquire with the net proceeds of our initial public offering and the sale of the placement units, and may as a result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stockholder approval of such financing. There are no prohibitions on our ability to raise additional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Target Businesses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anticipate that target business candidates will continue to be brought to our attention from various unaffiliated sources, including investment bankers and investment professionals. Target businesses will continue to be brought to our attention by such unaffiliated sources as a result of being solicited by us by calls or mailings. These sources may also continue to introduce us to target businesses in which they think we may be interested on an unsolicited basis, since many of these sources will have read our public filings and know what types of businesses we are targeting. Our officers and directors, as well as our sponsor and their affiliates, may also continue to bring to our attention target business candidates that they become aware of through their business contacts as a result of formal or informal inquiries or discussions they may have, as well as attending trade shows or conventions. In addition, we may receive a number of proprietary deal flow opportunities that would not otherwise necessarily be available to us as a result of the business relationships of our officers and directors and our sponsor and their affiliates.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advisory fee or other compensation to be determined in an arm’s length negotiation based on the terms of the transaction,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existing officers, directors or advisors be paid any finder’s fee, reimbursement, consulting fee, monies in respect of any payment of a loan or other compensation by the company prior to, or in connection with any services rendered for any services they render in order to effectuate, the completion of our initial business combination (regardless of the type of transaction that it is). None of our sponsor, executive officers, directors or advisors, or any of their respective affiliates, are allowed to receive any compensation, finder’s fees or consulting fees from a prospective business combination target in connection with a contemplated initial business combination except as set forth herein. We pay an affiliate of our sponsor a total of $10,000 per month for office space, utilities and administrative support and to reimburse our sponsor for any out-of-pocket expenses related to identifying, investigating and completing an initial business combination. Some of our officers and directors may enter into employment or consulting agreements with the post-transaction company following our initial business combination. The presence or absence of any such fees or arrangements are not used as a criterion in our selection process of an initial business combination candidate.</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Stable Road Capital, NALA Investments, or our sponsor, officers or directors. In the event we seek to complete our initial business combination with a company that is affiliated with Stable Road Capital, NALA Investments or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any of our officers or directors becomes aware of an initial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Our officers and directors currently have certain relevant fiduciary duties or contractual obligations that may take priority over their duties to 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M&amp;A transactions of comparable businesses.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intend to satisfy the 80% requirement even if our securities are not listed on Nasdaq at the time of our initial business combination. We do not intend to purchase multiple businesses in unrelated industries in conjunction with our initial business combination. Subject to this requirement, our management has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to evaluate the possible merits or risks of any target business with which we may ultimately complete our initial business combination.</w:t>
      </w:r>
    </w:p>
    <w:p>
      <w:pPr>
        <w:spacing w:after="0" w:line="19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In evaluating a prospective business target, we conduct a thorough due diligence review, which encompasses, among other things, meetings with incumbent management and employees, document reviews, interviews of customers and suppliers, inspection of facilities, as well as a review of financial and other information that will be made available to us.</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In addition, we intend to focus our search for an initial business combination in a single industry. By completing our initial business combination with only a single entity, our lack of diversification may:</w:t>
      </w:r>
    </w:p>
    <w:p>
      <w:pPr>
        <w:spacing w:after="0" w:line="188" w:lineRule="exact"/>
        <w:rPr>
          <w:sz w:val="20"/>
          <w:szCs w:val="20"/>
          <w:color w:val="auto"/>
        </w:rPr>
      </w:pPr>
    </w:p>
    <w:p>
      <w:pPr>
        <w:ind w:left="980" w:right="1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Although we closely scrutinize the management of a prospective target business when evaluating the desirability of effecting our initial business combination with that business, our assessment of the target business’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there is no assurance that members of our management team will have significant experience or knowledge relating to the operations of the particular target business.</w:t>
      </w:r>
    </w:p>
    <w:p>
      <w:pPr>
        <w:spacing w:after="0" w:line="178"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There is no assurance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79" w:gutter="0" w:footer="0" w:header="0"/>
        </w:sectPr>
      </w:pPr>
    </w:p>
    <w:bookmarkStart w:id="12" w:name="page13"/>
    <w:bookmarkEnd w:id="12"/>
    <w:p>
      <w:pPr>
        <w:ind w:right="340" w:firstLine="648"/>
        <w:spacing w:after="0" w:line="263" w:lineRule="auto"/>
        <w:rPr>
          <w:sz w:val="20"/>
          <w:szCs w:val="20"/>
          <w:color w:val="auto"/>
        </w:rPr>
      </w:pPr>
      <w:r>
        <w:rPr>
          <w:rFonts w:ascii="Arial" w:cs="Arial" w:eastAsia="Arial" w:hAnsi="Arial"/>
          <w:sz w:val="18"/>
          <w:szCs w:val="18"/>
          <w:color w:val="auto"/>
        </w:rPr>
        <w:t>Following an initial business combination, we may seek to recruit additional managers to supplement the incumbent management of the target business. There is no assurance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law or applicable stock exchange rule, or we may decide to seek stockholder approval for business or other legal reasons. Presented in the table below is a graphic explanation of the types of initial business combinations we may consider and whether stockholder approval is currently required under Delaware law for each such transaction.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Whether</w:t>
            </w:r>
          </w:p>
        </w:tc>
      </w:tr>
      <w:tr>
        <w:trPr>
          <w:trHeight w:val="216"/>
        </w:trPr>
        <w:tc>
          <w:tcPr>
            <w:tcW w:w="9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Stockholder</w:t>
            </w:r>
          </w:p>
        </w:tc>
      </w:tr>
      <w:tr>
        <w:trPr>
          <w:trHeight w:val="216"/>
        </w:trPr>
        <w:tc>
          <w:tcPr>
            <w:tcW w:w="9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Approval is</w:t>
            </w:r>
          </w:p>
        </w:tc>
      </w:tr>
      <w:tr>
        <w:trPr>
          <w:trHeight w:val="241"/>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Type of Transaction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Required</w:t>
            </w:r>
          </w:p>
        </w:tc>
      </w:tr>
      <w:tr>
        <w:trPr>
          <w:trHeight w:val="216"/>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168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418"/>
        </w:trPr>
        <w:tc>
          <w:tcPr>
            <w:tcW w:w="9560" w:type="dxa"/>
            <w:vAlign w:val="bottom"/>
            <w:gridSpan w:val="2"/>
          </w:tcPr>
          <w:p>
            <w:pPr>
              <w:ind w:left="660"/>
              <w:spacing w:after="0"/>
              <w:rPr>
                <w:sz w:val="20"/>
                <w:szCs w:val="20"/>
                <w:color w:val="auto"/>
              </w:rPr>
            </w:pPr>
            <w:r>
              <w:rPr>
                <w:rFonts w:ascii="Arial" w:cs="Arial" w:eastAsia="Arial" w:hAnsi="Arial"/>
                <w:sz w:val="18"/>
                <w:szCs w:val="18"/>
                <w:color w:val="auto"/>
                <w:w w:val="93"/>
              </w:rPr>
              <w:t>Under Nasdaq’s listing rules, stockholder approval would be required for our initial business combination if, for example:</w:t>
            </w:r>
          </w:p>
        </w:tc>
        <w:tc>
          <w:tcPr>
            <w:tcW w:w="1680" w:type="dxa"/>
            <w:vAlign w:val="bottom"/>
          </w:tcPr>
          <w:p>
            <w:pPr>
              <w:spacing w:after="0"/>
              <w:rPr>
                <w:sz w:val="24"/>
                <w:szCs w:val="24"/>
                <w:color w:val="auto"/>
              </w:rPr>
            </w:pPr>
          </w:p>
        </w:tc>
      </w:tr>
    </w:tbl>
    <w:p>
      <w:pPr>
        <w:spacing w:after="0" w:line="202" w:lineRule="exact"/>
        <w:rPr>
          <w:sz w:val="20"/>
          <w:szCs w:val="20"/>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w:t>
      </w:r>
    </w:p>
    <w:p>
      <w:pPr>
        <w:spacing w:after="0" w:line="170" w:lineRule="exact"/>
        <w:rPr>
          <w:rFonts w:ascii="Arial" w:cs="Arial" w:eastAsia="Arial" w:hAnsi="Arial"/>
          <w:sz w:val="18"/>
          <w:szCs w:val="18"/>
          <w:color w:val="auto"/>
        </w:rPr>
      </w:pPr>
    </w:p>
    <w:p>
      <w:pPr>
        <w:ind w:left="980" w:right="20" w:hanging="324"/>
        <w:spacing w:after="0" w:line="311"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of our directors, officers or substantial stockholders (as defined by Nasdaq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shares or voting power of 5% or more; or</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6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sponsor, officers, directors and/or their affiliates may identify the stockholders with whom our sponsor, officers, directors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Our sponsor, officers, directors, advisors or their affiliates will only purchase shares if such purchases comply with Regulation M under the Exchange Act and the other federal securities laws.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40" w:firstLine="648"/>
        <w:spacing w:after="0" w:line="273" w:lineRule="auto"/>
        <w:rPr>
          <w:sz w:val="20"/>
          <w:szCs w:val="20"/>
          <w:color w:val="auto"/>
        </w:rPr>
      </w:pPr>
      <w:r>
        <w:rPr>
          <w:rFonts w:ascii="Arial" w:cs="Arial" w:eastAsia="Arial" w:hAnsi="Arial"/>
          <w:sz w:val="17"/>
          <w:szCs w:val="17"/>
          <w:color w:val="auto"/>
        </w:rPr>
        <w:t>Any purchases by our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as of December 31, 2019, approximately $10.02 per public share. The per-share amount we will distribute to investors who properly redeem their shares will not be reduced by the deferred underwriting commissions we will pay to the underwriter. Our sponsor, officers and directors have entered into a letter agreement with us, pursuant to which they have agreed to waive their redemption rights with respect to any founder shares and (along with Cantor Fitzgerald &amp; Co. (“Cantor”)) placement shares and any public shares held by them in connection with the completion of our initial business combination.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(i) in connection with a stockholder meeting called to approve the initial business combination or (ii)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an initial business combination with a target company in a manner that requires stockholder approval, we will not have discretion as to whether to seek a stockholder vote to approve the proposed initial business combination. We may conduct redemptions without a stockholder vote pursuant to the tender offer rules of the SEC unless stockholder approval is required by law or stock exchange listing requirements or we choose to seek stockholder approval for business or other legal reasons. So long as we maintain a listing for our securities on Nasdaq, we are required to comply with such rules.</w:t>
      </w:r>
    </w:p>
    <w:p>
      <w:pPr>
        <w:spacing w:after="0" w:line="1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36" w:lineRule="exact"/>
        <w:rPr>
          <w:rFonts w:ascii="Arial" w:cs="Arial" w:eastAsia="Arial" w:hAnsi="Arial"/>
          <w:sz w:val="17"/>
          <w:szCs w:val="17"/>
          <w:color w:val="auto"/>
        </w:rPr>
      </w:pPr>
    </w:p>
    <w:p>
      <w:pPr>
        <w:jc w:val="both"/>
        <w:ind w:left="980" w:right="14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Upon the public announcement of our initial business combination, we or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18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are not purchased by our sponsor, which number will be based on the requirement that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ind w:right="160" w:firstLine="648"/>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stock exchange listing requirement, or we decide to obtain stockholder approval for business or other legal reasons, we will, pursuant to our amended and restated certificate of incorporation:</w:t>
      </w:r>
    </w:p>
    <w:p>
      <w:pPr>
        <w:spacing w:after="0" w:line="170" w:lineRule="exact"/>
        <w:rPr>
          <w:sz w:val="20"/>
          <w:szCs w:val="20"/>
          <w:color w:val="auto"/>
        </w:rPr>
      </w:pPr>
    </w:p>
    <w:p>
      <w:pPr>
        <w:ind w:left="980" w:right="5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4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 this quorum and pursuant to the letter agreement, our sponsor, officers and directors have agreed to vote their founder shares and placement shares and any public shares purchased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and placement shares, we would need only 6,196,251, or approximately 35.9%, of the 17,250,000 public shares sold in our initial public offering to be voted in favor of an initial business combination (assuming all outstanding shares are voted) in order to have our initial business combination approved.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17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amended and restated certificate of incorporation provides that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w:t>
      </w:r>
    </w:p>
    <w:p>
      <w:pPr>
        <w:spacing w:after="0" w:line="1"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cash consideration to be paid to the target or its owners, (ii) cash to be transferred to the target for working capital or other general corporate purposes or</w:t>
      </w:r>
    </w:p>
    <w:p>
      <w:pPr>
        <w:spacing w:after="0" w:line="32" w:lineRule="exact"/>
        <w:rPr>
          <w:rFonts w:ascii="Arial" w:cs="Arial" w:eastAsia="Arial" w:hAnsi="Arial"/>
          <w:sz w:val="16"/>
          <w:szCs w:val="16"/>
          <w:color w:val="auto"/>
        </w:rPr>
      </w:pPr>
    </w:p>
    <w:p>
      <w:pPr>
        <w:ind w:firstLine="8"/>
        <w:spacing w:after="0" w:line="253"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our initial public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an aggregate of 15% or more of the shares sold in our initial public offering could threaten to exercise its redemption rights if such holder’s shares are not purchased by us or our management at a premium to the then-current market price or on other undesirable terms. By limiting our stockholders’ ability to redeem no more than 15% of the shares sold in our initial public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Stock Certificates in Connection with Redemption Rights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(Deposit/Withdrawal At Custodian)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 Given the relatively short exercise period, it is advisable for stockholders to use electronic delivery of their public shares.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5" w:name="page16"/>
    <w:bookmarkEnd w:id="15"/>
    <w:p>
      <w:pPr>
        <w:ind w:right="60" w:firstLine="64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initial business combination and check a box on the proxy card indicating such holder was seeking to exercise his or her redemption rights. After the initial business combination was approved, the company would contact such stockholder to arrange for him or her to deliver his or her certificate to verify ownership. As a result, the stockholder then had an “option window” after the completion of the initial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initial business combination until the redeeming holder delivered its certificate. The requirement for physical or electronic delivery prior to the meeting ensures that a redeeming holder’s election to redeem is irrevocable once the initial business combination is approved.</w:t>
      </w:r>
    </w:p>
    <w:p>
      <w:pPr>
        <w:spacing w:after="0" w:line="16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Any request to redeem such shares, once made, may be withdrawn at any time up to the date of the stockholder meeting.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18 months from the closing of our initial public offering, or until May 13,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amended and restated certificate of incorporation provides that we will have only 18 months from the closing of this offering, or until May 13, 2021, to complete our initial business combination. If we are unable to complete our initial business combination by May 13, 2021,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by May 13, 2021.</w:t>
      </w:r>
    </w:p>
    <w:p>
      <w:pPr>
        <w:spacing w:after="0" w:line="16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and (along with Cantor) placement shares held by them if we fail to complete our initial business combination, by May 13, 2021. However, if our sponsor, officers or directors acquire public shares after our initial public offering, they will be entitled to liquidating distributions from the trust account with respect to such public shares if we fail to complete our initial business combination by May 13, 2021.</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redemptions in connection with our initial business combination or to redeem 100% of our public shares if we do not complete our initial business combination , or until May 13, 2021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right="80" w:firstLine="648"/>
        <w:spacing w:after="0" w:line="254"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$1,093,200 of proceeds to be held outside the trust account (as of December 31, 2019), although there is no assurance that there will be sufficient funds for such purpose. We will depend on sufficient interest being earned on the proceeds held in the trust account to pay any tax obligations we may owe. However, if those funds are not sufficient to cover the costs and expenses associated with implementing our plan of dissolution, to the extent that there is any interest accrued in the trust account not required to pay taxes on interest income earned on the trust account balance, we may request the trustee to release to us an additional amount of up to $100,000 of such accrued interest to pay those costs and expenses.</w:t>
      </w:r>
    </w:p>
    <w:p>
      <w:pPr>
        <w:spacing w:after="0" w:line="19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we were to expend all of the net proceeds of our initial public offering and the sale of the placement units, other than the proceeds deposited in the trust account, and without taking into account interest, if any, earned on the trust account,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There is no assurance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there is no assurance that we will have funds sufficient to pay or provide for all creditors’ claims.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Although we have sought and will continue to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WithumSmith+Brown, PC, our independent registered public accounting firm, and the underwriter of the offering, will not execute agreements with us waiving such claims to the monies held in the trust account.</w:t>
      </w:r>
    </w:p>
    <w:p>
      <w:pPr>
        <w:spacing w:after="0" w:line="16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our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6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our sponsor to reserve for such indemnification obligations and we cannot assure you that our sponsor would be able to satisfy those obligations. Accordingly, we cannot assure you that due to claims of creditors the actual value of the per-share redemption price will not be less than $10.00 per public share.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firstLine="648"/>
        <w:spacing w:after="0" w:line="271"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this offering against certain liabilities, including liabilities under the Securities Act. We will have access to approximately $1,093,200 of proceeds held outside the trust account (as of December 31, 2019) from the proceeds of our initial public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by May 13, 2021, may be considered a liquidating distribution under Delaware law. Delaware law provides that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6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our public shares in the event we do not complete our initial business combination by May 13, 2021,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by May 13, 2021,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Accordingly, it is our intention to redeem our public shares as soon as reasonably possible following May 13, 2021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6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 of our initial public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7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 w:name="page19"/>
    <w:bookmarkEnd w:id="18"/>
    <w:p>
      <w:pPr>
        <w:ind w:firstLine="648"/>
        <w:spacing w:after="0" w:line="269"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(i) the completion of our initial business combination, (ii) the redemption of any public shares properly tendered in connection with a stockholder vote to amend any provisions of our amended and restated certificate of incorporation (A) to modify the substance or timing of our obligation to allow redemptions in connection with our initial business combination or to redeem 100% of our public shares if we do not complete our initial business combination by May 13, 2021 or (B) with respect to any other provision relating to stockholders’ rights or pre-initial business combination activity, and (iii) the redemption of all of our public shares if we are unable to complete our business combination by May 13, 2021, subject to applicable law. In no other circumstances will a stockholder have any right or interest of any kind to or in the trust account. In the event we seek stockholder approval in connection with our initial business combination, a stockholder’s voting in connection with the initial business combination alone will not result in a stockholder’s redeeming its shares to us for an applicable pro rata share of the trust account. Such stockholder must have also exercised its redemption rights as described above. These provisions of our amended and restated certificate of incorporation, like all provisions of our amended and restated certificate of incorporation, may be amended with a stockholder vote.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have encountered and may continue to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is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currently have three officers. These individuals are not obligated to devote any specific number of hours to our matters but they intend to devote as much of their time as they deem necessary, in the exercise of their respective business judgment, to our affairs and intend to continue doing so until we have completed our initial business combination. The amount of time they devote in any time period will vary based on whether a target business has been selected for our initial business combination and the stage of the initial business combination process we are in. We do not intend to have any full time employees prior to the completion of our initial business combination. We do not have an employment agreement with any member of our management team.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units, Class A common stock and warrants are registered under the Exchange Act and have reporting obligations, including the requirement that we file annual, quarterly and current reports with the SEC. In accordance with the requirements of the Exchange Act, this Report contains financial statements audited and reported on by our independent registered public accountants.</w:t>
      </w:r>
    </w:p>
    <w:p>
      <w:pPr>
        <w:spacing w:after="0" w:line="18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8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required to evaluate our internal control procedures for the fiscal year ending December 31, 2020 as required by the Sarbanes-Oxley Act. Only in the event we are deemed to be a large accelerated filer or an accelerated filer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 We have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9" w:name="page20"/>
    <w:bookmarkEnd w:id="19"/>
    <w:p>
      <w:pPr>
        <w:ind w:right="120" w:firstLine="648"/>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November 13, 2024, (b) in which we have total annual gross revenue of at least $1.07 billion, or (c) in which we are deemed to be a large accelerated filer, which means the market value of</w:t>
      </w:r>
    </w:p>
    <w:p>
      <w:pPr>
        <w:spacing w:after="0" w:line="209" w:lineRule="auto"/>
        <w:rPr>
          <w:sz w:val="20"/>
          <w:szCs w:val="20"/>
          <w:color w:val="auto"/>
        </w:rPr>
      </w:pPr>
      <w:r>
        <w:rPr>
          <w:rFonts w:ascii="Arial" w:cs="Arial" w:eastAsia="Arial" w:hAnsi="Arial"/>
          <w:sz w:val="18"/>
          <w:szCs w:val="18"/>
          <w:color w:val="auto"/>
        </w:rPr>
        <w:t>our shares of Class A common stock that are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You should carefully consider all of the following risk factors and all other information contained in this Report, including the financial statements. If any of the following risks occur, our business, financial condition or results of operations may be materially and adversely affected. In that event, the trading price of our securities could decline, and you could lose all or part of your investment. The risk factors described below are not necessarily exhaustive and you are encouraged to perform your own investigation with respect to us and our business.</w:t>
      </w:r>
    </w:p>
    <w:p>
      <w:pPr>
        <w:spacing w:after="0" w:line="16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are a recently formed early stage company with no operating history and no revenues, and you have no basis on which to evaluate our ability to achieve our business objective.</w:t>
      </w:r>
    </w:p>
    <w:p>
      <w:pPr>
        <w:spacing w:after="0" w:line="16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are a recently formed early stage company with no operating results. Because we lack an operating history, you have no basis upon which to evaluate our ability to achieve our business objective of completing our initial business combination with one or more target businesses. We may be unable to complete our initial business combination. If we fail to complete our initial business combination, we will never generate any operating revenues.</w:t>
      </w:r>
    </w:p>
    <w:p>
      <w:pPr>
        <w:spacing w:after="0" w:line="145"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Our public stockholders may not be afforded an opportunity to vote on our proposed initial business combination, which means we may complete our initial business combination even if a majority of our public stockholders do not support such a combination.</w:t>
      </w:r>
    </w:p>
    <w:p>
      <w:pPr>
        <w:spacing w:after="0" w:line="14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public shares do not approve of the initial business combination we complete.</w:t>
      </w:r>
    </w:p>
    <w:p>
      <w:pPr>
        <w:spacing w:after="0" w:line="16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have agreed to vote in favor of such initial business combination, regardless of how our public stockholders vote.</w:t>
      </w:r>
    </w:p>
    <w:p>
      <w:pPr>
        <w:spacing w:after="0" w:line="166"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Pursuant to the letter agreement, our sponsor, officers and directors have agreed to vote their founder shares and placement shares, as well as any public shares purchased after our initial public offering (including in open market and privately negotiated transactions), in favor of our initial business combination. As a result, in addition to our initial stockholders’ founder shares and placement shares, we would need only 6,196,251, or approximately</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35.9%, of the 17,250,000 public shares sold in our initial public offering to be voted in favor of an initial business combination (assuming all outstanding shares are voted) in order to have our initial business combination approved. Our initial stockholders own shares representing approximately 21.8% of our outstanding shares of common stock.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w:t>
      </w:r>
    </w:p>
    <w:p>
      <w:pPr>
        <w:spacing w:after="0" w:line="18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 w:name="page21"/>
    <w:bookmarkEnd w:id="20"/>
    <w:p>
      <w:pPr>
        <w:ind w:right="720"/>
        <w:spacing w:after="0" w:line="312" w:lineRule="auto"/>
        <w:rPr>
          <w:sz w:val="20"/>
          <w:szCs w:val="20"/>
          <w:color w:val="auto"/>
        </w:rPr>
      </w:pPr>
      <w:r>
        <w:rPr>
          <w:rFonts w:ascii="Arial" w:cs="Arial" w:eastAsia="Arial" w:hAnsi="Arial"/>
          <w:sz w:val="17"/>
          <w:szCs w:val="17"/>
          <w:b w:val="1"/>
          <w:b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4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may seek to enter into an initial business combination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initial business combination. Furthermore,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each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w:t>
      </w:r>
    </w:p>
    <w:p>
      <w:pPr>
        <w:spacing w:after="0" w:line="19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 in the issuance of Class A shares on a greater than one-to-one basis upon conversion of the Class B common stock at the time of our business combination. The above considerations may limit our ability to complete the most desirable business combination available to us or optimize our capital structure. The amount of the deferred underwriting commissions payable to the underwriter will not be adjusted for any shares that are redeemed in connection with an initial business combination.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w:t>
      </w:r>
    </w:p>
    <w:p>
      <w:pPr>
        <w:spacing w:after="0" w:line="170"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as we approach our dissolution deadline, which could undermine our ability to complete our initial business combination on terms that would produce value for our stockholders.</w:t>
      </w:r>
    </w:p>
    <w:p>
      <w:pPr>
        <w:spacing w:after="0" w:line="18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Any potential target business with which we enter into negotiations concerning an initial business combination will be aware that we must complete our initial business combination within 18 months from the closing of our initial public offering, or by May 13, 2021.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4"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b w:val="1"/>
          <w:b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$10.00 per share, or less than such amount in certain circumstances, and our warrants will expire worthless.</w:t>
      </w:r>
    </w:p>
    <w:p>
      <w:pPr>
        <w:spacing w:after="0" w:line="1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amended and restated certificate of incorporation provides that we must complete our initial business combination, within 18 months from the closing of our initial public offering, or by May 13, 2021. We may not be able to find a suitable target business and complete our initial business combination by such date. If we have not completed our initial business combination by such date,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In such case, our public stockholders may only receive $10.00 per share, and our warrants will expire worthless. In certain circumstances, our public stockholders may receive less than $10.00 per share on the redemption of their shares.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21" w:name="page22"/>
    <w:bookmarkEnd w:id="21"/>
    <w:p>
      <w:pPr>
        <w:ind w:right="42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advisors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their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8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addition, if such purchases are made, the public “float” of our Class A common stock or public warrants and the number of beneficial holders of our securities may be reduced, possibly making it difficult to maintain the quotation, listing or trading of our securities on a national securities exchange.</w:t>
      </w:r>
    </w:p>
    <w:p>
      <w:pPr>
        <w:spacing w:after="0" w:line="12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redemptions in connection with our initial business combination or to redeem 100% of our public shares if we do not complete our initial business combination within 18 months from the closing of our initial public offering, or by May 13, 2021 or (B) with respect to any other provision relating to stockholders’ rights or pre-initial business combination activity and (iii) the redemption of our public shares if we are unable to complete an initial business combination within 18 months from the closing of our initial public offering, or by May 13, 2021,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right="440"/>
        <w:spacing w:after="0" w:line="282" w:lineRule="auto"/>
        <w:rPr>
          <w:sz w:val="20"/>
          <w:szCs w:val="20"/>
          <w:color w:val="auto"/>
        </w:rPr>
      </w:pPr>
      <w:r>
        <w:rPr>
          <w:rFonts w:ascii="Arial" w:cs="Arial" w:eastAsia="Arial" w:hAnsi="Arial"/>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securities are currently listed on Nasdaq. However,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8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right="4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units, Class A common stock and warrants are listed on Nasdaq, our units, Class A common stock and warrants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certain other blank check companies.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Since the net proceeds of our initial public offering and the sale of the placement units are intended to be used to complete an initial business combination with a target business that has not been identified, we may be deemed to be a “blank check” company under the United States securities laws. However, because we have net tangible assets in excess of $5,000,000, we are exempt from rules promulgated by the SEC to protect investors in blank check companies, such as Rule 419. Accordingly, investors are not afforded the benefits or protections of those rules. Moreover, if our initial public offering were subject to Rule 419, that rule would prohibit the release of any interest earned on funds held in the trust account to us unless and until the funds in the trust account were released to us in connection with our completion of an initial business combination.</w:t>
      </w:r>
    </w:p>
    <w:p>
      <w:pPr>
        <w:spacing w:after="0" w:line="16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15% or more of our Class A common stock, you will lose the ability to redeem all such shares in excess of 15% of our Class A common stock.</w:t>
      </w:r>
    </w:p>
    <w:p>
      <w:pPr>
        <w:spacing w:after="0" w:line="18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or more of the shares sold in our initial public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3" w:name="page24"/>
    <w:bookmarkEnd w:id="23"/>
    <w:p>
      <w:pPr>
        <w:ind w:right="60"/>
        <w:spacing w:after="0" w:line="261"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on our redemption of our public shares, or less than such amount in certain circumstances, and our warrants will expire worthless.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encountered and expect to continue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are relatively limited when contrasted with those of many of these competitors. While we believe there are numerous target businesses we could potentially acquire with the net proceeds of our initial public offering and the sale of the placement units, our ability to compete with respect to the acquisition of certain target businesses that are sizable is limited by our available financial resources. This inherent competitive limitation gives others an advantage in pursuing the acquisition of certain target businesses. Furthermore, because we are obligated to pay cash for the shares of Class A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upon our liquidation.</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w:t>
      </w:r>
    </w:p>
    <w:p>
      <w:pPr>
        <w:spacing w:after="0" w:line="166" w:lineRule="exact"/>
        <w:rPr>
          <w:sz w:val="20"/>
          <w:szCs w:val="20"/>
          <w:color w:val="auto"/>
        </w:rPr>
      </w:pPr>
    </w:p>
    <w:p>
      <w:pPr>
        <w:ind w:right="20" w:firstLine="427"/>
        <w:spacing w:after="0" w:line="268"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80"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If the net proceeds of our initial public offering and the sale of the placement units not being held in the trust account are insufficient to allow us to operate until May 13, 2021, we may be unable to complete our initial business combination, in which case our public stockholders may only receive $10.00 per share, or less than such amount in certain circumstances, and our warrants will expire worthless.</w:t>
      </w:r>
    </w:p>
    <w:p>
      <w:pPr>
        <w:spacing w:after="0" w:line="146"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The funds available to us outside of the trust account may not be sufficient to allow us to operate until May 13, 2021, assuming that our initial business combination is not completed during that time. We believe that the funds available to us outside of the trust account as of December 31, 2019 of $1,093,184 are sufficient to allow us to operate until May 13, 2021;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upon our liquidation.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line="303" w:lineRule="auto"/>
        <w:rPr>
          <w:sz w:val="20"/>
          <w:szCs w:val="20"/>
          <w:color w:val="auto"/>
        </w:rPr>
      </w:pPr>
      <w:r>
        <w:rPr>
          <w:rFonts w:ascii="Arial" w:cs="Arial" w:eastAsia="Arial" w:hAnsi="Arial"/>
          <w:sz w:val="16"/>
          <w:szCs w:val="16"/>
          <w:b w:val="1"/>
          <w:bCs w:val="1"/>
          <w:color w:val="auto"/>
        </w:rPr>
        <w:t>If the net proceeds of our initial public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5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Of the net proceeds of our initial public offering and the sale of the placement units, only approximately $1,093,184 (as of December 31, 2019) is available to us outside the trust account to fund our working capital requirements. If we are required to seek additional capital, we would need to borrow funds from our sponsor, management team or other third parties to operate or may be forced to liquidate. None of our sponsor, members of our management team nor any of their affiliates is under any obligation to advance funds to us in such circumstances. Any such advances would be repaid only from funds to be held outside the trust account or from funds released to us upon completion of our initial business combination. Up to $1,500,000 of such loans may be convertible into units, at a price of $10.00 per unit at the option of the lender, upon consummation of our initial business combination. The units would be identical to the placement units.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$10.00 per share on our redemption of our public shares, and our warrants will expire worthless. In certain circumstances, our public stockholders may receive less than $10.00 per share on the redemption of their shares.</w:t>
      </w:r>
    </w:p>
    <w:p>
      <w:pPr>
        <w:spacing w:after="0" w:line="18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Although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stockholders who choose to remain stockholders following the initial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0" w:lineRule="exact"/>
        <w:rPr>
          <w:sz w:val="20"/>
          <w:szCs w:val="20"/>
          <w:color w:val="auto"/>
        </w:rPr>
      </w:pPr>
    </w:p>
    <w:p>
      <w:pPr>
        <w:ind w:right="3340"/>
        <w:spacing w:after="0" w:line="347" w:lineRule="auto"/>
        <w:rPr>
          <w:sz w:val="20"/>
          <w:szCs w:val="20"/>
          <w:color w:val="auto"/>
        </w:rPr>
      </w:pPr>
      <w:r>
        <w:rPr>
          <w:rFonts w:ascii="Arial" w:cs="Arial" w:eastAsia="Arial" w:hAnsi="Arial"/>
          <w:sz w:val="16"/>
          <w:szCs w:val="16"/>
          <w:b w:val="1"/>
          <w:bCs w:val="1"/>
          <w:color w:val="auto"/>
        </w:rPr>
        <w:t>If third parties bring claims against us, the proceeds held in the trust account could be reduced and the per-share redemption amount received by stockholders may be less than $10.00 per share.</w:t>
      </w:r>
    </w:p>
    <w:p>
      <w:pPr>
        <w:spacing w:after="0" w:line="12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WithumSmith+Brown, PC, our independent registered public accounting firm, and the underwriter of our initial public offering, will not execute agreements with us waiving such claims to the monies held in the trust account.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right="40" w:firstLine="648"/>
        <w:spacing w:after="0" w:line="285"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our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6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6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executive officers.</w:t>
      </w:r>
    </w:p>
    <w:p>
      <w:pPr>
        <w:spacing w:after="0" w:line="229"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ind w:firstLine="8"/>
        <w:spacing w:after="0" w:line="253"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6" w:name="page27"/>
    <w:bookmarkEnd w:id="26"/>
    <w:p>
      <w:pPr>
        <w:jc w:val="both"/>
        <w:ind w:right="260"/>
        <w:spacing w:after="0" w:line="343" w:lineRule="auto"/>
        <w:rPr>
          <w:sz w:val="20"/>
          <w:szCs w:val="20"/>
          <w:color w:val="auto"/>
        </w:rPr>
      </w:pPr>
      <w:r>
        <w:rPr>
          <w:rFonts w:ascii="Arial" w:cs="Arial" w:eastAsia="Arial" w:hAnsi="Arial"/>
          <w:sz w:val="15"/>
          <w:szCs w:val="15"/>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2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3"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33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ind w:right="100" w:firstLine="648"/>
        <w:spacing w:after="0" w:line="267" w:lineRule="auto"/>
        <w:rPr>
          <w:sz w:val="20"/>
          <w:szCs w:val="20"/>
          <w:color w:val="auto"/>
        </w:rPr>
      </w:pPr>
      <w:r>
        <w:rPr>
          <w:rFonts w:ascii="Arial" w:cs="Arial" w:eastAsia="Arial" w:hAnsi="Arial"/>
          <w:sz w:val="17"/>
          <w:szCs w:val="17"/>
          <w:color w:val="auto"/>
        </w:rPr>
        <w:t>We do not believe that our principal activities subject us to the Investment Company Act. To this end, the proceeds held in the trust account may only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redemptions in connection with our initial business combination or to redeem 100% of our public shares if we do not complete our initial business combination by May 13, 2021 or (B) with respect to any other provision relating to stockholders’ rights or pre-initial business combination activity; or (iii) absent an initial business combination by May 13, 2021,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$10.00 per share on the liquidation of our trust account and our warrants will expire worthless.</w:t>
      </w:r>
    </w:p>
    <w:p>
      <w:pPr>
        <w:spacing w:after="0" w:line="18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66"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71" w:gutter="0" w:footer="0" w:header="0"/>
        </w:sectPr>
      </w:pPr>
    </w:p>
    <w:bookmarkStart w:id="27" w:name="page28"/>
    <w:bookmarkEnd w:id="27"/>
    <w:p>
      <w:pPr>
        <w:ind w:right="40"/>
        <w:spacing w:after="0" w:line="282"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by May 13, 2021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May 13, 2021 in the event we do not complete our initial business combination and, therefore, we do not intend to comply with the foregoing procedures.</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by May 13, 2021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ind w:right="100"/>
        <w:spacing w:after="0" w:line="258" w:lineRule="auto"/>
        <w:rPr>
          <w:sz w:val="20"/>
          <w:szCs w:val="20"/>
          <w:color w:val="auto"/>
        </w:rPr>
      </w:pPr>
      <w:r>
        <w:rPr>
          <w:rFonts w:ascii="Arial" w:cs="Arial" w:eastAsia="Arial" w:hAnsi="Arial"/>
          <w:sz w:val="18"/>
          <w:szCs w:val="18"/>
          <w:b w:val="1"/>
          <w:bCs w:val="1"/>
          <w:color w:val="auto"/>
        </w:rPr>
        <w:t>We have not registered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If the issuance of the shares upon exercise of warrants is not registered, qualified or exempt from registration or qualification, the holder of such warrant will not be entitled to exercise such warrant and such warrant may have no value and expire worthless.</w:t>
      </w:r>
    </w:p>
    <w:p>
      <w:pPr>
        <w:spacing w:after="0" w:line="18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have not registered the shares of Class A common stock issuable upon exercise of the warrants issued in our initial public offering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issued in our initial public offering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We will use our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issued in our initial public offering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our initial public offering. However, there may be instances in which holders of our public warrants may be unable to exercise such public warrants but holders of our placement warrants may be able to exercise such placement warrants.</w:t>
      </w:r>
    </w:p>
    <w:p>
      <w:pPr>
        <w:spacing w:after="0" w:line="38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you exercise your public warrants on a “cashless basis,” you will receive fewer shares of Class A common stock from such exercise than if you were to exercise such warrants for cash.</w:t>
      </w:r>
    </w:p>
    <w:p>
      <w:pPr>
        <w:spacing w:after="0" w:line="166" w:lineRule="exact"/>
        <w:rPr>
          <w:sz w:val="20"/>
          <w:szCs w:val="20"/>
          <w:color w:val="auto"/>
        </w:rPr>
      </w:pPr>
    </w:p>
    <w:p>
      <w:pPr>
        <w:ind w:firstLine="648"/>
        <w:spacing w:after="0" w:line="260" w:lineRule="auto"/>
        <w:rPr>
          <w:sz w:val="20"/>
          <w:szCs w:val="20"/>
          <w:color w:val="auto"/>
        </w:rPr>
      </w:pPr>
      <w:r>
        <w:rPr>
          <w:rFonts w:ascii="Arial" w:cs="Arial" w:eastAsia="Arial" w:hAnsi="Arial"/>
          <w:sz w:val="17"/>
          <w:szCs w:val="17"/>
          <w:color w:val="auto"/>
        </w:rPr>
        <w:t>There are circumstances in which the exercise of the public warrants may be required or permitted to be made on a cashless basis. First, if a registration statement covering the shares of Class A common stock issuable 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exercise warrants on a cashless basis in accordance with Section 3(a)(9) of the Securities Act or another exemption. Second,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(as defined in the next sentence) by (y) the fair market value. The “fair market value” is the average reported last sale price of the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Class A common stock.</w:t>
      </w:r>
    </w:p>
    <w:p>
      <w:pPr>
        <w:spacing w:after="0" w:line="16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Pursuant to an agreement entered into concurrently with our initial public offering, our initial stockholders and their permitted transferees can demand that we register the placement units, the placement shares, the placement warrants, the shares of Class A common stock issuable upon exercise of the placement warrants, the shares of Class A common stock issuable upon conversion of the founder shares and holders of units that may be issued upon conversion of working capital loans may demand that we register such units, Class A common stock, warrants or the Class A common stock issuable upon exercise of such units and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securities owned by our initial stockholders or holders of working capital loans or their respective permitted transferees are registered.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0" w:gutter="0" w:footer="0" w:header="0"/>
        </w:sectPr>
      </w:pPr>
    </w:p>
    <w:bookmarkStart w:id="29" w:name="page30"/>
    <w:bookmarkEnd w:id="29"/>
    <w:p>
      <w:pPr>
        <w:ind w:right="260"/>
        <w:spacing w:after="0" w:line="266"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 operations.</w:t>
      </w:r>
    </w:p>
    <w:p>
      <w:pPr>
        <w:spacing w:after="0" w:line="18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seek to complete an initial business combination with companies in the cannabis industry but may also pursue other business combination opportunities, except that we are not, under our amended and restated certificate of incorporation, permitted to effectuate our initial business combination with another blank check company or similar company with nominal operations. We are focusing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Because we have not yet selected any specific target business with respect to a business combination, there is no basis to evaluate the possible merits or risks of any particular target business’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who choose to remain stockholders following our initial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performance by our management team may not be indicative of future performance of an investment in us.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Past performance by our management team is not a guarantee either (i) of success with respect to any business combination we may consummate or (ii) that we will be able to locate a suitable candidate for our initial business combination. You should not rely on the historical record of our management team’s or advisors’ performance as indicative of our future performance of an investment in the company or the returns the company will, or is likely to, generate going forward. Additionally, in the course of their respective careers, members of our management team have been involved in businesses and deals that were unsuccessful. Our officers and directors have not had experience with blank check companies or special purpose acquisition companies in the past.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seek business combination opportunities in industries or sectors which may or may not be outside of our management’s area of expertise.</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may consummate a business combination with a company in any industry we choose and are not limited to any particular industry or type of business, although we are focusing our search for businesses in the cannabis industry which are not directly involved in the production, distribution and sale of cannabis (i.e. businesses that “touch the plant”) and that are compliant with all applicable laws and regulations within the jurisdictions in which they are located or operate. Although we are focusing on identifying such cannabis companies, we will consider an initial business combination outside of our management’s area of expertise if an initial business combination candidate is presented to us and we determine that such candidate offers an attractive business combination opportunity for our company or we are unable to identify a suitable candidate in this sector after having expanded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than a direct investment, if an opportunity were available, in an initial business combination candidate. In the event we elect to pursue a business combination outside of the areas of our management’s expertise, our management’s expertise may not be directly applicable to its evaluation or operation, and the information contained herein regarding the areas of our management’s expertise would not be relevant to an understanding of the business that we elect to acquire. As a result, our management may not be able to adequately ascertain or assess all of the significant risk factors. Accordingly, any stockholders who choose to remain stockholders following our initial business combination could suffer a reduction in the value of their shares. Such stockholders are unlikely to have a remedy for such reduction in value.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0" w:name="page31"/>
    <w:bookmarkEnd w:id="30"/>
    <w:p>
      <w:pPr>
        <w:ind w:right="220"/>
        <w:spacing w:after="0" w:line="314"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on the redemption of their shares.</w:t>
      </w:r>
    </w:p>
    <w:p>
      <w:pPr>
        <w:spacing w:after="0" w:line="164"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12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the extent we complete our initial business combination with a financially unstable business or an entity lacking an established record of revenues or earnings, we may be affected by numerous risks inherent in the operations of the business with which we combine. These risks include volatile revenues or earnings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not required to obtain a fairness opinion and consequently, you may have no assurance from an independent source that the price we are paying for the business is fair to our company from a financial point of view.</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entity that commonly renders valuation opinions that the price we are paying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8"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We may issue additional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5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amended and restated certificate of incorporation authorizes the issuance of up to 100,000,000 shares of Class A common stock, par value $0.0001 per share, 10,000,000 shares of Class B common stock, par value $0.0001 per share, and 1,000,000 shares of preferred stock, par value $0.0001 per share. There are 73,307,500 and 5,687,500 authorized but unissued shares of Class A common stock and Class B common stock, respectively, available for issuance, which amount takes into account the shares of Class A common stock reserved for issuance upon exercise of outstanding warrants but not the shares of Class A common stock issuable upon conversion of Class B common stock. There are currently no shares of preferred stock issued and outstanding. Shares of Class B common stock are convertible into shares of our Class A common stock initially at a one-for-one ratio but subject to adjustment as set forth herein, including in certain circumstances in which we issue Class A common stock or equity-linked securities related to our initial business combination.</w:t>
      </w:r>
    </w:p>
    <w:p>
      <w:pPr>
        <w:spacing w:after="0" w:line="192"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We may issue a substantial number of additional shares of common or preferred stock to complete our initial business combination or under an employee incentive plan after completion of our initial business combination (although our amended and restated certificate of incorporation provides that we may not issue securities that can vote with common stockholders on matters related to our pre-initial business combination activity). We may also issue shares of Class A common stock upon conversion of the Class B common stock at a ratio greater than one-to-one at the time of our initial business combination as a result of the anti-dilution provisions contained in our amended and restated certificate of incorporation. However, our amended and restated certificate of incorporation provides, among other things, that prior to our initial business combination, we may not issue additional shares of capital stock that would entitle the holders thereof to (i) receive funds from the trust account or (ii) vote on any initial business combination. These provisions of our amended and restated certificate of incorporation, like all provisions of our amended and restated certificate of incorporation, may be amended with the approval of our stockholders. However, our executive officers and directors have agreed, pursuant to a written agreement with us, that they will not propose any amendment to our amended and restated certificate of incorporation (A) to modify the substance or timing of our obligation to allow redemptions in connection with our initial business combination or to redeem 100% of our public shares if we do not complete our initial business combination by May 13, 2021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863"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2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84"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on the redemption of their shares.</w:t>
      </w:r>
    </w:p>
    <w:p>
      <w:pPr>
        <w:spacing w:after="0" w:line="16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8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There are a limited number of management teams in the cannabis industry that have U.S. public company experience. As a result, management of a target cannabis business, including any key personnel that it hires in the future, may not be familiar with U.S. securities laws. In addition, the officers and directors of an initial business combination candidate may resign upon completion of our initial business combination. Experienced talent, including senior management, with public company background in the areas of cannabis research and development, growing cannabis and extraction are difficult to source, and there can be no assurance that the appropriate individuals will be available or affordable.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executive officers and directors and their departure could adversely affect our ability to operate.</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operations are dependent upon a relatively small group of individuals and, in particular, our executive officers and directors. We believe that our success depends on the continued service of our executive officers and directors, at least until we have completed our initial business combination.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right="380"/>
        <w:spacing w:after="0" w:line="314"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62"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initial business combination could suffer a reduction in the value of their shares. Such stockholders are unlikely to have a remedy for such reduction in value.</w:t>
      </w:r>
    </w:p>
    <w:p>
      <w:pPr>
        <w:spacing w:after="0" w:line="160"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Our officers and directors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0"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Our officers and directors are not required to, and do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may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7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Certain of our officers and directors are now, and all of them may in the future become, affiliated with entities engaged in business activities similar to those intended to be conducted by us (and they may also participate in the formation of, or become officers or directors of, other special purpose acquisition companies) and, accordingly, may have conflicts of interest in allocating their time and determining to which entity a particular business opportunity should be presented.</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Until we consummate our initial business combination, we will continue to engage in the business of identifying and combining with one or more businesses. Our sponsor and officers and directors are, and may in the future become, affiliated with entities (such as operating companies or investment vehicles) that are engaged in a similar business, and they may also participate in the formation of, or become officers or directors of, other special purpose acquisition companies.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officers and directors also may become aware of business opportunities which may be appropriate for presentation to us and the other entities to which they owe certain fiduciary or contractual duties.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light of the involvement of our sponsor, officers and directors with other entities, we may decide to acquire one or more businesses affiliated with our sponsor, officers or directors. Our directors also serve as officers and board members for other entities. Such entities may compete with us for business combination opportunities. Despite our agreement to obtain an opinion from an independent investment banking firm or another independent entity that commonly renders valuation opinions, regarding the fairness to our stockholders from a financial point of view of an initial business combination with one or more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w:t>
      </w:r>
    </w:p>
    <w:p>
      <w:pPr>
        <w:spacing w:after="0" w:line="160"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June 2019, our sponsor purchased an aggregate of 4,312,500 founder shares for an aggregate purchase price of $25,000, or approximately $0.006 per share. The founder shares will be worthless if we do not complete an initial business combination. Our sponsor and Cantor purchased an aggregate of 545,000 placement units at a price of $10.00 per unit, for a purchase price of $5,450,000. Each placement unit consists of one share of Class A common stock and one-half of one warrant. Each whole warrant is exercisable to purchase one whole share of common stock at $11.50 per share. These securities will also be worthless if we do not complete an initial business combination. Holders of founder shares have agreed (A) to vote any shares owned by them in favor of any proposed initial business combination and (B) not to redeem any founder shares in connection with a stockholder vote to approve a proposed initial business combination.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162"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b w:val="1"/>
          <w:b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have no commitments as of the date of this Report to issue any notes or other debt securities, or to otherwise incur outstanding debt,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980" w:right="7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980" w:right="20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left="980" w:right="4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our initial public offering, and the sale of the placement units, which will cause us to be solely dependent on a single business which may have a limited number of services and limited operating activities. This lack of diversification may negatively impact our operating results and profitability.</w:t>
      </w:r>
    </w:p>
    <w:p>
      <w:pPr>
        <w:spacing w:after="0" w:line="18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Of the net proceeds from our initial public offering and the sale of the placement units, $172,500,000 is available to complete our initial business combination and pay related fees and expenses (which includes $6,900,000 for the payment of deferred underwriting commissions).</w:t>
      </w:r>
    </w:p>
    <w:p>
      <w:pPr>
        <w:spacing w:after="0" w:line="14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66"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6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6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6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amended and restated certificate of incorporation does not provide a specified maximum redemption threshold, except we will only redeem our public shares so long as (after such redemption) our net tangible assets will be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if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their affiliates.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Class A common stock submitted for redemption will be returned to the holders thereof, and we instead may search for an alternate business combination.</w:t>
      </w:r>
    </w:p>
    <w:p>
      <w:pPr>
        <w:spacing w:after="0" w:line="16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a majority of the public warrants (which may include public warrants acquired by our sponsor or its affiliates in our initial public offering or thereafter in the open market).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redemptions in connection with our initial business combination or to redeem 100% of our public shares if we do not complete our initial business combination by May 13, 2021 or (B) 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right="60"/>
        <w:spacing w:after="0" w:line="294" w:lineRule="auto"/>
        <w:rPr>
          <w:sz w:val="20"/>
          <w:szCs w:val="20"/>
          <w:color w:val="auto"/>
        </w:rPr>
      </w:pPr>
      <w:r>
        <w:rPr>
          <w:rFonts w:ascii="Arial" w:cs="Arial" w:eastAsia="Arial" w:hAnsi="Arial"/>
          <w:sz w:val="16"/>
          <w:szCs w:val="16"/>
          <w:b w:val="1"/>
          <w:b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amended and restated certificate of incorporation provides that any of its provisions related to pre-initial business combination activity (including the requirement to deposit proceeds of our initial public offering and the private placement of warrants into the trust account and not release such amounts except in specified circumstances, and to provide redemption rights to public stockholders as described herein and including to permit us to withdraw funds from the trust account such that the per share amount investors will receive upon any redemption or liquidation is substantially reduced or eliminated)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Our initial stockholders, who collectively beneficially own up to approximately 21.8% of our common stock,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8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redemptions in connection with our initial business combination or to redeem 100% of our public shares if we do not complete our initial business combination by May 13, 2021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6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are targeting businesses larger than we could acquire with the net proceeds of our initial public offering and the sale of the placement units.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If we are unable to complete our initial business combination, our public stockholders may receive only approximately $10.00 per share plus any pro rata interest earned on the funds held in the trust account and not previously released to us to pay our taxes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$10.00 per share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$10.00 per share,” under certain circumstances our public stockholders may receive less than $10.00 per share upon the liquidation of the trust account.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initial stockholders may exert a substantial influence on actions requiring a stockholder vote, potentially in a manner that you do not support.</w:t>
      </w:r>
    </w:p>
    <w:p>
      <w:pPr>
        <w:spacing w:after="0" w:line="25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Our initial stockholders own shares representing approximately 21.8% of our issued and outstanding shares of common stock. Accordingly, they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 In addition, our board of directors, whose members were elected by our initial stockholders, is divided into three classes, each of which generally serves for a term of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31" w:gutter="0" w:footer="0" w:header="0"/>
        </w:sectPr>
      </w:pPr>
    </w:p>
    <w:bookmarkStart w:id="37" w:name="page38"/>
    <w:bookmarkEnd w:id="37"/>
    <w:p>
      <w:pPr>
        <w:ind w:right="200"/>
        <w:spacing w:after="0" w:line="266" w:lineRule="auto"/>
        <w:rPr>
          <w:sz w:val="20"/>
          <w:szCs w:val="20"/>
          <w:color w:val="auto"/>
        </w:rPr>
      </w:pPr>
      <w:r>
        <w:rPr>
          <w:rFonts w:ascii="Arial" w:cs="Arial" w:eastAsia="Arial" w:hAnsi="Arial"/>
          <w:sz w:val="18"/>
          <w:szCs w:val="18"/>
          <w:b w:val="1"/>
          <w:bCs w:val="1"/>
          <w:color w:val="auto"/>
        </w:rPr>
        <w:t>Our sponsor paid an aggregate of $25,000 for the founder shares, or approximately $0.006 per founder share. As a result of this low initial price, our sponsor, its affiliates and our management team stand to make a substantial profit even if an initial business combination subsequently declines in value or is unprofitable for our public stockholders.</w:t>
      </w:r>
    </w:p>
    <w:p>
      <w:pPr>
        <w:spacing w:after="0" w:line="18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a result of the low acquisition cost of our founder shares, our sponsor, its affiliates and our management team could make a substantial profit even if we select and consummate an initial business combination with an acquisition target that subsequently declines in value or is unprofitable for our public stockholders. Thus, such parties may have more of an economic incentive for us to enter into an initial business combination with a riskier, weaker-performing or financially unstable business, or an entity lacking an established record of revenues or earnings, than would be the case if such parties had paid the full offering price for their founder shares.</w:t>
      </w:r>
    </w:p>
    <w:p>
      <w:pPr>
        <w:spacing w:after="0" w:line="18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Unlike other similarly structured blank check companies, our initial stockholders will receive additional shares of Class A common stock if we issue shares to consummate an initial business combination.</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founder shares will automatically convert into Class A common stock at the time of our initial business combination, or earlier at the option of the holders, on a one-for-one basis, subject to adjustment as provided herein. In the case that additional shares of Class A common stock, or equity-linked securities convertible or exercisable for Class A common stock, are issued or deemed issued in excess of the amounts offered in our initial public offering and related to the closing of the initial business combination, the ratio at which founder shares shall convert into Class A common stock will be adjusted so that the number of Class A common stock issuable upon conversion of all founder shares will equal, in the aggregate, on an as-converted basis, 20% of the total number of all outstanding shares of common stock upon completion of the initial business combination, excluding the placement shares and any shares or equity-linked securities issued, or to be issued, to any seller in the business combination and any private placement-equivalent warrants issued to our sponsor or its affiliates upon conversion of loans made to us. This is different from other similarly structured blank check companies in which the initial stockholder will only be issued an aggregate of 20% of the total number of shares to be outstanding prior to the initial business combination. Additionally, the aforementioned adjustment will not take into account any shares of Class A common stock redeemed in connection with the business combination. Accordingly, the holders of the founder shares could receive additional shares of Class A common stock even if the additional shares of Class A common stock, or equity-linked securities convertible or exercisable for Class A common stock, are issued or deemed issued solely to replace those shares that were redeemed in connection with the business combination. The foregoing may make it more difficult and expensive for us to consummate an initial business combination.</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a majority of the then 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(which may include public warrants acquired by our sponsor or its affiliates in our initial public offering or thereafter in the open market).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convert the warrants into cash or stock, shorten the exercise period or decrease the number of shares of our Class A common stock purchasable upon exercise of a warrant.</w:t>
      </w:r>
    </w:p>
    <w:p>
      <w:pPr>
        <w:spacing w:after="0" w:line="177"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16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our initial public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placement warrants will be redeemable by us so long as they are held by the sponsor, Cantor or their permitted transferees.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right="420"/>
        <w:spacing w:after="0" w:line="282" w:lineRule="auto"/>
        <w:rPr>
          <w:sz w:val="20"/>
          <w:szCs w:val="20"/>
          <w:color w:val="auto"/>
        </w:rPr>
      </w:pPr>
      <w:r>
        <w:rPr>
          <w:rFonts w:ascii="Arial" w:cs="Arial" w:eastAsia="Arial" w:hAnsi="Arial"/>
          <w:sz w:val="18"/>
          <w:szCs w:val="18"/>
          <w:b w:val="1"/>
          <w:bCs w:val="1"/>
          <w:color w:val="auto"/>
        </w:rPr>
        <w:t>Our warrants and founder shares may have an adverse effect on the market price of our Class A common stock and make it more difficult to effectuate our initial business combination.</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issued warrants to purchase 8,625,000 shares of our Class A common stock as part of the units offered in our initial public offering and, simultaneously with the closing of our initial public offering, we issued an aggregate of 272,500 placement warrants. Our initial stockholders currently own an aggregate of 4,312,500 founder shares. The founder shares are convertible into shares of Class A common stock on a one-for-one basis, subject to adjustment as set forth herein. In addition, if our sponsor makes any working capital loans, up to $1,500,000 of such loans may be convertible into units, at a price of $10.00 per unit at the option of the lender, upon consummation of our initial business combination. The units would be identical to the placement units. To the extent we issue shares of Class A common stock to effectuate an initial business combination, the potential for the issuance of a substantial number of additional shares of Class A common stock upon exercise of these warrants and conversion rights could make us a less attractive business combination vehicle to a target business. Any such issuance will increase the number of issued and outstanding shares of our Class A common stock and reduce the value of the shares of Class A common stock issued to complete the initial business combination. Therefore, our warrants and founder shares may make it more difficult to effectuate an initial business combination or increase the cost of acquiring the target business.</w:t>
      </w:r>
    </w:p>
    <w:p>
      <w:pPr>
        <w:spacing w:after="0" w:line="16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placement warrants included in the placement units are identical to the warrants sold as part of the units in our initial public offering except that, so long as they are held by our sponsor or its permitted transferees, (i) they will not be redeemable by us, (ii) they (including the Class A common stock issuable upon exercise of these warrants) may not, subject to certain limited exceptions, be transferred, assigned or sold by our sponsor until 30 days after the completion of our initial business combination and (iii) they may be exercised by the holders on a cashless basis.</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Because each unit contains one-half of one redeemable warrant and only a whole warrant may be exercised, the units may be worth less than units of other blank check companies.</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Each unit contains one-half of one redeemable warrant. No fractional warrants will be issued upon separation of the units and only whole warrants will trade. Accordingly, unless you purchase at least two units, you will not be able to receive or trade a whole warrant.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one-half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provision of our warrant agreement may make it more difficult for use to consummate an initial business combination.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Unlike most blank check companies, if</w:t>
      </w:r>
    </w:p>
    <w:p>
      <w:pPr>
        <w:spacing w:after="0" w:line="225" w:lineRule="exact"/>
        <w:rPr>
          <w:sz w:val="20"/>
          <w:szCs w:val="20"/>
          <w:color w:val="auto"/>
        </w:rPr>
      </w:pPr>
    </w:p>
    <w:p>
      <w:pPr>
        <w:ind w:left="980" w:right="1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issue additional shares of Class A common stock or equity-linked securities for capital raising purposes in connection with the closing of our initial business combination at a Newly Issued Price of less than $9.20 per share;</w:t>
      </w:r>
    </w:p>
    <w:p>
      <w:pPr>
        <w:spacing w:after="0" w:line="170" w:lineRule="exact"/>
        <w:rPr>
          <w:rFonts w:ascii="Arial" w:cs="Arial" w:eastAsia="Arial" w:hAnsi="Arial"/>
          <w:sz w:val="18"/>
          <w:szCs w:val="18"/>
          <w:color w:val="auto"/>
        </w:rPr>
      </w:pPr>
    </w:p>
    <w:p>
      <w:pPr>
        <w:ind w:left="980" w:right="6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requirements of being a public company may strain our resources and divert management’s attention.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of 2002 (the “Sarbanes Oxley Act”), the Dodd-Frank Wall Street Reform and Consumer Protection Act, the listing requirements of Nasdaq and other applicable securities rules and regulations, Compliance with these rules and regulations increase our legal and financial compliance costs, make some activities more difficult, time-consuming or costly and increase demand on our systems and resources, particularly after we are no longer an “emerging growth company.”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employees in the future or engage outside consultants to comply with these requirements, which will increase our costs and expenses.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 market for our securities may not develop, which would adversely affect the liquidity and price of our securities.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80"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6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statements may also be required to be prepared in accordance with GAAP in connection with our current report on Form 8-K announcing the closing of our initial business combination within four business days following such closing.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78"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exceeds $250 million as of the prior June 30, or (2) our annual revenues exceeded $100 million during such completed fiscal year and the market value of our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right="340"/>
        <w:spacing w:after="0" w:line="347" w:lineRule="auto"/>
        <w:rPr>
          <w:sz w:val="20"/>
          <w:szCs w:val="20"/>
          <w:color w:val="auto"/>
        </w:rPr>
      </w:pPr>
      <w:r>
        <w:rPr>
          <w:rFonts w:ascii="Arial" w:cs="Arial" w:eastAsia="Arial" w:hAnsi="Arial"/>
          <w:sz w:val="16"/>
          <w:szCs w:val="16"/>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2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2020.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7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66"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71"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6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amended and restated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24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right="120"/>
        <w:spacing w:after="0" w:line="282" w:lineRule="auto"/>
        <w:rPr>
          <w:sz w:val="20"/>
          <w:szCs w:val="20"/>
          <w:color w:val="auto"/>
        </w:rPr>
      </w:pPr>
      <w:r>
        <w:rPr>
          <w:rFonts w:ascii="Arial" w:cs="Arial" w:eastAsia="Arial" w:hAnsi="Arial"/>
          <w:sz w:val="18"/>
          <w:szCs w:val="18"/>
          <w:b w:val="1"/>
          <w:b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6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If we effect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46" w:lineRule="exact"/>
        <w:rPr>
          <w:sz w:val="20"/>
          <w:szCs w:val="20"/>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may not be able to adequately address these additional risks. If we were unable to do so, our operations might suffer, which may adversely impact our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Cannabis is currently illegal under U.S. federal law and in other jurisdictions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 Although the Agriculture Improvement Act of 2018 has taken hemp and hemp-derived cannabinoids out of the most restrictive class of controlled substances under U.S. federal law, marijuana is a schedule-1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with a target business in the cannabis industry and could have a material adverse effect on our business, liquidity, financial condition or results of operations thereafter.</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Change in the laws, regulations and guidelines that impact the cannabis industry may cause adverse effects on our ability to successfully complete our initial business combination with a target business in the cannabis industry.</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only intend to target companies in the cannabis industry that are not directly involved in the production, distribution and sale of cannabis (i.e. businesses that “touch the plant”) and that are compliant with all applicable laws and regulations within the jurisdictions in which they are located or operate. In particular, we will not invest in, or consummate a business combination with, a target business that we determine has been operating, or whose business plan is to operate, in violation of U.S. federal laws, including the U.S. Controlled Substances Act. Changes to such laws, regulations and guidelines may cause adverse effects on our ability to identify and acquire a target company that meets these legal and regulatory requirements at the time of acquisition.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47" w:gutter="0" w:footer="0" w:header="0"/>
        </w:sectPr>
      </w:pPr>
    </w:p>
    <w:bookmarkStart w:id="42" w:name="page43"/>
    <w:bookmarkEnd w:id="42"/>
    <w:p>
      <w:pPr>
        <w:ind w:right="580"/>
        <w:spacing w:after="0" w:line="282" w:lineRule="auto"/>
        <w:rPr>
          <w:sz w:val="20"/>
          <w:szCs w:val="20"/>
          <w:color w:val="auto"/>
        </w:rPr>
      </w:pPr>
      <w:r>
        <w:rPr>
          <w:rFonts w:ascii="Arial" w:cs="Arial" w:eastAsia="Arial" w:hAnsi="Arial"/>
          <w:sz w:val="18"/>
          <w:szCs w:val="18"/>
          <w:b w:val="1"/>
          <w:bCs w:val="1"/>
          <w:color w:val="auto"/>
        </w:rPr>
        <w:t>The nascent status of the medical and recreational cannabis industry involves unique circumstances and there can be no assurance that the industry will continue to exist or grow as currently anticipated.</w:t>
      </w:r>
    </w:p>
    <w:p>
      <w:pPr>
        <w:spacing w:after="0" w:line="16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 Competitive conditions, consumer tastes, patient requirements and spending patterns in this new industry and market are relatively unknown and may have unique circumstances that differ from existing industries and markets. There can be no assurance that this industry and market will continue to exist or grow as currently estimated or anticipated, or function and evolve in a manner consistent with management’s expectations and assumptions. Any event or circumstance that affects the medical or recreational cannabis industry and market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potential growth in the cannabis industry continues to be subject to new and changing state and local laws and regulations.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 a highly regulated business will require significant resources.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the event we acquire a business involved in the production, distribution or sale of cannabis products, we will be operating in a highly regulated business. In such a case, we would expect a significant amount of management’s time and external resources to be used to comply with the laws, regulations and guidelines that impact our business, and changes thereto, and such compliance may place a significant burden on our management and other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Differing regulatory environments may cause adverse effects on our operations.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cannabis products business will be subject to a variety of laws, regulations and guidelines in each of the jurisdictions in which it operates. Complying with multiple regulatory regimes will require additional resources and may limit our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spacing w:after="0" w:line="18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may operate a highly regulated business and any failure or significant delay in obtaining regulatory approvals could adversely affect our ability to conduct our business.</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event we acquire a business involved in the production, distribution or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 additional restrictions that may be placed on our business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w:t>
      </w:r>
    </w:p>
    <w:p>
      <w:pPr>
        <w:spacing w:after="0" w:line="17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Marketing constraints under regulatory frameworks may limit a potential target cannabis company’s ability to compete for market share in a manner similar to that of companies in other industries.</w:t>
      </w:r>
    </w:p>
    <w:p>
      <w:pPr>
        <w:spacing w:after="0" w:line="166"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development of a potential target cannabis company’s business and operating results may be hindered by applicable restrictions on sales and marketing activities imposed by regulations applicable to the cannabis industry. For example, the regulatory environment in Canada would limit a target cannabis company’s ability to compete for market share in a manner similar to that of companies in other industries. Additionally, Canadian regulations impose further packaging, labeling and advertising restrictions on producers in the adult-use recreational cannabis market. If a target cannabis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We may become involved in regulatory or agency proceedings, investigations and audits.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spacing w:after="0" w:line="174"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 by us or by others.</w:t>
      </w:r>
    </w:p>
    <w:p>
      <w:pPr>
        <w:spacing w:after="0" w:line="18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cannabis products. We may be subject to liability for risks against which we cannot insure or against which we may elect not to insure due to the high cost of insurance premiums or other factors. The payment of any such liabilities would reduce the funds available for our normal business activities. Payment of liabilities for which we do not carry insurance may have a material adverse effect on our financial position and operations.</w:t>
      </w:r>
    </w:p>
    <w:p>
      <w:pPr>
        <w:spacing w:after="0" w:line="18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With respect to target businesses operating in the medical and adult-use cannabis markets, the illicit supply of cannabis and cannabis-based products may reduce our sales and impede our ability to succeed in such markets.</w:t>
      </w:r>
    </w:p>
    <w:p>
      <w:pPr>
        <w:spacing w:after="0" w:line="166"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spacing w:after="0" w:line="124"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164"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market share and (iii) adversely impact the public perception of cannabis use and licensed cannabis producers and dealers, all of which would have a materially adverse effect on our business, operations and financial condition.</w:t>
      </w:r>
    </w:p>
    <w:p>
      <w:pPr>
        <w:spacing w:after="0" w:line="15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recreational or medical-use consumers elect to produce cannabis for their own purposes, it could reduce the addressable market for a potential target cannabis company’s products.</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Cannabis regulations may permit the end user to produce cannabis for their own purposes. For example, under cannabis regulations in Canada, three options are available for an individual to obtain cannabis for medical purposes: (i) registering with a holder of a license to sell for medical purposes and purchasing products from that entity; (ii) register with Health Canada to produce a limited amount of cannabis for their own medical purposes; or (iii) designate someone else to produce cannabis for them. It is possible that the ability of an end user to produce cannabis for their own purposes, such as under</w:t>
      </w:r>
    </w:p>
    <w:p>
      <w:pPr>
        <w:spacing w:after="0" w:line="1" w:lineRule="exact"/>
        <w:rPr>
          <w:sz w:val="20"/>
          <w:szCs w:val="20"/>
          <w:color w:val="auto"/>
        </w:rPr>
      </w:pPr>
    </w:p>
    <w:p>
      <w:pPr>
        <w:ind w:right="40" w:firstLine="8"/>
        <w:spacing w:after="0" w:line="260"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and (iii) above, could significantly reduce the addressable market for a potential target cannabis company’s products and could materially and adversely affect the business, financial condition and results of operations of a potential target cannabis company.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The cannabis industry faces significant opposition, and any negative trends may adversely affect our business operations.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Large, well-funded industries that perceive cannabis products and services as competitive with their own, including but not limited to the pharmaceutical industry, adult beverage industry and tobacco industry, all of which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acquire a target business in the cannabis industry, because cannabis has been commonly associated with various other narcotics, violence and criminal activities, there is a risk that our business might also attract negative publicity. There is also a risk that the actions of other companies, service providers and customers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the cannabis industry in general, whether true or not.</w:t>
      </w:r>
    </w:p>
    <w:p>
      <w:pPr>
        <w:spacing w:after="0" w:line="19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18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Competition from synthetic products may adversely affect the business, financial condition or results of operations of a potential target cannabis company.</w:t>
      </w:r>
    </w:p>
    <w:p>
      <w:pPr>
        <w:spacing w:after="0" w:line="166"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potential target cannabis company to secure long-term profitability and success through the sustainable and profitable operation of the anticipated businesses and investment targets, and could have a material adverse effect on a potential target cannabis company’s business, financial condition or results of operations.</w:t>
      </w:r>
    </w:p>
    <w:p>
      <w:pPr>
        <w:spacing w:after="0" w:line="157"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An initial surge in demand for cannabis may result in supply shortages in the short term, while in the longer term, supply of cannabis could exceed demand, which may cause a fluctuation in revenue.</w:t>
      </w:r>
    </w:p>
    <w:p>
      <w:pPr>
        <w:spacing w:after="0" w:line="166"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w:t>
      </w:r>
    </w:p>
    <w:p>
      <w:pPr>
        <w:spacing w:after="0" w:line="149"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w:t>
      </w:r>
    </w:p>
    <w:p>
      <w:pPr>
        <w:spacing w:after="0" w:line="17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Consumer preferences may change, and the potential target business may be unsuccessful in acquiring or retaining consumers and keeping pace with changing market developments.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a result of changing consumer preferences, many consumer products attain financial success for a limited period of time. Even if a potential target’s products find success initially, there can be no assurance that such products will continue to be profitable. A potential target’s success will be significantly dependent upon its ability to develop new and improved product lines and adapt to consumer preferences. Even if a potential target business is successful in introducing new products or developing its current products, a failure to gain consumer acceptance or to update products could cause a decline in the products’ popularity and impair the brands. In addition, a potential target business may be required to invest significant capital in the creation of new product lines, strains, brands, marketing campaigns, packaging and other product features-none of which are guaranteed to be successful. Failure to introduce new features and product lines and to achieve and sustain market acceptance could result in the potential target business being unable to satisfy consumer preferences and generate revenue.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80" w:firstLine="648"/>
        <w:spacing w:after="0" w:line="254" w:lineRule="auto"/>
        <w:rPr>
          <w:sz w:val="20"/>
          <w:szCs w:val="20"/>
          <w:color w:val="auto"/>
        </w:rPr>
      </w:pPr>
      <w:r>
        <w:rPr>
          <w:rFonts w:ascii="Arial" w:cs="Arial" w:eastAsia="Arial" w:hAnsi="Arial"/>
          <w:sz w:val="18"/>
          <w:szCs w:val="18"/>
          <w:color w:val="auto"/>
        </w:rPr>
        <w:t>A potential target’s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potential target business may not be successful in developing effective and safe new products, anticipating shifts in social trends and consumer demands, bringing such products to market in time to be effectively commercialized, or obtaining any required regulatory approvals, which, together with any capital expenditures made in the course of such product development and regulatory approval processes. A potential target’s failure to acquire and retain consumers could have a material adverse effect on the potential target business.</w:t>
      </w:r>
    </w:p>
    <w:p>
      <w:pPr>
        <w:spacing w:after="0" w:line="19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the patterns of cannabis consumption may shift over time due to a variety of factors, including changes in demographics, social trends, public health polices and other leisure or consumption behaviors. If consumer preferences for a potential target’s products or cannabis products in general do not develop, or if once developed, they were to move away from its products or cannabis products in general, or if a potential target business is unable to anticipate and respond effectively to shifts in consumer behaviors, it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cannabis industry is highly competitive and evolving.</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 have longer operating histories, significantly greater financial, marketing or other resources and larger client bases than we will, and there can be no assurance that we will be able to successfully compete against these or other competitors. Additionally, because the cannabis industry is at an early stage, a potential target cannabis company may face additional competition from new entrants, including as a result of an increased number of licenses granted under any applicable regulatory regime.</w:t>
      </w:r>
    </w:p>
    <w:p>
      <w:pPr>
        <w:spacing w:after="0" w:line="19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target business may require a continued high level of investment in research and development, marketing, sales and client support. However, a potential target business may not have sufficient resources to maintain research and development, marketing, sales and client support efforts on a competitive basis, which could materially and adversely affect our business, financial condition and results of operations. Additionally, as new technologies related to the cultivation, processing, manufacturing and research and development of cannabis are being explored, there is potential for third party competitors to be in possession of superior technology that would reduce any relative competitiveness a potential business target may have.</w:t>
      </w:r>
    </w:p>
    <w:p>
      <w:pPr>
        <w:spacing w:after="0" w:line="166"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the legal landscape for cannabis continues to evolve, it is possible that the cannabis industry will undergo consolidation, creating larger companies with greater financial resources, manufacturing and marketing capabilities and product offerings.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Given the rapid changes affecting the global, national, and regional economies generally and the cannabis industry, in particular, we may not be able to create and maintain a competitive advantage in the marketplace.</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success will depend on our ability to keep pace with any changes in our markets, particularly, legal and regulatory changes. For example, it is likely that we, and our competitors, will seek to introduce new products in the future.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technologies, process and formulations a target company uses may face competition or become obsolete.</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potential business target’s products obsolete, less competitive or less marketable. The process of developing their products is complex and requires significant continuing costs, development efforts and third party commitments, including licensees, researchers, collaborators and lenders. A target company’s failure to develop new technologies and products and the obsolescence of existing technologies or processes could adversely affect its business, financial condition and results of operations. A target company may be unable to anticipate changes in its potential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potential target company may not be successful in using its new technologies or exploiting its niche markets effectively or adapting its business to evolving customer or medical requirements or preferences or emerging industry standards.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There is uncertainty in pricing and demand for cannabis-based products.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anticipated pricing of cannabis products may differ substantially from current levels given changes in the competitive and regulatory landscape. The potential target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potential target cannabis company will be successful in creating and maintaining consumer demand and estimated pricing levels. To do this, the potential target company may be dependent upon, among other things, continually producing desirable and effective cannabis and cannabis-related products and the continued growth in the aggregate number of cannabis consumers. Campaigns designed to enhance the potential target company’s brand and attract consumers, subject to restrictions imposed by law, can be expensive and may not result in increased sales. If the potential target company is unable to attract new consumers, it may not be able to increase its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potential target company may have difficulty in forecasting sales and other business metrics.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potential target cannabis business may rely largely on its own market research to forecast sales as detailed forecasts are not generally obtainable from other sources at this early stage of the cannabis industry. If the potential target business underestimates the demand for its products, it may not be able to produce products that meet its stringent requirements, and this could result in delays in the shipment of products and failure to satisfy demand, as well as damage to reputation and partner relationships. If the potential target business overestimates the demand for its products, it could face inventory levels in excess of demand, which could result in inventory write-downs or write-offs and the sale of excess inventory at discounted prices, which would harm the potential target’s gross margins and brand management efforts.</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Due to the nascent nature of the market, it could be difficult for the potential target to forecast demand. In particular, it could be difficult to forecast the rate of the illicit cannabis market crossing over to the legal market. If the market does not develop as the potential target business expects, it could have a material adverse effect on its business, results of operations and financial condition. In addition to inherent risks and difficulties forecasting sales, anticipated costs and yields are also challenging to predict with certainty as the cannabis industry is in its relative infancy and rapidly evolving. If we make capital investments based on flawed sales, costs and yields forecasts, the potential target business may not achieve its expected, or any, return on invested capital. Failure to realize forecasted sales, costs and yields could have a material adverse effect on the potential target’s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and our customers may have difficulty accessing the service of banks, which may make it difficult to sell products and services.</w:t>
      </w:r>
    </w:p>
    <w:p>
      <w:pPr>
        <w:spacing w:after="0" w:line="241"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spacing w:after="0" w:line="18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development and operation of businesses in the cannabis industry may require additional financing, which may not be available on favorable terms, if at all.</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Due to the growth in the cannabis industry, the continued development and operation of businesses in the cannabis industry may require additional financing. The failure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product liability claims.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 We may also be subject to risk of exposure as a result of customers not using our products in the manner in which we intend.</w:t>
      </w:r>
    </w:p>
    <w:p>
      <w:pPr>
        <w:spacing w:after="0" w:line="16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647" w:gutter="0" w:footer="0" w:header="0"/>
        </w:sectPr>
      </w:pPr>
    </w:p>
    <w:bookmarkStart w:id="47" w:name="page48"/>
    <w:bookmarkEnd w:id="47"/>
    <w:p>
      <w:pPr>
        <w:jc w:val="both"/>
        <w:ind w:right="300"/>
        <w:spacing w:after="0" w:line="266" w:lineRule="auto"/>
        <w:rPr>
          <w:sz w:val="20"/>
          <w:szCs w:val="20"/>
          <w:color w:val="auto"/>
        </w:rPr>
      </w:pPr>
      <w:r>
        <w:rPr>
          <w:rFonts w:ascii="Arial" w:cs="Arial" w:eastAsia="Arial" w:hAnsi="Arial"/>
          <w:sz w:val="18"/>
          <w:szCs w:val="18"/>
          <w:b w:val="1"/>
          <w:b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18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or the cannabis industry more generally, may receive unfavorable publicity or become subject to negative consumer or investor perception.</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reputation and ability to do business may be negatively impacted by the improper conduct of our business partners, employees or agents.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18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A potential target company may not succeed in promoting and sustaining its brands, which could have an adverse effect on its future growth and business.</w:t>
      </w:r>
    </w:p>
    <w:p>
      <w:pPr>
        <w:spacing w:after="0" w:line="16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 critical component of a potential target company’s future growth is its ability to promote and sustain its brands, often achieved by providing a high-quality user experience. An important element of a target company’s brand promotion strategy is establishing a relationship of trust with its consumers. In order to provide a high-quality user experience, a potential target company may need to have invested and continue to invest substantial resources in the development of products, infrastructure, fulfilment and customer service operations. Campaigns designed to enhance a potential target company’s brand and attract consumers, subject to restrictions imposed by law, can be expensive and may not result in increased sales. If a potential target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potential target company’s business, financial condition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The cannabis industry is subject to the risks inherent in an agricultural business, including the risk of crop failure.</w:t>
      </w:r>
    </w:p>
    <w:p>
      <w:pPr>
        <w:spacing w:after="0" w:line="22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 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potential target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cannabis industry is subject to transportation disruptions, including those related to an agricultural product.</w:t>
      </w:r>
    </w:p>
    <w:p>
      <w:pPr>
        <w:spacing w:after="0" w:line="229"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As a business revolving mainly around the growth of an agricultural product, the ability to obtain speedy, cost-effective and efficient transport services will be essential to the prolonged operations of a potential target cannabis company’s business. Should such transportation become unavailable for prolonged periods of time, it could have a material adverse effect on the potential target company’s business, financial condition and results of operations.</w:t>
      </w:r>
    </w:p>
    <w:p>
      <w:pPr>
        <w:spacing w:after="0" w:line="14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Due to the nature of a potential target cannabis company’s products, security of the product during transportation to and from its facilities may be important. A breach of security during transport or delivery could have a material adverse effect on a potential target company’s business, financial condition and results of operations. Any breach of the security measures during transport or delivery, including any failure to comply with recommendations or requirements of regulatory authorities, could also have an impact on the potential target company’s ability to continue operating under its license or the prospect of renewing its licenses.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cannabis businesses are subject to significant environmental regulations and risks.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potential target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cannabis businesses are dependent on key personnel with sufficient experience in the cannabis industry.</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potential target company may be dependent on skilled labor and suppliers.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ability of a potential target business to compete and grow will be dependent on it having access, at a reasonable cost and in a timely manner, to skilled labor, equipment, parts and components. No assurances can be given that the potential target business will be successful in maintaining its required supply of skilled labor, equipment, parts and components. Qualified individuals are in high demand, and the potential target business may incur significant costs to attract and retain them. It is also possible that the final costs of the major equipment and materials, including packaging materials, contemplated by the potential target’s capital expenditure program may be significantly greater than anticipated by the potential target’s management, and may be greater than funds available to the potential target business, in which circumstance the potential target business may curtail, or extend the timeframes for completing, its capital expenditure plans. This could have a material adverse effect on the potential target’s business, financial condition and results of operations.</w:t>
      </w:r>
    </w:p>
    <w:p>
      <w:pPr>
        <w:spacing w:after="0" w:line="188"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Fraudulent or illegal activity by employees, contractors and consultants may adversely affect our business, financial condition or results of operations.</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right="100"/>
        <w:spacing w:after="0" w:line="282" w:lineRule="auto"/>
        <w:rPr>
          <w:sz w:val="20"/>
          <w:szCs w:val="20"/>
          <w:color w:val="auto"/>
        </w:rPr>
      </w:pPr>
      <w:r>
        <w:rPr>
          <w:rFonts w:ascii="Arial" w:cs="Arial" w:eastAsia="Arial" w:hAnsi="Arial"/>
          <w:sz w:val="18"/>
          <w:szCs w:val="18"/>
          <w:b w:val="1"/>
          <w:bCs w:val="1"/>
          <w:color w:val="auto"/>
        </w:rPr>
        <w:t>A potential target cannabis company may be reliant on key inputs and may not be able to realize its cannabis production or capacity targets. The price of production of cannabis will also vary based on a number of factors outside of our control.</w:t>
      </w:r>
    </w:p>
    <w:p>
      <w:pPr>
        <w:spacing w:after="0" w:line="16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A potential target cannabis company’s ability to produce and process cannabis, and the price of production, may be affected by a number of factors, including available space, raw materials, plant design errors, non-performance by third 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potential target company. Some of these inputs may only be available from a single supplier or a limited group of suppliers, including access to the electricity grid. If a sole source supplier was to go out of business, the target company might be unable to find a replacement for such source in a timely manner or at all. If a sole source supplier were to be acquired by a competitor, that competitor may elect not to sell to the potential target company in the future. Any inability to secure required supplies and services or to do so on appropriate terms could have a materially adverse impact on the business, financial condition, results of operations and prospects of such businesses.</w:t>
      </w:r>
    </w:p>
    <w:p>
      <w:pPr>
        <w:spacing w:after="0" w:line="172"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potential target company may be vulnerable to rising energy costs.</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Cannabis growing operations consume considerable energy, which makes a potential target cannabis company vulnerable to rising energy costs and/or the availability of stable energy sources. Accordingly, rising or volatile energy costs or the inability to access stable energy sources may have a material adverse effect on the potential target company’s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extent we acquire cannabis businesses or assets, there may be a lack of access to U.S. bankruptcy protections.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Because cannabis is illegal under U.S. federal law, many courts have denied cannabis businesses bankruptcy protections, thus making it very difficult for lenders to recoup their investments in the cannabis industry in the event of a bankruptcy. If a company we acquire as part of a qualifying transaction were to experience a bankruptcy, there is no guarantee that U.S. federal bankruptcy protections would be available, which could have a material adverse effect on the financial condition and prospects of such business and on the rights of its lenders and security holders.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of the foregoing could have an adverse impact on our operations following a business combination. However, our efforts in identifying prospective target businesses are not restricted to the cannabis industry.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do not own any real estate or other physical properties materially important to our operation. We currently maintain our principal executive offices at 1345 Abbot Kinney Blvd., Venice, California 90291. The cost for this space is included in the $10,000 per-month aggregate fee our sponsor charges us for general and administrative services. We consider our current office space, combined with the other office space otherwise available to our executive officers, adequate for our current operations.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To the knowledge of our management, there is no litigation currently pending against us, any of our officers or directors in their capacity as such or against any of our property.</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units, Class A common stock and warrants are each traded on the Nasdaq Capital Market under the symbols “SRACU,” “SRAC” and “SRACW,” respectively. Our units commenced public trading on November 8, 2019, and our Class A common stock and warrants commenced separate public trading on December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March 24, 2020, there were three holder of record of our units, one holder of record of our Class A common stock and one holder of record of our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November 13, 2019, we consummated a private placement of an aggregate of 545,000 units the (“Private Placement Units”) at a price of $10.00 per Private Placement Unit, generating total proceeds of approximately $5,450,000. The Private Placement Units, which were purchased by our sponsor and Cantor, are the same as the units issued in our initial public offering (the “Public Units”), except that the warrants (“Private Placement Warrants”) included in the Private Placement Units are not transferable, assignable or salable until 30 days after the completion of our initial business combination, subject to certain limited exceptions. Additionally the Private Placement Warrants are exercisable on a cashless basis and are non-redeemable so long as they are held by the initial purchasers or their permitted transferees. If the Private Placement Warrants are held by holders other than its initial holders, the Private Placement Warrants will be redeemable by the Company and exercisable by the holders on the same basis as the Private Placement Warrants. No underwriting discounts or commissions were paid with respect to such sale. The sale of the Private Placement Units was made pursuant to an exemption from registration contained in Section 4(a)(2) of the Securities Act of 1933, as amended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the Initial Public Offering</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13, 2019, we consummated our initial public offering of 17,250,000 units, including 2,250,000 units issued pursuant to the full exercise of the underwriter’s over-allotment option. The units were sold at an offering price of $10.00 per unit, generating total gross proceeds of $172,500,000. Cantor Fitzgerald &amp; Co. acted as the sole book running manager of the offering. The securities sold in the offering were registered under the Securities Act of 1933, as amended (“Securities Act”) on a registration statement on Form S-1 (No. 333-233980). The SEC declared the registration statement effective on November 7, 2019.</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paid a total of $3,450,000 in underwriting fees related to the initial public offering. In addition, the representative of the underwriter agreed to defer $6,900,000 in underwriting fees.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Upon the closing of our initial public offering, we deposited $172,500,000 (or $10.00 per unit sold in the initial public offering) in the trust account. The proceeds held in the trust account may be invested by the trustee only in U.S. government securities with a maturity of 180 days or less or in money market funds investing solely in U.S. government treasury obligations and meeting certain conditions under Rule 2a-7 under the Investment Company Act of 1940,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for smaller reporting companies.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1" w:name="page52"/>
    <w:bookmarkEnd w:id="51"/>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60" w:firstLine="360"/>
        <w:spacing w:after="0" w:line="30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audited financial statements and the notes related thereto contained elsewhere in this report.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and “Item 1A. Risk Factors”.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are a blank check company incorporated as a Delaware corporation and formed for the purpose of effecting a merger, capital stock exchange, asset acquisition, stock purchase, reorganization or similar business combination with one or more businesses. We intend to effectuate our initial business combination using cash from the proceeds our initial public offering and the private placement of the placement units, the proceeds of the sale of our shares in connection with our initial business combination (pursuant to backstop agreements we may enter into), shares issued to the owners of the target, debt issued to banks or other lenders or the owners of the target, or a combination of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 which dilution would increase if the anti-</w:t>
      </w:r>
    </w:p>
    <w:p>
      <w:pPr>
        <w:spacing w:after="0" w:line="23" w:lineRule="exact"/>
        <w:rPr>
          <w:rFonts w:ascii="Arial" w:cs="Arial" w:eastAsia="Arial" w:hAnsi="Arial"/>
          <w:sz w:val="18"/>
          <w:szCs w:val="18"/>
          <w:color w:val="auto"/>
        </w:rPr>
      </w:pPr>
    </w:p>
    <w:p>
      <w:pPr>
        <w:ind w:left="980"/>
        <w:spacing w:after="0" w:line="260" w:lineRule="auto"/>
        <w:rPr>
          <w:rFonts w:ascii="Arial" w:cs="Arial" w:eastAsia="Arial" w:hAnsi="Arial"/>
          <w:sz w:val="18"/>
          <w:szCs w:val="18"/>
          <w:color w:val="auto"/>
        </w:rPr>
      </w:pPr>
      <w:r>
        <w:rPr>
          <w:rFonts w:ascii="Arial" w:cs="Arial" w:eastAsia="Arial" w:hAnsi="Arial"/>
          <w:sz w:val="18"/>
          <w:szCs w:val="18"/>
          <w:color w:val="auto"/>
        </w:rPr>
        <w:t>dilution provisions in the Class B common stock resulted in the issuance of Class A shares on a greater than one-to-one basis upon conversion of the Class B common stock;</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ind w:left="980" w:right="10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980" w:right="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Similarly, if we issue debt securities or otherwise incur significant debt to banks or other lenders or the owners of a target, it could result in:</w:t>
      </w:r>
    </w:p>
    <w:p>
      <w:pPr>
        <w:spacing w:after="0" w:line="237" w:lineRule="exact"/>
        <w:rPr>
          <w:sz w:val="20"/>
          <w:szCs w:val="20"/>
          <w:color w:val="auto"/>
        </w:rPr>
      </w:pPr>
    </w:p>
    <w:p>
      <w:pPr>
        <w:ind w:left="980" w:right="7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980" w:right="20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ind w:right="60" w:firstLine="69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our initial business combination will be successful.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our initial public offering described below, and identifying a target for our initial business combination. We do not expect to generate any operating revenues until after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16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For the period from May 28, 2019 (date of inception) through December 31, 2019, we had net income of $62,359, which consists of interest income on marketable securities held in the trust account of $346,011, offset by operating costs of $236,085 and a provision for income taxes of $47,567.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Until the consummation of our initial public offering our only sources of liquidity were an initial purchase of Class B Common Stock by the sponsor and loans from our sponsor.</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November 13, 2019, we consummated our initial public offering of 17,250,000 units, which included the full exercise by the underwriter of the over-allotment option to purchase an additional 2,250,000 units, at $10.00 per unit, generating gross proceeds of $172,500,000. Simultaneously with the closing of our initial public offering, we consummated the sale of 545,000 placement units to the sponsor and Cantor at a price of $10.00 per placement unit, generating gross proceeds of $5,450,000.</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Following our initial public offering, the exercise of the over-allotment option and the sale of the placement units, a total of $172,500,000 was placed in the trust account. We incurred $10,924,857 in transaction costs, including $3,450,000 of underwriting fees, $6,900,000 of deferred underwriting fees and $574,857 of other offering costs.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period from May 28, 2019 (inception) through December 31, 2019, cash used in operating activities was $356,959. Net income of $62,359 was offset by interest earned on marketable securities held in the trust account of $346,011 and changes in operating assets and liabilities, which used $73,307 of cash from operating activities.</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of December 31, 2019, we had cash and marketable securities in the trust account of $172,846,011. We intend to use substantially all of the funds held in the trust account, including any amounts representing interest earned on the trust account (less deferred underwriting commissions) to complete our initial business combination. We may withdraw interest to pay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7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December 31, 2019, we had cash of $1,093,184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8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placement units, at a price of $10.00 per unit at the option of the lender.</w:t>
      </w:r>
    </w:p>
    <w:p>
      <w:pPr>
        <w:spacing w:after="0" w:line="16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do not currently believe we will need to raise additional funds in order to meet the expenditures required for operating our business. However, 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defined in Item 303(a)(4)(ii) of Regulation S-K, as of December 31, 2019.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administrative support provided to the Company. We began incurring these fees on November 8, 2019 and will continue to incur these fees monthly until the earlier of the completion of the initial business combination and the Company’s liquidation.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underwriter is entitled to deferred commissions of $0.40 per unit of the gross proceeds from the units sold in the initial public offering, or $6,900,000 in the aggregate. The deferred commissions will become payable to the underwriter from the amounts held in the trust account solely in the event that we complete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The Company has identified the following critical accounting policy: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w:t>
      </w:r>
    </w:p>
    <w:p>
      <w:pPr>
        <w:spacing w:after="0" w:line="18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Our common stock features certain redemption rights that are considered to be outside of our control and subject to occurrence of uncertain future events. Accordingly, the common stock subject to possible redemption is presented as temporary equity, outside of the stockholders’ equity section of our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 Net income per common share, basic and diluted for Class A and Class B non-redeemable common stock is calculated by dividing net income less income attributable to Class A redeemable common stock, by the weighted average number of shares of Class A and Class B non-redeemable common stock outstanding for the period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our financial statements.</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As of December 31, 2019,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15 of this report and is included herein by reference.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2019, pursuant to Rule 13a-15(b) under the Exchange Act. Based upon that evaluation, our Certifying Officers concluded that, as of December 31, 2019, our disclosure controls and procedures were effective.</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This report does not include a report of management’s assessment regarding internal control over financial reporting or an attestation report of our independent registered public accounting firm due to a transition period established by the rules of the Commission for newly public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5" w:name="page56"/>
    <w:bookmarkEnd w:id="55"/>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this report, our directors and officers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6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Kabot</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James Norris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Juan Manuel Quiroga</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Chief Investment Officer and Secretary</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Marc Lehmann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Kellen O’Keefe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James Hofmockel</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 Kono</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b w:val="1"/>
          <w:bCs w:val="1"/>
          <w:color w:val="auto"/>
        </w:rPr>
        <w:t xml:space="preserve">Brian Kabot </w:t>
      </w:r>
      <w:r>
        <w:rPr>
          <w:rFonts w:ascii="Arial" w:cs="Arial" w:eastAsia="Arial" w:hAnsi="Arial"/>
          <w:sz w:val="16"/>
          <w:szCs w:val="16"/>
          <w:color w:val="auto"/>
        </w:rPr>
        <w:t>has served as our Chief Executive Officer and Chairman since inception. Mr. Kabot has over 19 years of principal investing</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and has served as Chief Investment Officer of Stable Road Capital, a single-family office investment vehicle based in Los Angeles, California, since July 2017. In July 2019, Mr. Kabot was named a Strategic Advisor to The Cannabis ETF (NYSE: THCX), a newly-launched cannabis-</w:t>
      </w:r>
    </w:p>
    <w:p>
      <w:pPr>
        <w:spacing w:after="0" w:line="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oriented exchange-traded fund managed by Innovation Shares LLC. Since December 2018, Mr. Kabot has been a director of the Treehouse Real Estate Investment Trust, a private real estate investment trust, where he currently serves as the Chairman of the Investment Committee. Mr. Kabot has also served on the board of directors of Old Pal, LLC, a private cannabis brand company, since June 2018, and on the board of directors of Grenco Science LLC, a private developer of vape pens and portable vaporizers, since July 2019. From May 2016 to July 2017, Mr. Kabot was the Director of Research at Eschaton Opportunities Fund Management LP, a management company for two global value hedge funds. From January 2011 to April 2016, Mr. Kabot served as a partner and Deputy Portfolio Manager of Riverloft Capital Management L.P., or Riverloft Capital, a management company for an event-driven hedge fund. From March 2009 to December 2010, he served as a managing director at Gulf Coast Capital, a single-family office investment vehicle. From August 2006 to January 2009, Mr. Kabot ran the industrials, materials, and energy vertical for Sun Capital Partners’ cross cap structure/activist hedge fund. From February 2005 to July 2006, he served as a senior analyst at Reservoir Capital Group. Mr. Kabot also worked as an associate at Questor Management Company from May 2003 to February 2005, where he focused on acquiring distressed and bankrupt companies in the industrials, materials and energy sectors. From June 2000 to April 2003, Mr. Kabot served as an analyst in the merchant banking partners group at Donaldson, Lufkin &amp; Jenrette. Mr. Kabot received a Bachelor of Science in Hotel and Restaurant Administration from Cornell University. Mr. Kabot is well qualified to serve as a director due to his extensive investing and advisory experience in the cannabis industry.</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 xml:space="preserve">James Norris </w:t>
      </w:r>
      <w:r>
        <w:rPr>
          <w:rFonts w:ascii="Arial" w:cs="Arial" w:eastAsia="Arial" w:hAnsi="Arial"/>
          <w:sz w:val="17"/>
          <w:szCs w:val="17"/>
          <w:color w:val="auto"/>
        </w:rPr>
        <w:t>has served as our Chief Financial Officer since inception and as a director. Mr. Norris has more than 18 years of experience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management industry. Since November 2018, Mr. Norris has served as the Chief Financial Officer of Stable Road Capital, LLC. From October 2017 to September 2018, Mr. Norris served as the Chief Financial Officer of Cycad Management LLC, a single family investment office. From April 2013 to October 2017, Mr. Norris served as the Chief Financial Officer and Chief Compliance Officer of Blue Jay Capital Management LLC, a SEC-registered investment management firm focused on equity investments in the healthcare sector. From September 2012 to April 2013, Mr. Norris served as the Controller of Kennedy-Wilson Holdings Inc. (NYSE:KW), a global real estate company. From January 2010 to July 2012, Mr. Norris served as the Controller and Chief Compliance Officer of Expo Capital Management LLC, a SEC-registered investment management firm. From September 2004 to July 2009, Mr. Norris served as Manager at PriceWaterhouseCoopers in the United Kingdom and the United States, specializing in investment management. From September 2001 to August 2004, Mr. Norris served as an accountant at Ainsworth’s Chartered Accountants in the United Kingdom. Mr. Norris received a Bachelor of Arts in Accounting and Finance from the University of Glamorgan in the United Kingdom. He is a certified public accountant and is a fellow member of the Association of Chartered Certified Accountants. Mr. Norris is well qualified to serve as a director due to his extensive investment management experience.</w:t>
      </w:r>
    </w:p>
    <w:p>
      <w:pPr>
        <w:spacing w:after="0" w:line="179" w:lineRule="exact"/>
        <w:rPr>
          <w:sz w:val="20"/>
          <w:szCs w:val="20"/>
          <w:color w:val="auto"/>
        </w:rPr>
      </w:pPr>
    </w:p>
    <w:p>
      <w:pPr>
        <w:jc w:val="both"/>
        <w:ind w:right="160" w:firstLine="648"/>
        <w:spacing w:after="0" w:line="289" w:lineRule="auto"/>
        <w:rPr>
          <w:sz w:val="20"/>
          <w:szCs w:val="20"/>
          <w:color w:val="auto"/>
        </w:rPr>
      </w:pPr>
      <w:r>
        <w:rPr>
          <w:rFonts w:ascii="Arial" w:cs="Arial" w:eastAsia="Arial" w:hAnsi="Arial"/>
          <w:sz w:val="16"/>
          <w:szCs w:val="16"/>
          <w:b w:val="1"/>
          <w:bCs w:val="1"/>
          <w:color w:val="auto"/>
        </w:rPr>
        <w:t xml:space="preserve">Juan Manuel Quiroga </w:t>
      </w:r>
      <w:r>
        <w:rPr>
          <w:rFonts w:ascii="Arial" w:cs="Arial" w:eastAsia="Arial" w:hAnsi="Arial"/>
          <w:sz w:val="16"/>
          <w:szCs w:val="16"/>
          <w:color w:val="auto"/>
        </w:rPr>
        <w:t>has served as our Chief Investment Officer since inception. Mr. Quiroga has over 20 years of experience in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sector, including 14 years of principal investing experience. Since August 2015, Mr. Quiroga has served as Chief Investment Officer of Nala Investments. From September 2007 to August 2015, Mr. Quiroga served as Senior Vice President of Darby Private Equity. From August 2005 to August 2007,</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Quiroga served as a Vice President of Market Intelligence at General Electric Capital Solutions. Prior to that, from 1996 to 1998 and from 2000 to 2003, Mr. Quiroga worked for Grupo Financiero Banorte in Mexico City and New York City, where he collaborated on the creation of an asset management and financial derivatives division. Mr. Quiroga currently serves on the board of directors of Acrecent Financial Corporation, Cobiscopr and Good Media Company. Mr. Quiroga received a Bachelor of Arts in Management, Finance and International Business from the Universidad Panamericana in Mexico, a Graduate Diploma in Finance from Universis Pompeu Fabra in Spain and a Master of Business Administration from the University of Chicago Booth School of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right="100" w:firstLine="648"/>
        <w:spacing w:after="0" w:line="253" w:lineRule="auto"/>
        <w:rPr>
          <w:sz w:val="20"/>
          <w:szCs w:val="20"/>
          <w:color w:val="auto"/>
        </w:rPr>
      </w:pPr>
      <w:r>
        <w:rPr>
          <w:rFonts w:ascii="Arial" w:cs="Arial" w:eastAsia="Arial" w:hAnsi="Arial"/>
          <w:sz w:val="18"/>
          <w:szCs w:val="18"/>
          <w:b w:val="1"/>
          <w:bCs w:val="1"/>
          <w:color w:val="auto"/>
        </w:rPr>
        <w:t xml:space="preserve">Marc Lehmann </w:t>
      </w:r>
      <w:r>
        <w:rPr>
          <w:rFonts w:ascii="Arial" w:cs="Arial" w:eastAsia="Arial" w:hAnsi="Arial"/>
          <w:sz w:val="18"/>
          <w:szCs w:val="18"/>
          <w:color w:val="auto"/>
        </w:rPr>
        <w:t>is one of our independent directors. Mr. Lehman has served as the Managing Member of Flamingo Drive Partners, LLC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predecessor, an investment firm involved in public markets, real estate and start-up investing, since July 2016. Since November 2018, Mr. Lehmann has served as a director of Green Growth Brands Inc. (CSE:GGB; OTCQB:GGBXF), a producer and seller of cannabis and CBD products. Mr. Lehmann served as the General Partner of Riverloft Capital from January 2011 to June 2016. From May 2002 to June 2010, Mr. Lehmann served as a Partner and Director of Research at JANA Partners LLC, a hedge fund. From July 1999 to May 2002, he served as an analyst at Appaloosa Management LP, an opportunistic hedge fund portfolio. He began his career as an analyst at Morgan Stanley (February 1995-September 2005) and Lehman Brothers Holdings Inc. (February 1994-February 1995). He then served as a lead analyst at SAC Capital, LP from September 1995 to June 1997. Mr. Lehmann received a Bachelor of Science in Finance and International Business from New York University and a Master of Business Administration from The Wharton School at the University of Pennsylvania. Mr. Lehmann is well qualified to serve as a director due to his extensive investing and advisory experience in the cannabis industry.</w:t>
      </w:r>
    </w:p>
    <w:p>
      <w:pPr>
        <w:spacing w:after="0" w:line="194"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b w:val="1"/>
          <w:bCs w:val="1"/>
          <w:color w:val="auto"/>
        </w:rPr>
        <w:t xml:space="preserve">Kellen O’Keefe </w:t>
      </w:r>
      <w:r>
        <w:rPr>
          <w:rFonts w:ascii="Arial" w:cs="Arial" w:eastAsia="Arial" w:hAnsi="Arial"/>
          <w:sz w:val="16"/>
          <w:szCs w:val="16"/>
          <w:color w:val="auto"/>
        </w:rPr>
        <w:t>is one of our independent directors. Since July 2019, Mr. O’Keefe has served as the Chief Strategy Officer of Flower One</w:t>
      </w:r>
      <w:r>
        <w:rPr>
          <w:rFonts w:ascii="Arial" w:cs="Arial" w:eastAsia="Arial" w:hAnsi="Arial"/>
          <w:sz w:val="16"/>
          <w:szCs w:val="16"/>
          <w:b w:val="1"/>
          <w:bCs w:val="1"/>
          <w:color w:val="auto"/>
        </w:rPr>
        <w:t xml:space="preserve"> </w:t>
      </w:r>
      <w:r>
        <w:rPr>
          <w:rFonts w:ascii="Arial" w:cs="Arial" w:eastAsia="Arial" w:hAnsi="Arial"/>
          <w:sz w:val="16"/>
          <w:szCs w:val="16"/>
          <w:color w:val="auto"/>
        </w:rPr>
        <w:t>Holdings Inc. (CSE:FONE; OTCQX:FLOOF), a cannabis cultivation, production, processing and custom packaging company. Since January 2013, he has served as an advisor to MedPOINT Management, Inc., which provides managed care management services to independent physician associations and hospitals. From January 2016 to June 2019, Mr. O’Keefe served as a partner and Senior Vice President of Business Development at MedMen Enterprises, which owns and operates cannabis facilities in the greater Los Angeles area. Between March 2015 and November 2015, he served as Director of Business Development at Engage BDR, an advertising company. From September 2011 to September 2012, Mr. O’Keefe served as the Director of Business Development of Rocket Frog Games LLC, a B2B social casino provider. From May 2008 to September 2011, Mr. O’Keefe was the West Coast Account Director for Voice Media Group, a media and technology company. Mr. O’Keefe is a co-Founder of Learn to Ride, which develops experiences for celebrities and children suffering from chronic and/or life threatening conditions. Mr. O’Keefe received a Bachelor of Science in Business Administration and Management from University of Arizona. Mr. O’Keefe is well qualified to serve as a director due to his extensive business development experience.</w:t>
      </w:r>
    </w:p>
    <w:p>
      <w:pPr>
        <w:spacing w:after="0" w:line="161" w:lineRule="exact"/>
        <w:rPr>
          <w:sz w:val="20"/>
          <w:szCs w:val="20"/>
          <w:color w:val="auto"/>
        </w:rPr>
      </w:pPr>
    </w:p>
    <w:p>
      <w:pPr>
        <w:jc w:val="both"/>
        <w:ind w:right="140" w:firstLine="648"/>
        <w:spacing w:after="0" w:line="289" w:lineRule="auto"/>
        <w:rPr>
          <w:sz w:val="20"/>
          <w:szCs w:val="20"/>
          <w:color w:val="auto"/>
        </w:rPr>
      </w:pPr>
      <w:r>
        <w:rPr>
          <w:rFonts w:ascii="Arial" w:cs="Arial" w:eastAsia="Arial" w:hAnsi="Arial"/>
          <w:sz w:val="16"/>
          <w:szCs w:val="16"/>
          <w:b w:val="1"/>
          <w:bCs w:val="1"/>
          <w:color w:val="auto"/>
        </w:rPr>
        <w:t xml:space="preserve">James Hofmockel </w:t>
      </w:r>
      <w:r>
        <w:rPr>
          <w:rFonts w:ascii="Arial" w:cs="Arial" w:eastAsia="Arial" w:hAnsi="Arial"/>
          <w:sz w:val="16"/>
          <w:szCs w:val="16"/>
          <w:color w:val="auto"/>
        </w:rPr>
        <w:t>is one of our independent directors. Mr. Hofmockel has over 30 years of experience in the financial sector as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 and advisor, including nearly 20 years of principal investing and completion of numerous capital-raising and M&amp;A transactions in the public and private markets. Since July 2007, Mr. Hofmockel has been the managing partner of Hofmockel Investments, LLC, and since September 2018, (312)</w:t>
      </w:r>
    </w:p>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Investments, LLC, both private investment and financial advisory firms. From September 2000 to June 2009, Mr. Hofmockel served as a Principal in the private equity firm Cardinal Growth, L.P., where he led a number of investments and was a board member of several portfolio companies, and co-founded Diamond Communication Solutions, Inc. From 1998 to 2000, he served as a Vice President at Resource Financial Corporation, an investment banking and merchant banking firm, and Mr. Hofmockel worked in investment banking in the financial institutions groups of Salomon Brothers (1996– 1998) and Bear Stearns (1994–1996). Between December 1988 and July 1992, Mr. Hofmockel was a certified public accountant working in KPMG’s financial services group in tax and consulting. Mr. Hofmockel received a Bachelor of Science in Accounting from Purdue University and a Master of Business Administration from the University of Chicago Booth School of Business. Mr. Hofmockel is well qualified to serve as a director due to his extensive investing and advisory experience.</w:t>
      </w:r>
    </w:p>
    <w:p>
      <w:pPr>
        <w:spacing w:after="0" w:line="179"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b w:val="1"/>
          <w:bCs w:val="1"/>
          <w:color w:val="auto"/>
        </w:rPr>
        <w:t>Ann Kono</w:t>
      </w:r>
      <w:r>
        <w:rPr>
          <w:rFonts w:ascii="Arial" w:cs="Arial" w:eastAsia="Arial" w:hAnsi="Arial"/>
          <w:sz w:val="16"/>
          <w:szCs w:val="16"/>
          <w:color w:val="auto"/>
        </w:rPr>
        <w:t>, is one of our independent directors. Ms. Kono has more than 20 years of experience in the financial services industry. Ms. Kono is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the Chief Executive Officer of the Leda Advisory Group, a strategy consulting firm focusing on growth-stage startups that she founded in January 2019. From April 2007 to December 2018, Ms. Kono was a senior executive and most recently a partner and Chief Information and Risk Officer of Ares Management LLC (NYSE: ARES). Ms. Kono currently serves on the board of directors of Treehouse Real Estate Investment Trust, a private real estate investment trust. Ms. Kono earned a bachelor’s degree in business administration from Boston University and a master’s degree in business administration from the University of Southern California. Ms. Kono is well qualified to serve as a director due to her extensive advisory experience.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Classes and Terms of Office of Officers and Directors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board of directors consists of six directors and is divided into three classes with only one class of directors being elected in each year and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Class I directors, consisting of Messrs. O’Keefe and Hofmockel and Ms. Kono, will expire at our first annual meeting of stockholders. The term of office of the Class II of directors, consisting of Messrs. Norris and Lehmann, will expire at the second annual meeting of stockholders. The term of office of the Class III directors, consisting of Mr. Kabot, will expire at the third annual meeting of stockholders.</w:t>
      </w:r>
    </w:p>
    <w:p>
      <w:pPr>
        <w:spacing w:after="0" w:line="16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President, Vice Presidents, Secretary, Treasurer, Assistant Secretaries and such other offices as may be determined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Messrs. Lehmann, O’Keefe and Hofmockel and Ms. Kono are “independent directors” as defined in the Nasdaq listing standards and applicable Securities and Exchange Commission (“SEC”) rules. Our independent directors will have regularly scheduled meetings at which only independent directors are present.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079"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None of our officers has received any cash compensation for services rendered to us. Commencing on the date of this report, we have agreed to pay an affiliate of our sponsor a total of $10,000 per month for office space, utilities and administrative support. Upon completion of our initial business combination or our liquidation, we will cease paying these monthly fees. Other than as set forth elsewhere in this report, no compensation of any kind, including any finder’s fee, reimbursement, consulting fee or monies in respect of any payment of a loan, will be paid by us to our sponsor, officers, directors or advisors or any affiliate of our sponsor, officers, directors or advisors,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advisors or our or their affiliates. Any such payments prior to an initial business combination will be made using funds to be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17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Our board of directors has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have established an audit committee of the board of directors. Messrs. Lehmann, O’Keefe and Hofmockel serve as members of our audit committee, and Mr. Lehmann chairs the audit committee. Under the Nasdaq listing standards and applicable SEC rules, we are required to have at least three members of the audit committee, all of whom must be independent. Each of Messrs. Lehmann, O’Keefe and Hofmockel meet the independent director standard under Nasdaq listing standards and under Rule 10-A-3(b)(1) of the Exchange Act.</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Lehmann qualifies as an “audit committee financial expert” as defined in applicable SEC rules.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225" w:lineRule="exact"/>
        <w:rPr>
          <w:sz w:val="20"/>
          <w:szCs w:val="20"/>
          <w:color w:val="auto"/>
        </w:rPr>
      </w:pPr>
    </w:p>
    <w:p>
      <w:pPr>
        <w:ind w:left="980" w:right="54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215" w:gutter="0" w:footer="0" w:header="0"/>
        </w:sectPr>
      </w:pPr>
    </w:p>
    <w:bookmarkStart w:id="58" w:name="page59"/>
    <w:bookmarkEnd w:id="58"/>
    <w:p>
      <w:pPr>
        <w:ind w:left="980" w:right="2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ind w:left="980" w:right="20" w:hanging="324"/>
        <w:spacing w:after="0" w:line="279"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established a compensation committee of the board of directors. Messrs. Lehmann, O’Keefe and Hofmockel serve as members of our compensation committee. Under the Nasdaq listing standards and applicable SEC rules, we are required to have at least two members of the compensation committee, all of whom must be independent. Messrs. Lehmann, O’Keefe and Hofmockel are independent and Mr. O’Keefe chairs the compensation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225" w:lineRule="exact"/>
        <w:rPr>
          <w:sz w:val="20"/>
          <w:szCs w:val="20"/>
          <w:color w:val="auto"/>
        </w:rPr>
      </w:pPr>
    </w:p>
    <w:p>
      <w:pPr>
        <w:ind w:left="980" w:right="4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Notwithstanding the foregoing, as indicated above, other than the payment to an affiliate of our sponsor of $10,000 per month, for up to</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18 months, for office space, utilities and administrative support and reimbursement of expenses,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9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Messrs. Lehmann, O’Keefe and Hofmockel and Ms. Kono. In accordance with Rule 5605 of the Nasdaq rules, all such directors are independent. As there is no standing nominating committee, we do not have a nominating committee charter in place.</w:t>
      </w:r>
    </w:p>
    <w:p>
      <w:pPr>
        <w:spacing w:after="0" w:line="195"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9" w:name="page60"/>
    <w:bookmarkEnd w:id="59"/>
    <w:p>
      <w:pPr>
        <w:ind w:right="100" w:firstLine="648"/>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Documents</w:t>
      </w:r>
    </w:p>
    <w:p>
      <w:pPr>
        <w:spacing w:after="0" w:line="225" w:lineRule="exact"/>
        <w:rPr>
          <w:sz w:val="20"/>
          <w:szCs w:val="20"/>
          <w:color w:val="auto"/>
        </w:rPr>
      </w:pPr>
    </w:p>
    <w:p>
      <w:pPr>
        <w:jc w:val="both"/>
        <w:ind w:right="40" w:firstLine="648"/>
        <w:spacing w:after="0" w:line="301" w:lineRule="auto"/>
        <w:rPr>
          <w:sz w:val="20"/>
          <w:szCs w:val="20"/>
          <w:color w:val="auto"/>
        </w:rPr>
      </w:pPr>
      <w:r>
        <w:rPr>
          <w:rFonts w:ascii="Arial" w:cs="Arial" w:eastAsia="Arial" w:hAnsi="Arial"/>
          <w:sz w:val="16"/>
          <w:szCs w:val="16"/>
          <w:color w:val="auto"/>
        </w:rPr>
        <w:t>We have filed a copy of our form of Code of Ethics, our audit committee charter, our nominating committee charter and compensation committee charter as exhibits to the registration statement filed in connection with our initial public offering.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Section 16(a) of the Exchange Act requires our executive officers, directors and persons who beneficially own more than 10% of a registered class of our equity securities to file with the Securities and Exchange Commission initial reports of ownership and reports of changes in ownership of our common stock and other equity securities. These executive officers, directors, and greater than 10% beneficial owners are required by SEC regulation to furnish us with copies of all Section 16(a) forms filed by such reporting persons. Based solely on our review of such forms furnished to us and written representations from certain reporting persons, we believe that all reports applicable to our executive officers, directors and greater than 10% beneficial owners were filed in a timely manner in accordance with Section 16(a) of the Exchange Act.</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Director Compensation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None of our officers has received any cash compensation for services rendered to us. We pay an affiliate of our sponsor a total of $10,000 per month for office space, utilities and administrative support. Upon completion of our initial business combination or our liquidation, we will cease paying these monthly fees. No compensation of any kind, including any finder’s fee, reimbursement, consulting fee or monies in respect of any payment of a loan, will be paid by us to our sponsor, officers and directors, or any affiliate of our sponsor or officers, prior to, or in connection with any services rendered in order to effectuate, the consummation of our initial business combination (regardless of the type of transaction that it is). However, these individuals are reimbursed for any out-of-pocket expenses incurred in connection with activities on our behalf such as identifying potential target businesses and performing due diligence on suitable business combinations. Any such payments prior to an initial business combination will be made using funds held outside the trust account. Other than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18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0" w:name="page61"/>
    <w:bookmarkEnd w:id="60"/>
    <w:p>
      <w:pPr>
        <w:spacing w:after="0"/>
        <w:tabs>
          <w:tab w:leader="none" w:pos="100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March 26, 2020 based on information obtained from the persons named below, with respect to the beneficial ownership of shares of our common stock, by:</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executive officers and directors that beneficially owns shares of our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8"/>
              </w:rPr>
              <w:t>Class A Common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Class B Common</w:t>
            </w: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9"/>
              </w:rPr>
              <w:t>Stock</w:t>
            </w: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9"/>
              </w:rPr>
              <w:t>Stock</w:t>
            </w:r>
          </w:p>
        </w:tc>
        <w:tc>
          <w:tcPr>
            <w:tcW w:w="960" w:type="dxa"/>
            <w:vAlign w:val="bottom"/>
            <w:tcBorders>
              <w:bottom w:val="single" w:sz="8" w:color="auto"/>
            </w:tcBorders>
          </w:tcPr>
          <w:p>
            <w:pPr>
              <w:spacing w:after="0"/>
              <w:rPr>
                <w:sz w:val="20"/>
                <w:szCs w:val="20"/>
                <w:color w:val="auto"/>
              </w:rPr>
            </w:pPr>
          </w:p>
        </w:tc>
      </w:tr>
      <w:tr>
        <w:trPr>
          <w:trHeight w:val="203"/>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center"/>
              <w:ind w:right="400"/>
              <w:spacing w:after="0" w:line="202" w:lineRule="exact"/>
              <w:rPr>
                <w:sz w:val="20"/>
                <w:szCs w:val="20"/>
                <w:color w:val="auto"/>
              </w:rPr>
            </w:pPr>
            <w:r>
              <w:rPr>
                <w:rFonts w:ascii="Arial" w:cs="Arial" w:eastAsia="Arial" w:hAnsi="Arial"/>
                <w:sz w:val="18"/>
                <w:szCs w:val="18"/>
                <w:b w:val="1"/>
                <w:bCs w:val="1"/>
                <w:color w:val="auto"/>
                <w:w w:val="93"/>
              </w:rPr>
              <w:t>Number of</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center"/>
              <w:ind w:right="400"/>
              <w:spacing w:after="0" w:line="202" w:lineRule="exact"/>
              <w:rPr>
                <w:sz w:val="20"/>
                <w:szCs w:val="20"/>
                <w:color w:val="auto"/>
              </w:rPr>
            </w:pPr>
            <w:r>
              <w:rPr>
                <w:rFonts w:ascii="Arial" w:cs="Arial" w:eastAsia="Arial" w:hAnsi="Arial"/>
                <w:sz w:val="18"/>
                <w:szCs w:val="18"/>
                <w:b w:val="1"/>
                <w:bCs w:val="1"/>
                <w:color w:val="auto"/>
                <w:w w:val="93"/>
              </w:rPr>
              <w:t>Number of</w:t>
            </w:r>
          </w:p>
        </w:tc>
        <w:tc>
          <w:tcPr>
            <w:tcW w:w="960" w:type="dxa"/>
            <w:vAlign w:val="bottom"/>
          </w:tcPr>
          <w:p>
            <w:pPr>
              <w:spacing w:after="0"/>
              <w:rPr>
                <w:sz w:val="17"/>
                <w:szCs w:val="17"/>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6"/>
              </w:rPr>
              <w:t>Shares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Pr>
          <w:p>
            <w:pPr>
              <w:ind w:left="140"/>
              <w:spacing w:after="0"/>
              <w:rPr>
                <w:sz w:val="20"/>
                <w:szCs w:val="20"/>
                <w:color w:val="auto"/>
              </w:rPr>
            </w:pPr>
            <w:r>
              <w:rPr>
                <w:rFonts w:ascii="Arial" w:cs="Arial" w:eastAsia="Arial" w:hAnsi="Arial"/>
                <w:sz w:val="18"/>
                <w:szCs w:val="18"/>
                <w:b w:val="1"/>
                <w:bCs w:val="1"/>
                <w:color w:val="auto"/>
              </w:rPr>
              <w:t>% of</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Beneficially</w:t>
            </w: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 of</w:t>
            </w:r>
          </w:p>
        </w:tc>
      </w:tr>
      <w:tr>
        <w:trPr>
          <w:trHeight w:val="277"/>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 (1)</w:t>
            </w:r>
          </w:p>
        </w:tc>
        <w:tc>
          <w:tcPr>
            <w:tcW w:w="16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Owned</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w w:val="87"/>
              </w:rPr>
              <w:t>Class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center"/>
              <w:ind w:right="400"/>
              <w:spacing w:after="0" w:line="270" w:lineRule="exact"/>
              <w:rPr>
                <w:sz w:val="20"/>
                <w:szCs w:val="20"/>
                <w:color w:val="auto"/>
              </w:rPr>
            </w:pPr>
            <w:r>
              <w:rPr>
                <w:rFonts w:ascii="Arial" w:cs="Arial" w:eastAsia="Arial" w:hAnsi="Arial"/>
                <w:sz w:val="18"/>
                <w:szCs w:val="18"/>
                <w:b w:val="1"/>
                <w:bCs w:val="1"/>
                <w:color w:val="auto"/>
                <w:w w:val="86"/>
              </w:rPr>
              <w:t>Owned</w:t>
            </w:r>
            <w:r>
              <w:rPr>
                <w:rFonts w:ascii="Arial" w:cs="Arial" w:eastAsia="Arial" w:hAnsi="Arial"/>
                <w:sz w:val="29"/>
                <w:szCs w:val="29"/>
                <w:b w:val="1"/>
                <w:bCs w:val="1"/>
                <w:color w:val="auto"/>
                <w:w w:val="86"/>
                <w:vertAlign w:val="superscript"/>
              </w:rPr>
              <w:t>(2)</w:t>
            </w:r>
          </w:p>
        </w:tc>
        <w:tc>
          <w:tcPr>
            <w:tcW w:w="960" w:type="dxa"/>
            <w:vAlign w:val="bottom"/>
          </w:tcPr>
          <w:p>
            <w:pPr>
              <w:ind w:left="120"/>
              <w:spacing w:after="0"/>
              <w:rPr>
                <w:sz w:val="20"/>
                <w:szCs w:val="20"/>
                <w:color w:val="auto"/>
              </w:rPr>
            </w:pPr>
            <w:r>
              <w:rPr>
                <w:rFonts w:ascii="Arial" w:cs="Arial" w:eastAsia="Arial" w:hAnsi="Arial"/>
                <w:sz w:val="18"/>
                <w:szCs w:val="18"/>
                <w:b w:val="1"/>
                <w:bCs w:val="1"/>
                <w:color w:val="auto"/>
              </w:rPr>
              <w:t>Class</w:t>
            </w:r>
          </w:p>
        </w:tc>
      </w:tr>
      <w:tr>
        <w:trPr>
          <w:trHeight w:val="257"/>
        </w:trPr>
        <w:tc>
          <w:tcPr>
            <w:tcW w:w="584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SRC-NI Holdings, LLC</w:t>
            </w:r>
            <w:r>
              <w:rPr>
                <w:rFonts w:ascii="Arial" w:cs="Arial" w:eastAsia="Arial" w:hAnsi="Arial"/>
                <w:sz w:val="29"/>
                <w:szCs w:val="29"/>
                <w:color w:val="auto"/>
                <w:vertAlign w:val="superscript"/>
              </w:rPr>
              <w:t>(1) (2)</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495,000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2.8%</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4,312,500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1"/>
              </w:rPr>
              <w:t>100%</w:t>
            </w:r>
          </w:p>
        </w:tc>
      </w:tr>
      <w:tr>
        <w:trPr>
          <w:trHeight w:val="257"/>
        </w:trPr>
        <w:tc>
          <w:tcPr>
            <w:tcW w:w="5940" w:type="dxa"/>
            <w:vAlign w:val="bottom"/>
            <w:gridSpan w:val="2"/>
          </w:tcPr>
          <w:p>
            <w:pPr>
              <w:spacing w:after="0" w:line="256" w:lineRule="exact"/>
              <w:rPr>
                <w:sz w:val="20"/>
                <w:szCs w:val="20"/>
                <w:color w:val="auto"/>
              </w:rPr>
            </w:pPr>
            <w:r>
              <w:rPr>
                <w:rFonts w:ascii="Arial" w:cs="Arial" w:eastAsia="Arial" w:hAnsi="Arial"/>
                <w:sz w:val="18"/>
                <w:szCs w:val="18"/>
                <w:color w:val="auto"/>
              </w:rPr>
              <w:t>Brian Kabot</w:t>
            </w:r>
            <w:r>
              <w:rPr>
                <w:rFonts w:ascii="Arial" w:cs="Arial" w:eastAsia="Arial" w:hAnsi="Arial"/>
                <w:sz w:val="29"/>
                <w:szCs w:val="29"/>
                <w:color w:val="auto"/>
                <w:vertAlign w:val="superscript"/>
              </w:rPr>
              <w:t>(1)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495,000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4,312,500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ind w:left="520"/>
              <w:spacing w:after="0"/>
              <w:rPr>
                <w:sz w:val="20"/>
                <w:szCs w:val="20"/>
                <w:color w:val="auto"/>
              </w:rPr>
            </w:pPr>
            <w:r>
              <w:rPr>
                <w:rFonts w:ascii="Arial" w:cs="Arial" w:eastAsia="Arial" w:hAnsi="Arial"/>
                <w:sz w:val="18"/>
                <w:szCs w:val="18"/>
                <w:color w:val="auto"/>
                <w:w w:val="91"/>
              </w:rPr>
              <w:t>100%</w:t>
            </w:r>
          </w:p>
        </w:tc>
      </w:tr>
      <w:tr>
        <w:trPr>
          <w:trHeight w:val="257"/>
        </w:trPr>
        <w:tc>
          <w:tcPr>
            <w:tcW w:w="5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Juan Manuel Quiroga</w:t>
            </w:r>
            <w:r>
              <w:rPr>
                <w:rFonts w:ascii="Arial" w:cs="Arial" w:eastAsia="Arial" w:hAnsi="Arial"/>
                <w:sz w:val="29"/>
                <w:szCs w:val="29"/>
                <w:color w:val="auto"/>
                <w:vertAlign w:val="superscript"/>
              </w:rPr>
              <w:t>(1)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2.8%</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4,312,500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100%</w:t>
            </w:r>
          </w:p>
        </w:tc>
      </w:tr>
      <w:tr>
        <w:trPr>
          <w:trHeight w:val="256"/>
        </w:trPr>
        <w:tc>
          <w:tcPr>
            <w:tcW w:w="5940" w:type="dxa"/>
            <w:vAlign w:val="bottom"/>
            <w:gridSpan w:val="2"/>
          </w:tcPr>
          <w:p>
            <w:pPr>
              <w:spacing w:after="0" w:line="256" w:lineRule="exact"/>
              <w:rPr>
                <w:sz w:val="20"/>
                <w:szCs w:val="20"/>
                <w:color w:val="auto"/>
              </w:rPr>
            </w:pPr>
            <w:r>
              <w:rPr>
                <w:rFonts w:ascii="Arial" w:cs="Arial" w:eastAsia="Arial" w:hAnsi="Arial"/>
                <w:sz w:val="18"/>
                <w:szCs w:val="18"/>
                <w:color w:val="auto"/>
              </w:rPr>
              <w:t>Edward K. Freedman</w:t>
            </w:r>
            <w:r>
              <w:rPr>
                <w:rFonts w:ascii="Arial" w:cs="Arial" w:eastAsia="Arial" w:hAnsi="Arial"/>
                <w:sz w:val="29"/>
                <w:szCs w:val="29"/>
                <w:color w:val="auto"/>
                <w:vertAlign w:val="superscript"/>
              </w:rPr>
              <w:t>(1)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495,000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4,312,500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ind w:left="520"/>
              <w:spacing w:after="0"/>
              <w:rPr>
                <w:sz w:val="20"/>
                <w:szCs w:val="20"/>
                <w:color w:val="auto"/>
              </w:rPr>
            </w:pPr>
            <w:r>
              <w:rPr>
                <w:rFonts w:ascii="Arial" w:cs="Arial" w:eastAsia="Arial" w:hAnsi="Arial"/>
                <w:sz w:val="18"/>
                <w:szCs w:val="18"/>
                <w:color w:val="auto"/>
                <w:w w:val="91"/>
              </w:rPr>
              <w:t>100%</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Norris</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Marc Lehmann</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Kellen O’Keefe</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James Hofmockel</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 Kono</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(7 individuals)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495,000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4,312,500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8"/>
                <w:szCs w:val="18"/>
                <w:color w:val="auto"/>
                <w:w w:val="91"/>
              </w:rPr>
              <w:t>100%</w:t>
            </w:r>
          </w:p>
        </w:tc>
      </w:tr>
      <w:tr>
        <w:trPr>
          <w:trHeight w:val="257"/>
        </w:trPr>
        <w:tc>
          <w:tcPr>
            <w:tcW w:w="5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HGC Investment Management Inc.</w:t>
            </w:r>
            <w:r>
              <w:rPr>
                <w:rFonts w:ascii="Arial" w:cs="Arial" w:eastAsia="Arial" w:hAnsi="Arial"/>
                <w:sz w:val="29"/>
                <w:szCs w:val="29"/>
                <w:color w:val="auto"/>
                <w:vertAlign w:val="superscript"/>
              </w:rPr>
              <w:t>(3)</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1,487,170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8.4%</w:t>
            </w:r>
          </w:p>
        </w:tc>
        <w:tc>
          <w:tcPr>
            <w:tcW w:w="10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56"/>
        </w:trPr>
        <w:tc>
          <w:tcPr>
            <w:tcW w:w="5940" w:type="dxa"/>
            <w:vAlign w:val="bottom"/>
            <w:gridSpan w:val="2"/>
          </w:tcPr>
          <w:p>
            <w:pPr>
              <w:spacing w:after="0" w:line="256" w:lineRule="exact"/>
              <w:rPr>
                <w:sz w:val="20"/>
                <w:szCs w:val="20"/>
                <w:color w:val="auto"/>
              </w:rPr>
            </w:pPr>
            <w:r>
              <w:rPr>
                <w:rFonts w:ascii="Arial" w:cs="Arial" w:eastAsia="Arial" w:hAnsi="Arial"/>
                <w:sz w:val="18"/>
                <w:szCs w:val="18"/>
                <w:color w:val="auto"/>
              </w:rPr>
              <w:t>Polar Asset Management Partners Inc.</w:t>
            </w:r>
            <w:r>
              <w:rPr>
                <w:rFonts w:ascii="Arial" w:cs="Arial" w:eastAsia="Arial" w:hAnsi="Arial"/>
                <w:sz w:val="29"/>
                <w:szCs w:val="29"/>
                <w:color w:val="auto"/>
                <w:vertAlign w:val="superscript"/>
              </w:rPr>
              <w:t>(4)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87"/>
              </w:rPr>
              <w:t>7.0%</w:t>
            </w:r>
          </w:p>
        </w:tc>
        <w:tc>
          <w:tcPr>
            <w:tcW w:w="100" w:type="dxa"/>
            <w:vAlign w:val="bottom"/>
          </w:tcPr>
          <w:p>
            <w:pPr>
              <w:spacing w:after="0"/>
              <w:rPr>
                <w:sz w:val="22"/>
                <w:szCs w:val="22"/>
                <w:color w:val="auto"/>
              </w:rPr>
            </w:pP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57"/>
        </w:trPr>
        <w:tc>
          <w:tcPr>
            <w:tcW w:w="5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RP Investment Advisors LP</w:t>
            </w:r>
            <w:r>
              <w:rPr>
                <w:rFonts w:ascii="Arial" w:cs="Arial" w:eastAsia="Arial" w:hAnsi="Arial"/>
                <w:sz w:val="29"/>
                <w:szCs w:val="29"/>
                <w:color w:val="auto"/>
                <w:vertAlign w:val="superscript"/>
              </w:rPr>
              <w:t>(5)</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6.7%</w:t>
            </w:r>
          </w:p>
        </w:tc>
        <w:tc>
          <w:tcPr>
            <w:tcW w:w="10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56"/>
        </w:trPr>
        <w:tc>
          <w:tcPr>
            <w:tcW w:w="5940" w:type="dxa"/>
            <w:vAlign w:val="bottom"/>
            <w:gridSpan w:val="2"/>
          </w:tcPr>
          <w:p>
            <w:pPr>
              <w:spacing w:after="0" w:line="256" w:lineRule="exact"/>
              <w:rPr>
                <w:sz w:val="20"/>
                <w:szCs w:val="20"/>
                <w:color w:val="auto"/>
              </w:rPr>
            </w:pPr>
            <w:r>
              <w:rPr>
                <w:rFonts w:ascii="Arial" w:cs="Arial" w:eastAsia="Arial" w:hAnsi="Arial"/>
                <w:sz w:val="18"/>
                <w:szCs w:val="18"/>
                <w:color w:val="auto"/>
              </w:rPr>
              <w:t>MMCAP International Inc. SPC</w:t>
            </w:r>
            <w:r>
              <w:rPr>
                <w:rFonts w:ascii="Arial" w:cs="Arial" w:eastAsia="Arial" w:hAnsi="Arial"/>
                <w:sz w:val="29"/>
                <w:szCs w:val="29"/>
                <w:color w:val="auto"/>
                <w:vertAlign w:val="superscript"/>
              </w:rPr>
              <w:t>(6)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87"/>
              </w:rPr>
              <w:t>6.7%</w:t>
            </w:r>
          </w:p>
        </w:tc>
        <w:tc>
          <w:tcPr>
            <w:tcW w:w="100" w:type="dxa"/>
            <w:vAlign w:val="bottom"/>
          </w:tcPr>
          <w:p>
            <w:pPr>
              <w:spacing w:after="0"/>
              <w:rPr>
                <w:sz w:val="22"/>
                <w:szCs w:val="22"/>
                <w:color w:val="auto"/>
              </w:rPr>
            </w:pP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57"/>
        </w:trPr>
        <w:tc>
          <w:tcPr>
            <w:tcW w:w="5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Kepos Capital LP</w:t>
            </w:r>
            <w:r>
              <w:rPr>
                <w:rFonts w:ascii="Arial" w:cs="Arial" w:eastAsia="Arial" w:hAnsi="Arial"/>
                <w:sz w:val="29"/>
                <w:szCs w:val="29"/>
                <w:color w:val="auto"/>
                <w:vertAlign w:val="superscript"/>
              </w:rPr>
              <w:t>(7)</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1,185,780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6.5%</w:t>
            </w:r>
          </w:p>
        </w:tc>
        <w:tc>
          <w:tcPr>
            <w:tcW w:w="10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390"/>
        </w:trPr>
        <w:tc>
          <w:tcPr>
            <w:tcW w:w="5940" w:type="dxa"/>
            <w:vAlign w:val="bottom"/>
            <w:gridSpan w:val="2"/>
          </w:tcPr>
          <w:p>
            <w:pPr>
              <w:spacing w:after="0"/>
              <w:rPr>
                <w:sz w:val="20"/>
                <w:szCs w:val="20"/>
                <w:color w:val="auto"/>
              </w:rPr>
            </w:pPr>
            <w:r>
              <w:rPr>
                <w:rFonts w:ascii="Arial" w:cs="Arial" w:eastAsia="Arial" w:hAnsi="Arial"/>
                <w:sz w:val="18"/>
                <w:szCs w:val="18"/>
                <w:color w:val="auto"/>
              </w:rPr>
              <w:t>Linden Advisors LP</w:t>
            </w:r>
            <w:r>
              <w:rPr>
                <w:rFonts w:ascii="Arial" w:cs="Arial" w:eastAsia="Arial" w:hAnsi="Arial"/>
                <w:sz w:val="29"/>
                <w:szCs w:val="29"/>
                <w:color w:val="auto"/>
                <w:vertAlign w:val="superscript"/>
              </w:rPr>
              <w:t>(8)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1,272,540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87"/>
              </w:rPr>
              <w:t>7.2%</w:t>
            </w:r>
          </w:p>
        </w:tc>
        <w:tc>
          <w:tcPr>
            <w:tcW w:w="100" w:type="dxa"/>
            <w:vAlign w:val="bottom"/>
          </w:tcPr>
          <w:p>
            <w:pPr>
              <w:spacing w:after="0"/>
              <w:rPr>
                <w:sz w:val="24"/>
                <w:szCs w:val="24"/>
                <w:color w:val="auto"/>
              </w:rPr>
            </w:pP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w:t>
            </w:r>
          </w:p>
        </w:tc>
      </w:tr>
    </w:tbl>
    <w:p>
      <w:pPr>
        <w:spacing w:after="0" w:line="68" w:lineRule="exact"/>
        <w:rPr>
          <w:sz w:val="20"/>
          <w:szCs w:val="20"/>
          <w:color w:val="auto"/>
        </w:rPr>
      </w:pPr>
    </w:p>
    <w:p>
      <w:pPr>
        <w:ind w:left="460" w:right="80" w:hanging="452"/>
        <w:spacing w:after="0" w:line="29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SRC-NI Holdings, LLC, our sponsor, is the record holder of the shares reported herein. Each of our officers and directors is, directly or indirectly, a member of our sponsor. The business address of our sponsor is 1345 Abbot Kinney Blvd., Venice, California 90291. Our sponsor’s board of managers is comprised of Edward K. Freedman, Brian Kabot and Juan Manuel Quiroga. Consequently, each of these individuals may be deemed the beneficial owner of the founder shares held by our sponsor and shares voting and dispositive control over such securities. Each of these individuals disclaims beneficial ownership over any securities owned by our sponsor in which he does not have any pecuniary interest.</w:t>
      </w:r>
    </w:p>
    <w:p>
      <w:pPr>
        <w:spacing w:after="0" w:line="161" w:lineRule="exact"/>
        <w:rPr>
          <w:rFonts w:ascii="Arial" w:cs="Arial" w:eastAsia="Arial" w:hAnsi="Arial"/>
          <w:sz w:val="16"/>
          <w:szCs w:val="16"/>
          <w:color w:val="auto"/>
        </w:rPr>
      </w:pPr>
    </w:p>
    <w:p>
      <w:pPr>
        <w:ind w:left="460" w:right="46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shares of Class B common stock, as well as placement shares. Founder shares are convertible into shares of Class A common stock on a one-for-one basis, subject to adjustment.</w:t>
      </w:r>
    </w:p>
    <w:p>
      <w:pPr>
        <w:spacing w:after="0" w:line="17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According to Schedule 13G filed with the SEC on February 14, 2020 by HGC Investment Management Inc. HGC Investment Management Inc. serves as the investment manager to HGC Arbitrage Fund LP, an Ontario limited partnership (the "Fund"), with respect to the Class A common stock held by HGC Investment Management Inc. on behalf of the Fund. The business address of HGC Investment Management Inc. is 366 Adelaide, Suite 601, Toronto, Ontario M5V 1R9, Canada.</w:t>
      </w:r>
    </w:p>
    <w:p>
      <w:pPr>
        <w:spacing w:after="0" w:line="186" w:lineRule="exact"/>
        <w:rPr>
          <w:rFonts w:ascii="Arial" w:cs="Arial" w:eastAsia="Arial" w:hAnsi="Arial"/>
          <w:sz w:val="18"/>
          <w:szCs w:val="18"/>
          <w:color w:val="auto"/>
        </w:rPr>
      </w:pPr>
    </w:p>
    <w:p>
      <w:pPr>
        <w:jc w:val="both"/>
        <w:ind w:left="460" w:right="240" w:hanging="452"/>
        <w:spacing w:after="0" w:line="279"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According to Schedule 13G filed with the SEC on February 13, 2020 by Polar Asset Management Partners Inc. Polar Asset Management Partners Inc. (“PMSMF”) serves as the investment advisor to Polar Multi-Strategy Master Fund and certain managed accounts (together with PMSMF, the "Polar Vehicles"), with respect to the Class A common stock directly held by the Polar Vehicles. The business address of Polar Asset Management Partners Inc. is 401 Bay Street, Suite 1900, PO Box 19, Toronto, Ontario M5H 2Y4, Canada.</w:t>
      </w:r>
    </w:p>
    <w:p>
      <w:pPr>
        <w:spacing w:after="0" w:line="171" w:lineRule="exact"/>
        <w:rPr>
          <w:rFonts w:ascii="Arial" w:cs="Arial" w:eastAsia="Arial" w:hAnsi="Arial"/>
          <w:sz w:val="17"/>
          <w:szCs w:val="17"/>
          <w:color w:val="auto"/>
        </w:rPr>
      </w:pPr>
    </w:p>
    <w:p>
      <w:pPr>
        <w:ind w:left="460" w:right="10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According to Schedule 13G/A filed with the SEC on February 14, 2020 by RP Investment Advisors LP (the “Advisor”), RP Select Opportunities Master Fund Ltd., RP Debt Opportunities Fund Ltd. and RP Alternative Global Bond Fund. The shares of Class A common stock are held by RP Select Opportunities Master Fund Ltd., RP Debt Opportunities Fund Ltd. and RP Alternative Global Bond Fund (the “Funds”), which are managed by the Advisor. The Advisor, in its capacity as the investment manager of the Funds, has the power to vote and the power to direct the disposition of all shares held by the Funds and the Advisor may be deemed to beneficially own such securities. The business address of each of the Advisor, RP Select Opportunities Master Fund Ltd., RP Debt Opportunities Fund Ltd. and RP Alternative Global Bond Fund is 39 Hazelton Avenue, Toronto, Canada, M5R 2E3.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553" w:gutter="0" w:footer="0" w:header="0"/>
        </w:sectPr>
      </w:pPr>
    </w:p>
    <w:bookmarkStart w:id="61" w:name="page62"/>
    <w:bookmarkEnd w:id="61"/>
    <w:p>
      <w:pPr>
        <w:ind w:left="46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According to Schedule 13G/A filed with the SEC on February 5, 2020 by MMCAP International Inc. SPC (“MMCAP”) and MM Asset Management Inc. (“MM”). The business address of MMCAP is c/o Mourant Governance Services (Cayman) Limited, 94 Solaris Avenue, Camana Bay, P.O. Box 1348, Grand Cayman, Cayman Islands KY1-1008. The business address for MM is 161 Bay Street, TD Canada Trust Tower, Suite 2240, Toronto, Ontario, Canada M5J 2S1.</w:t>
      </w:r>
    </w:p>
    <w:p>
      <w:pPr>
        <w:spacing w:after="0" w:line="1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According to Schedule 13G filed with the SEC on February 4, 2020 by Kepos Capital LP and Mark Carhart (“Mr. Carhart”). Kepos Capital LP (“Kepos”) is the investment adviser to certain funds and accounts (the “Kepos Funds”), with respect to the Class A common stock directly held by the Kepos Funds. Mr. Carhart is the managing member of Kepos Capital GP LLC, the general partner of Kepos, with respect to the shares directly held by the Kepos Funds. The business address for each of Kepos and Mr. Carhart is 11 Times Square, 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10036.</w:t>
      </w:r>
    </w:p>
    <w:p>
      <w:pPr>
        <w:spacing w:after="0" w:line="28" w:lineRule="exact"/>
        <w:rPr>
          <w:rFonts w:ascii="Arial" w:cs="Arial" w:eastAsia="Arial" w:hAnsi="Arial"/>
          <w:sz w:val="16"/>
          <w:szCs w:val="16"/>
          <w:color w:val="auto"/>
        </w:rPr>
      </w:pPr>
    </w:p>
    <w:p>
      <w:pPr>
        <w:ind w:left="460" w:right="200" w:hanging="452"/>
        <w:spacing w:after="0" w:line="274"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According to Schedule 13G/A filed with the SEC on January 14, 2020 by Linden Capital L.P. (“Linden Capital”), Linden GP LLC (“Linden GP”), Linden Advisors LP (“Linden Advisors”), and Siu Min Wong (“Mr. Wong”). This amount consists of 1,135,028 shares held by Linden Capital and 137,512 shares held by separately managed accounts. As of December 31, 2019, each of Linden GP and Linden Capital may be deemed the beneficial owner of the 1,135,028 shares held by Linden Capital. The business address of LCLP is 31 Victoria Street, Hamilton HM10, Bermuda. The business address for each of Linden Capital, Linden GP, Linden Advisors, and Mr. Wong is 590 Madison Avenue,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10022. As of December 31, 2019, each of Linden Advisors and Mr. Wong may be deemed the beneficial owner of 1,272,540 Shares.</w:t>
      </w:r>
    </w:p>
    <w:p>
      <w:pPr>
        <w:spacing w:after="0" w:line="16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table above does not include the shares of common stock underlying the private placement warrants held by our sponsor because these securities are not exercisable within 60 days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June 2019, we issued an aggregate of 4,312,500 founder shares to our sponsor for an aggregate purchase price of $25,000 in cash, or approximately $0.006 per share. The number of founder shares issued was determined based on the expectation that such founder shares would represent 20% of the outstanding shares upon completion of our initial public offering (excluding the placement units and underlying securities). The founder shares (including the Class A common stock issuable upon exercise thereof) may not, subject to certain limited exceptions, be transferred, assigned or sold by the holder.</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sponsor and Cantor purchased an aggregate of 545,000 placement units at a price of $10.00 per unit, for a purchase price of $5,450,000. There will be no redemption rights or liquidating distributions from the trust account with respect to the founder shares, placement shares or placement warrants, which will expire worthless if we do not consummate a business combination within the allotted 18 month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pay Stable Road Capital, LLC, an affiliate of our sponsor, a total of $10,000 per month for office space, utilities and administrative support.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completion of our initial business combination or our liquidation, we will cease paying these monthly fees.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Other than the foregoing, no compensation of any kind, including any finder’s fee, reimbursement, consulting fee or monies in respect of any payment of a loan, will be paid by us to our sponsor, officers, directors or advisors or any affiliate of our sponsor, officers, directors or advisors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advisors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9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to be held outside the trust account to repay such loaned amounts but no proceeds from our trust account would be used for such repayment. Up to $1,500,000 of such loans may be convertible into units, at a price of $10.00 per unit at the option of the lender, upon consummation of our initial business combination. The units would be identical to the placement units.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96"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755" w:gutter="0" w:footer="0" w:header="0"/>
        </w:sectPr>
      </w:pPr>
    </w:p>
    <w:bookmarkStart w:id="62" w:name="page63"/>
    <w:bookmarkEnd w:id="62"/>
    <w:p>
      <w:pPr>
        <w:ind w:right="80" w:firstLine="648"/>
        <w:spacing w:after="0" w:line="301" w:lineRule="auto"/>
        <w:rPr>
          <w:sz w:val="20"/>
          <w:szCs w:val="20"/>
          <w:color w:val="auto"/>
        </w:rPr>
      </w:pPr>
      <w:r>
        <w:rPr>
          <w:rFonts w:ascii="Arial" w:cs="Arial" w:eastAsia="Arial" w:hAnsi="Arial"/>
          <w:sz w:val="16"/>
          <w:szCs w:val="16"/>
          <w:color w:val="auto"/>
        </w:rPr>
        <w:t>The holders of the founder shares, placement units, and units that may be issued upon conversion of working capital loans (and in each case holders of their component securities, as applicable) will have registration rights to require us to register a sale of any of our securities held by them. These holders will be entitled to make up to three demands, excluding short form registration demands, that we register such securities for sale under the Securities Act. In addition, these holders will have “piggy-back” registration rights to include their securities in other registration statements filed by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Our audit committee must review and approve any related person transaction we propose to enter into. Our audit committee charter details the policies and procedures relating to transactions that may present actual, potential or perceived conflicts of interest and may raise questions as to whether such transactions are consistent with the best interest of our company and our stockholders. A summary of such policies and procedures is set forth below.</w:t>
      </w:r>
    </w:p>
    <w:p>
      <w:pPr>
        <w:spacing w:after="0" w:line="14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Any potential related party transaction that is brought to the audit committee’s attention will be analyzed by the audit committee, in consultation with outside counsel or members of management, as appropriate, to determine whether the transaction or relationship does, in fact, constitute a related party transaction. At its meetings, the audit committee will be provided with the details of each new, existing or proposed related party transaction, including the terms of the transaction, the business purpose of the transaction and the benefits to us and to the relevant related party.</w:t>
      </w:r>
    </w:p>
    <w:p>
      <w:pPr>
        <w:spacing w:after="0" w:line="15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determining whether to approve a related party transaction, the audit committee must consider, among other factors, the following factors to the extent relevant:</w:t>
      </w:r>
    </w:p>
    <w:p>
      <w:pPr>
        <w:spacing w:after="0" w:line="170"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the terms of the transaction are fair to us and on the same basis as would apply if the transaction did not involve a related party;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there are business reasons for us to enter into the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transaction would impair the independence of an outside director;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transaction would present an improper conflict of interest for any director or executive officer.</w:t>
      </w:r>
    </w:p>
    <w:p>
      <w:pPr>
        <w:spacing w:after="0" w:line="225" w:lineRule="exact"/>
        <w:rPr>
          <w:sz w:val="20"/>
          <w:szCs w:val="20"/>
          <w:color w:val="auto"/>
        </w:rPr>
      </w:pPr>
    </w:p>
    <w:p>
      <w:pPr>
        <w:jc w:val="both"/>
        <w:ind w:right="780" w:firstLine="648"/>
        <w:spacing w:after="0" w:line="311" w:lineRule="auto"/>
        <w:rPr>
          <w:sz w:val="20"/>
          <w:szCs w:val="20"/>
          <w:color w:val="auto"/>
        </w:rPr>
      </w:pPr>
      <w:r>
        <w:rPr>
          <w:rFonts w:ascii="Arial" w:cs="Arial" w:eastAsia="Arial" w:hAnsi="Arial"/>
          <w:sz w:val="16"/>
          <w:szCs w:val="16"/>
          <w:color w:val="auto"/>
        </w:rPr>
        <w:t>Any member of the audit committee who has an interest in the transaction under discussion must abstain from any voting regarding the transaction, but may, if so requested by the chairman of the audit committee, participate in some or all of the audit committee’s discussions of the transaction. Upon completion of its review of the transaction, the audit committee may determine to permit or to prohibit the transaction.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Messrs. Lehmann, O’Keefe and Hofmockel and Ms. Kono are “independent directors” as defined in the Nasdaq listing standards and applicable SEC rules. Our independent directors have regularly scheduled meetings at which only independent directors are present.</w:t>
      </w:r>
    </w:p>
    <w:p>
      <w:pPr>
        <w:spacing w:after="0" w:line="15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fees paid or to be paid to WithumSmith+Brown, PC, or Withum, for services rendered.</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During the period from May 28, 2019 (inception) through December 31, 2019, we paid Withum approximately $43,775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Withum performed in connection with our initial public offering.</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During the period from May 28, 2019 (inception) through December 31, 2019, Withum did not render assurance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related to the performance of the audit or review of financial statements.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During the period from May 28, 2019 (inception) through December 31, 2019, Withum did not render services to us for tax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tax advice and tax planning.</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During the period from May 28, 2019 (inception) through December 31, 2019, there were no fees billed for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Withum other than those set forth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All financial statement schedules are omitted because they are not applicable or the amounts are immaterial and not required, or the required information is presented in the financial statements and notes thereto in is Item 15 of Part IV below.</w:t>
      </w:r>
    </w:p>
    <w:p>
      <w:pPr>
        <w:spacing w:after="0" w:line="170" w:lineRule="exact"/>
        <w:rPr>
          <w:sz w:val="20"/>
          <w:szCs w:val="20"/>
          <w:color w:val="auto"/>
        </w:rPr>
      </w:pPr>
    </w:p>
    <w:p>
      <w:pPr>
        <w:ind w:left="920" w:hanging="453"/>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hereby file as part of this report the exhibits listed in the attached Exhibit Index. Copies of such material can be obtained on the SEC website at www.sec.gov.</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20" w:type="dxa"/>
            <w:vAlign w:val="bottom"/>
            <w:gridSpan w:val="13"/>
          </w:tcPr>
          <w:p>
            <w:pPr>
              <w:ind w:left="150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gridSpan w:val="12"/>
          </w:tcPr>
          <w:p>
            <w:pPr>
              <w:ind w:left="60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740" w:type="dxa"/>
            <w:vAlign w:val="bottom"/>
            <w:tcBorders>
              <w:top w:val="single" w:sz="8" w:color="auto"/>
              <w:bottom w:val="single" w:sz="8" w:color="0000EE"/>
            </w:tcBorders>
            <w:gridSpan w:val="9"/>
            <w:shd w:val="clear" w:color="auto" w:fill="CCEEFF"/>
          </w:tcPr>
          <w:p>
            <w:pPr>
              <w:spacing w:after="0" w:line="169"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Underwriting Agreement, dated November 7, 2019, between the Company and Cantor Fitzgerald &amp; Co. (1)</w:t>
              </w:r>
            </w:hyperlink>
          </w:p>
        </w:tc>
        <w:tc>
          <w:tcPr>
            <w:tcW w:w="2360" w:type="dxa"/>
            <w:vAlign w:val="bottom"/>
            <w:tcBorders>
              <w:top w:val="single" w:sz="8" w:color="auto"/>
              <w:bottom w:val="single" w:sz="8" w:color="CCEEFF"/>
            </w:tcBorders>
            <w:gridSpan w:val="8"/>
            <w:shd w:val="clear" w:color="auto" w:fill="CCEEFF"/>
          </w:tcPr>
          <w:p>
            <w:pPr>
              <w:spacing w:after="0"/>
              <w:rPr>
                <w:sz w:val="16"/>
                <w:szCs w:val="16"/>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Certificate of Incorporation. (2)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Amended and Restated Certificate of Incorporation. (1)</w:t>
              </w:r>
            </w:hyperlink>
          </w:p>
        </w:tc>
        <w:tc>
          <w:tcPr>
            <w:tcW w:w="6100" w:type="dxa"/>
            <w:vAlign w:val="bottom"/>
            <w:tcBorders>
              <w:bottom w:val="single" w:sz="8" w:color="CCEEFF"/>
            </w:tcBorders>
            <w:gridSpan w:val="1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Bylaws. (2)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89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Warrant Agreement, dated November 7, 2019, between Continental Stock Transfer &amp; Trust Company and the Company. (1)</w:t>
              </w:r>
            </w:hyperlink>
          </w:p>
        </w:tc>
        <w:tc>
          <w:tcPr>
            <w:tcW w:w="118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Description of Securities.*</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Investment Management Trust Account Agreement, dated November 7, 2019, between Continental Stock Transfer &amp; Trust Company and</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the Company. (1)</w:t>
              </w:r>
            </w:hyperlink>
          </w:p>
        </w:tc>
        <w:tc>
          <w:tcPr>
            <w:tcW w:w="864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rFonts w:ascii="Arial" w:cs="Arial" w:eastAsia="Arial" w:hAnsi="Arial"/>
                <w:sz w:val="18"/>
                <w:szCs w:val="18"/>
                <w:color w:val="0000EE"/>
              </w:rPr>
            </w:pPr>
            <w:hyperlink r:id="rId82">
              <w:r>
                <w:rPr>
                  <w:rFonts w:ascii="Arial" w:cs="Arial" w:eastAsia="Arial" w:hAnsi="Arial"/>
                  <w:sz w:val="18"/>
                  <w:szCs w:val="18"/>
                  <w:color w:val="0000EE"/>
                </w:rPr>
                <w:t>Registration Rights Agreement, dated November 7, 2019, between the Company, the Sponsor and Cantor Fitzgerald &amp; Co. (1)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Letter Agreement, dated November 7, 2019, by and among the Company, its officers, certain of its directors and the Sponsor. (1)</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tcPr>
          <w:p>
            <w:pPr>
              <w:spacing w:after="0"/>
              <w:rPr>
                <w:sz w:val="15"/>
                <w:szCs w:val="15"/>
                <w:color w:val="auto"/>
              </w:rPr>
            </w:pPr>
          </w:p>
        </w:tc>
        <w:tc>
          <w:tcPr>
            <w:tcW w:w="9260" w:type="dxa"/>
            <w:vAlign w:val="bottom"/>
            <w:tcBorders>
              <w:top w:val="single" w:sz="8" w:color="0000EE"/>
            </w:tcBorders>
            <w:gridSpan w:val="15"/>
          </w:tcPr>
          <w:p>
            <w:pPr>
              <w:spacing w:after="0" w:line="176" w:lineRule="exact"/>
              <w:rPr>
                <w:rFonts w:ascii="Arial" w:cs="Arial" w:eastAsia="Arial" w:hAnsi="Arial"/>
                <w:sz w:val="18"/>
                <w:szCs w:val="18"/>
                <w:color w:val="0000EE"/>
                <w:w w:val="97"/>
              </w:rPr>
            </w:pPr>
            <w:hyperlink r:id="rId84">
              <w:r>
                <w:rPr>
                  <w:rFonts w:ascii="Arial" w:cs="Arial" w:eastAsia="Arial" w:hAnsi="Arial"/>
                  <w:sz w:val="18"/>
                  <w:szCs w:val="18"/>
                  <w:color w:val="0000EE"/>
                  <w:w w:val="97"/>
                </w:rPr>
                <w:t>Administrative Support Agreement, dated November 7, 2019, between the Company and Stable Road Capital, LLC. (1)</w:t>
              </w:r>
            </w:hyperlink>
          </w:p>
        </w:tc>
        <w:tc>
          <w:tcPr>
            <w:tcW w:w="840" w:type="dxa"/>
            <w:vAlign w:val="bottom"/>
            <w:tcBorders>
              <w:top w:val="single" w:sz="8" w:color="CCEEFF"/>
            </w:tcBorders>
            <w:gridSpan w:val="2"/>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17"/>
                <w:szCs w:val="17"/>
                <w:color w:val="auto"/>
              </w:rPr>
            </w:pPr>
          </w:p>
        </w:tc>
        <w:tc>
          <w:tcPr>
            <w:tcW w:w="69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Unit Subscription Agreement, dated November 7, 2019, between the Company and Sponsor. (1)</w:t>
              </w:r>
            </w:hyperlink>
          </w:p>
        </w:tc>
        <w:tc>
          <w:tcPr>
            <w:tcW w:w="3180" w:type="dxa"/>
            <w:vAlign w:val="bottom"/>
            <w:tcBorders>
              <w:bottom w:val="single" w:sz="8" w:color="CCEEFF"/>
            </w:tcBorders>
            <w:gridSpan w:val="9"/>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Unit Subscription Agreement, dated November 7, 2019, between the Company and Cantor Fitzgerald &amp; Co. (1)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Certification of the Chief Executive Officer required by Rule 13a-14(a) or Rule 15d-14(a).*</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Borders>
              <w:top w:val="single" w:sz="8" w:color="CCEEFF"/>
            </w:tcBorders>
          </w:tcPr>
          <w:p>
            <w:pPr>
              <w:spacing w:after="0"/>
              <w:rPr>
                <w:sz w:val="15"/>
                <w:szCs w:val="15"/>
                <w:color w:val="auto"/>
              </w:rPr>
            </w:pPr>
          </w:p>
        </w:tc>
        <w:tc>
          <w:tcPr>
            <w:tcW w:w="6600" w:type="dxa"/>
            <w:vAlign w:val="bottom"/>
            <w:tcBorders>
              <w:top w:val="single" w:sz="8" w:color="0000EE"/>
            </w:tcBorders>
            <w:gridSpan w:val="7"/>
          </w:tcPr>
          <w:p>
            <w:pPr>
              <w:spacing w:after="0" w:line="17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Certification of the Chief Financial Officer required by Rule 13a-14(a) or Rule 15d-14(a).*</w:t>
              </w:r>
            </w:hyperlink>
          </w:p>
        </w:tc>
        <w:tc>
          <w:tcPr>
            <w:tcW w:w="3500" w:type="dxa"/>
            <w:vAlign w:val="bottom"/>
            <w:tcBorders>
              <w:top w:val="single" w:sz="8" w:color="CCEEFF"/>
            </w:tcBorders>
            <w:gridSpan w:val="10"/>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5"/>
                <w:szCs w:val="15"/>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Certification of the Chief Executive Officer required by Rule 13a-14(b) or Rule 15d-14(b) and 18 U.S.C. 1350.**</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Certification of the Chief Executive Officer required by Rule 13a-14(b) or Rule 15d-14(b) and 18 U.S.C. 1350.**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7"/>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XBRL Taxonomy Calculation Linkbase*</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7"/>
          </w:tcPr>
          <w:p>
            <w:pPr>
              <w:spacing w:after="0"/>
              <w:rPr>
                <w:sz w:val="20"/>
                <w:szCs w:val="20"/>
                <w:color w:val="auto"/>
              </w:rPr>
            </w:pPr>
            <w:r>
              <w:rPr>
                <w:rFonts w:ascii="Arial" w:cs="Arial" w:eastAsia="Arial" w:hAnsi="Arial"/>
                <w:sz w:val="18"/>
                <w:szCs w:val="18"/>
                <w:color w:val="auto"/>
              </w:rPr>
              <w:t>XBRL Taxonomy Label Linkbase*</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XBRL Definition Linkbase Document*</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7"/>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18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with the Commission on November 13, 2019, 2019.</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Company’s Form S-1, filed with the Commission on September 27, 2019.</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9"/>
              </w:rPr>
              <w:t>STABLE ROAD ACQUISITION CORP.</w:t>
            </w:r>
          </w:p>
        </w:tc>
        <w:tc>
          <w:tcPr>
            <w:tcW w:w="252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rPr>
              <w:t>INDEX TO FINANCIAL STATEMENTS</w:t>
            </w:r>
          </w:p>
        </w:tc>
        <w:tc>
          <w:tcPr>
            <w:tcW w:w="252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196"/>
        </w:trPr>
        <w:tc>
          <w:tcPr>
            <w:tcW w:w="8720" w:type="dxa"/>
            <w:vAlign w:val="bottom"/>
            <w:gridSpan w:val="8"/>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Report of Independent Registered Public Accounting Firm</w:t>
              </w:r>
            </w:hyperlink>
          </w:p>
        </w:tc>
        <w:tc>
          <w:tcPr>
            <w:tcW w:w="252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96"/>
              </w:rPr>
              <w:t>F-2</w:t>
            </w:r>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45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Balance Sheet</w:t>
              </w:r>
            </w:hyperlink>
          </w:p>
        </w:tc>
        <w:tc>
          <w:tcPr>
            <w:tcW w:w="7500" w:type="dxa"/>
            <w:vAlign w:val="bottom"/>
            <w:tcBorders>
              <w:bottom w:val="single" w:sz="8" w:color="CCEEFF"/>
            </w:tcBorders>
            <w:gridSpan w:val="6"/>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96"/>
              </w:rPr>
              <w:t>F-3</w:t>
            </w:r>
          </w:p>
        </w:tc>
      </w:tr>
      <w:tr>
        <w:trPr>
          <w:trHeight w:val="175"/>
        </w:trPr>
        <w:tc>
          <w:tcPr>
            <w:tcW w:w="180" w:type="dxa"/>
            <w:vAlign w:val="bottom"/>
          </w:tcPr>
          <w:p>
            <w:pPr>
              <w:spacing w:after="0"/>
              <w:rPr>
                <w:sz w:val="15"/>
                <w:szCs w:val="15"/>
                <w:color w:val="auto"/>
              </w:rPr>
            </w:pPr>
          </w:p>
        </w:tc>
        <w:tc>
          <w:tcPr>
            <w:tcW w:w="8540" w:type="dxa"/>
            <w:vAlign w:val="bottom"/>
            <w:gridSpan w:val="7"/>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Statement of Operations</w:t>
              </w:r>
            </w:hyperlink>
          </w:p>
        </w:tc>
        <w:tc>
          <w:tcPr>
            <w:tcW w:w="2520" w:type="dxa"/>
            <w:vAlign w:val="bottom"/>
          </w:tcPr>
          <w:p>
            <w:pPr>
              <w:jc w:val="center"/>
              <w:ind w:left="1170"/>
              <w:spacing w:after="0" w:line="176" w:lineRule="exact"/>
              <w:rPr>
                <w:sz w:val="20"/>
                <w:szCs w:val="20"/>
                <w:color w:val="auto"/>
              </w:rPr>
            </w:pPr>
            <w:r>
              <w:rPr>
                <w:rFonts w:ascii="Arial" w:cs="Arial" w:eastAsia="Arial" w:hAnsi="Arial"/>
                <w:sz w:val="18"/>
                <w:szCs w:val="18"/>
                <w:color w:val="auto"/>
                <w:w w:val="96"/>
              </w:rPr>
              <w:t>F-4</w:t>
            </w:r>
          </w:p>
        </w:tc>
      </w:tr>
      <w:tr>
        <w:trPr>
          <w:trHeight w:val="21"/>
        </w:trPr>
        <w:tc>
          <w:tcPr>
            <w:tcW w:w="18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8540" w:type="dxa"/>
            <w:vAlign w:val="bottom"/>
            <w:gridSpan w:val="7"/>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Statement of Changes in Stockholders’ Equity</w:t>
              </w:r>
            </w:hyperlink>
          </w:p>
        </w:tc>
        <w:tc>
          <w:tcPr>
            <w:tcW w:w="252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96"/>
              </w:rPr>
              <w:t>F-5</w:t>
            </w:r>
          </w:p>
        </w:tc>
      </w:tr>
      <w:tr>
        <w:trPr>
          <w:trHeight w:val="176"/>
        </w:trPr>
        <w:tc>
          <w:tcPr>
            <w:tcW w:w="180" w:type="dxa"/>
            <w:vAlign w:val="bottom"/>
            <w:tcBorders>
              <w:top w:val="single" w:sz="8" w:color="CCEEFF"/>
            </w:tcBorders>
          </w:tcPr>
          <w:p>
            <w:pPr>
              <w:spacing w:after="0"/>
              <w:rPr>
                <w:sz w:val="15"/>
                <w:szCs w:val="15"/>
                <w:color w:val="auto"/>
              </w:rPr>
            </w:pPr>
          </w:p>
        </w:tc>
        <w:tc>
          <w:tcPr>
            <w:tcW w:w="33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Statement of Cash Flows</w:t>
              </w:r>
            </w:hyperlink>
          </w:p>
        </w:tc>
        <w:tc>
          <w:tcPr>
            <w:tcW w:w="5200" w:type="dxa"/>
            <w:vAlign w:val="bottom"/>
            <w:tcBorders>
              <w:top w:val="single" w:sz="8" w:color="CCEEFF"/>
            </w:tcBorders>
            <w:gridSpan w:val="2"/>
          </w:tcPr>
          <w:p>
            <w:pPr>
              <w:spacing w:after="0"/>
              <w:rPr>
                <w:sz w:val="15"/>
                <w:szCs w:val="15"/>
                <w:color w:val="auto"/>
              </w:rPr>
            </w:pPr>
          </w:p>
        </w:tc>
        <w:tc>
          <w:tcPr>
            <w:tcW w:w="2520" w:type="dxa"/>
            <w:vAlign w:val="bottom"/>
            <w:tcBorders>
              <w:top w:val="single" w:sz="8" w:color="CCEEFF"/>
            </w:tcBorders>
          </w:tcPr>
          <w:p>
            <w:pPr>
              <w:jc w:val="center"/>
              <w:ind w:left="1170"/>
              <w:spacing w:after="0" w:line="176" w:lineRule="exact"/>
              <w:rPr>
                <w:sz w:val="20"/>
                <w:szCs w:val="20"/>
                <w:color w:val="auto"/>
              </w:rPr>
            </w:pPr>
            <w:r>
              <w:rPr>
                <w:rFonts w:ascii="Arial" w:cs="Arial" w:eastAsia="Arial" w:hAnsi="Arial"/>
                <w:sz w:val="18"/>
                <w:szCs w:val="18"/>
                <w:color w:val="auto"/>
                <w:w w:val="96"/>
              </w:rPr>
              <w:t>F-6</w:t>
            </w:r>
          </w:p>
        </w:tc>
      </w:tr>
      <w:tr>
        <w:trPr>
          <w:trHeight w:val="20"/>
        </w:trPr>
        <w:tc>
          <w:tcPr>
            <w:tcW w:w="18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8540" w:type="dxa"/>
            <w:vAlign w:val="bottom"/>
            <w:gridSpan w:val="7"/>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Notes to Financial Statements</w:t>
              </w:r>
            </w:hyperlink>
          </w:p>
        </w:tc>
        <w:tc>
          <w:tcPr>
            <w:tcW w:w="252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92"/>
              </w:rPr>
              <w:t>F-7 to F-17</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Stable Road Acquisition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have audited the accompanying balance sheet of Stable Road Acquisition Corp. (the “Company”) as of December 31, 2019, and the related statements of operations, changes in stockholders’ equity and cash flows, for the period from May 28,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May 28, 2019 (inception) through December 31, 2019,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STABLE ROAD ACQUISITION CORP.</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6"/>
              </w:rPr>
              <w:t>DECEMBER 31, 2019</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1,093,184</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268,616</w:t>
            </w:r>
          </w:p>
        </w:tc>
        <w:tc>
          <w:tcPr>
            <w:tcW w:w="80" w:type="dxa"/>
            <w:vAlign w:val="bottom"/>
          </w:tcPr>
          <w:p>
            <w:pPr>
              <w:spacing w:after="0"/>
              <w:rPr>
                <w:sz w:val="20"/>
                <w:szCs w:val="20"/>
                <w:color w:val="auto"/>
              </w:rPr>
            </w:pPr>
          </w:p>
        </w:tc>
      </w:tr>
      <w:tr>
        <w:trPr>
          <w:trHeight w:val="216"/>
        </w:trPr>
        <w:tc>
          <w:tcPr>
            <w:tcW w:w="10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1,361,800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172,846,011</w:t>
            </w:r>
          </w:p>
        </w:tc>
        <w:tc>
          <w:tcPr>
            <w:tcW w:w="80" w:type="dxa"/>
            <w:vAlign w:val="bottom"/>
            <w:shd w:val="clear" w:color="auto" w:fill="CCEEFF"/>
          </w:tcPr>
          <w:p>
            <w:pPr>
              <w:spacing w:after="0"/>
              <w:rPr>
                <w:sz w:val="21"/>
                <w:szCs w:val="21"/>
                <w:color w:val="auto"/>
              </w:rPr>
            </w:pPr>
          </w:p>
        </w:tc>
      </w:tr>
      <w:tr>
        <w:trPr>
          <w:trHeight w:val="257"/>
        </w:trPr>
        <w:tc>
          <w:tcPr>
            <w:tcW w:w="100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174,207,811</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10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147,742</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47,567</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195,309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6,900,000</w:t>
            </w:r>
          </w:p>
        </w:tc>
        <w:tc>
          <w:tcPr>
            <w:tcW w:w="80" w:type="dxa"/>
            <w:vAlign w:val="bottom"/>
          </w:tcPr>
          <w:p>
            <w:pPr>
              <w:spacing w:after="0"/>
              <w:rPr>
                <w:sz w:val="20"/>
                <w:szCs w:val="20"/>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7,095,309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 16,211,250 shares at $10.00 per share redemption value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162,112,500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0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A common stock, $0.0001 par value; 100,000,000 shares authorized; 1,583,750 issued and outstanding (excluding 16,211,250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subject to possible redemption)</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0"/>
                <w:szCs w:val="20"/>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Class B common stock, $0.0001 par value; 10,000,000 shares authorized; 4,312,500 shares issued and outstanding</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4,937,054</w:t>
            </w:r>
          </w:p>
        </w:tc>
        <w:tc>
          <w:tcPr>
            <w:tcW w:w="8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62,359</w:t>
            </w:r>
          </w:p>
        </w:tc>
        <w:tc>
          <w:tcPr>
            <w:tcW w:w="80" w:type="dxa"/>
            <w:vAlign w:val="bottom"/>
          </w:tcPr>
          <w:p>
            <w:pPr>
              <w:spacing w:after="0"/>
              <w:rPr>
                <w:sz w:val="20"/>
                <w:szCs w:val="20"/>
                <w:color w:val="auto"/>
              </w:rPr>
            </w:pP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174,207,811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28, 2019 (INCEPTION) THROUGH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236,085</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(236,085)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346,011</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109,926</w:t>
            </w: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17,250,000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income per share, Class A</w:t>
            </w: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Pr>
          <w:p>
            <w:pPr>
              <w:spacing w:after="0"/>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200" w:type="dxa"/>
            <w:vAlign w:val="bottom"/>
          </w:tcPr>
          <w:p>
            <w:pPr>
              <w:spacing w:after="0"/>
              <w:rPr>
                <w:sz w:val="24"/>
                <w:szCs w:val="24"/>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4,456,075</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Class A and Class B</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28, 2019 (INCEPTION) THROUGH DECEMBER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36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0"/>
              </w:rPr>
              <w:t>Class A</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7"/>
              </w:rPr>
              <w:t>Class 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r>
      <w:tr>
        <w:trPr>
          <w:trHeight w:val="241"/>
        </w:trPr>
        <w:tc>
          <w:tcPr>
            <w:tcW w:w="3220" w:type="dxa"/>
            <w:vAlign w:val="bottom"/>
          </w:tcPr>
          <w:p>
            <w:pPr>
              <w:spacing w:after="0"/>
              <w:rPr>
                <w:sz w:val="20"/>
                <w:szCs w:val="20"/>
                <w:color w:val="auto"/>
              </w:rPr>
            </w:pPr>
          </w:p>
        </w:tc>
        <w:tc>
          <w:tcPr>
            <w:tcW w:w="226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Common Stock</w:t>
            </w:r>
          </w:p>
        </w:tc>
        <w:tc>
          <w:tcPr>
            <w:tcW w:w="21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Paid in</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Retained</w:t>
            </w:r>
          </w:p>
        </w:tc>
        <w:tc>
          <w:tcPr>
            <w:tcW w:w="100" w:type="dxa"/>
            <w:vAlign w:val="bottom"/>
          </w:tcPr>
          <w:p>
            <w:pPr>
              <w:spacing w:after="0"/>
              <w:rPr>
                <w:sz w:val="20"/>
                <w:szCs w:val="20"/>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Stockholders’</w:t>
            </w:r>
          </w:p>
        </w:tc>
      </w:tr>
      <w:tr>
        <w:trPr>
          <w:trHeight w:val="236"/>
        </w:trPr>
        <w:tc>
          <w:tcPr>
            <w:tcW w:w="3220" w:type="dxa"/>
            <w:vAlign w:val="bottom"/>
          </w:tcPr>
          <w:p>
            <w:pPr>
              <w:spacing w:after="0"/>
              <w:rPr>
                <w:sz w:val="20"/>
                <w:szCs w:val="20"/>
                <w:color w:val="auto"/>
              </w:rPr>
            </w:pPr>
          </w:p>
        </w:tc>
        <w:tc>
          <w:tcPr>
            <w:tcW w:w="118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120" w:type="dxa"/>
            <w:vAlign w:val="bottom"/>
            <w:tcBorders>
              <w:top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Earnings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28, 2019 (inception)</w:t>
            </w:r>
          </w:p>
        </w:tc>
        <w:tc>
          <w:tcPr>
            <w:tcW w:w="10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Issuance of Class B common stock to</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Sponsor</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4,312,500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Sale of 17,250,000 Units, net of</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underwriting discount and offering costs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161,573,418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161,575,143</w:t>
            </w:r>
          </w:p>
        </w:tc>
      </w:tr>
      <w:tr>
        <w:trPr>
          <w:trHeight w:val="216"/>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545,000 Placement Units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5,449,946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5,450,000</w:t>
            </w:r>
          </w:p>
        </w:tc>
      </w:tr>
      <w:tr>
        <w:trPr>
          <w:trHeight w:val="216"/>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Common stock subject to possible</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(16,211,250)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(162,110,879)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(162,112,500)</w:t>
            </w:r>
          </w:p>
        </w:tc>
      </w:tr>
      <w:tr>
        <w:trPr>
          <w:trHeight w:val="216"/>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62,359</w:t>
            </w:r>
          </w:p>
        </w:tc>
      </w:tr>
      <w:tr>
        <w:trPr>
          <w:trHeight w:val="216"/>
        </w:trPr>
        <w:tc>
          <w:tcPr>
            <w:tcW w:w="3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1,583,750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4,312,500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4,937,054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62,359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28, 2019 (INCEPTION) THROUGH DECEMBER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(346,011)</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(268,616)</w:t>
            </w:r>
          </w:p>
        </w:tc>
        <w:tc>
          <w:tcPr>
            <w:tcW w:w="0" w:type="dxa"/>
            <w:vAlign w:val="bottom"/>
          </w:tcPr>
          <w:p>
            <w:pPr>
              <w:spacing w:after="0"/>
              <w:rPr>
                <w:sz w:val="1"/>
                <w:szCs w:val="1"/>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147,742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(356,959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(172,500,000)</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2"/>
              </w:rPr>
              <w:t>(172,500,000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169,050,000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Proceeds from sale of Placement Units</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(222,725)</w:t>
            </w: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(327,132)</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173,950,143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1,093,184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1,093,184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162,038,390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Change in value of common stock subject to possible redemption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Payment of offering costs through promissory note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222,725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Offering costs paid directly by Sponsor from proceeds from issuance of Class B common stock</w:t>
            </w: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ind w:right="240" w:firstLine="441"/>
        <w:spacing w:after="0" w:line="263" w:lineRule="auto"/>
        <w:rPr>
          <w:sz w:val="20"/>
          <w:szCs w:val="20"/>
          <w:color w:val="auto"/>
        </w:rPr>
      </w:pPr>
      <w:r>
        <w:rPr>
          <w:rFonts w:ascii="Arial" w:cs="Arial" w:eastAsia="Arial" w:hAnsi="Arial"/>
          <w:sz w:val="18"/>
          <w:szCs w:val="18"/>
          <w:color w:val="auto"/>
        </w:rPr>
        <w:t>Stable Road Acquisition Corp. (the “Company”) was incorporated in Delaware on May 28, 2019.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ind w:right="100" w:firstLine="441"/>
        <w:spacing w:after="0" w:line="263" w:lineRule="auto"/>
        <w:rPr>
          <w:sz w:val="20"/>
          <w:szCs w:val="20"/>
          <w:color w:val="auto"/>
        </w:rPr>
      </w:pPr>
      <w:r>
        <w:rPr>
          <w:rFonts w:ascii="Arial" w:cs="Arial" w:eastAsia="Arial" w:hAnsi="Arial"/>
          <w:sz w:val="18"/>
          <w:szCs w:val="18"/>
          <w:color w:val="auto"/>
        </w:rPr>
        <w:t>Although the Company is not limited to a particular industry or sector for purposes of consummating a Business Combination, the Company intends is focusing its search on companies in the cannabis industry. The Company is an early stage and emerging growth company and, as such, the Company is subject to all of the risks associated with early stage and emerging growth companies.</w:t>
      </w:r>
    </w:p>
    <w:p>
      <w:pPr>
        <w:spacing w:after="0" w:line="184"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As of December 31, 2019, the Company had not commenced any operations. All activity for the period from May 28, 2019 (inception) through December 31, 2019 relates to the Company’s formation, the initial public offering (“Initial Public Offering”), which is described below, and identifying a target company for a Business Combination.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right="300" w:firstLine="441"/>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November 7, 2019. On November 13, 2019, the Company consummated the Initial Public Offering of 17,250,000 units (the “Units” and, with respect to the shares common stock included in the Units sold, the “Public Shares”), which includes the full exercise by the underwriter of the over-allotment option to purchase an additional 2,250,000 Units, at $10.00 per Unit, generating gross proceeds of $172,500,000, which is described in Note 3.</w:t>
      </w:r>
    </w:p>
    <w:p>
      <w:pPr>
        <w:spacing w:after="0" w:line="187" w:lineRule="exact"/>
        <w:rPr>
          <w:sz w:val="20"/>
          <w:szCs w:val="20"/>
          <w:color w:val="auto"/>
        </w:rPr>
      </w:pPr>
    </w:p>
    <w:p>
      <w:pPr>
        <w:ind w:right="280" w:firstLine="441"/>
        <w:spacing w:after="0" w:line="31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545,000 units (the “Placement Units”) at a price of $10.00 per Placement Unit in a private placement to SRC-NI Holdings, LLC, a Delaware limited liability company (the “Sponsor”), and Cantor Fitzgerald &amp; Co. (“Cantor”), the underwriter of the Initial Public Offering, generating gross proceeds of $5,450,000, which is described in Note 4.</w:t>
      </w:r>
    </w:p>
    <w:p>
      <w:pPr>
        <w:spacing w:after="0" w:line="149"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Transaction costs amounted to $10,924,857, consisting of $3,450,000 of underwriting fees, $6,900,000 of deferred underwriting fees and $574,857 of other offering costs. In addition, as of December 31, 2019, cash of $1,093,184 was held outside of the Trust Account (as defined below) and is available for working capital purposes.</w:t>
      </w:r>
    </w:p>
    <w:p>
      <w:pPr>
        <w:spacing w:after="0" w:line="184"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Following the closing of the Initial Public Offering on November 13, 2019, an amount of $172,500,000 ($10.00 per Unit) from the net proceeds of the sale of the Units in the Initial Public Offering and the sale of the Placement Units was placed in a trust account (“Trust Account”) and invested only in U.S. government securities, within the meaning set forth in Section 2(a)(16) of the Investment Company Act, with a maturity of 180 days or less or in any open-ended investment company that holds itself out as a money market fund selected by the Company meeting the conditions of Rule 2a-7 of the Investment Company Act of 1940, as amended (the “Investment Company Act”), as determined by the Company, until the earlier of: (i) the completion of a Business Combination and (ii) the distribution of the Trust Account, as described below.</w:t>
      </w:r>
    </w:p>
    <w:p>
      <w:pPr>
        <w:spacing w:after="0" w:line="178"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(excluding the deferred underwriting commissions and taxes payable on interest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ind w:right="20" w:firstLine="441"/>
        <w:spacing w:after="0" w:line="253" w:lineRule="auto"/>
        <w:rPr>
          <w:sz w:val="20"/>
          <w:szCs w:val="20"/>
          <w:color w:val="auto"/>
        </w:rPr>
      </w:pPr>
      <w:r>
        <w:rPr>
          <w:rFonts w:ascii="Arial" w:cs="Arial" w:eastAsia="Arial" w:hAnsi="Arial"/>
          <w:sz w:val="18"/>
          <w:szCs w:val="18"/>
          <w:color w:val="auto"/>
        </w:rPr>
        <w:t>The Company will provide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tax obligations, less up to $100,000 of interest to pay dissolution expenses). The per-share amount to be distributed to Public Stockholders who redeem their Public Shares will not be reduced by the deferred underwriting commissions the Company will pay to the underwriter (as discussed in Note 6). There will be no redemption rights upon the completion of a Business Combination with respect to the Company’s warrants.</w:t>
      </w:r>
    </w:p>
    <w:p>
      <w:pPr>
        <w:spacing w:after="0" w:line="196"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has agreed to vote its Founder Shares (as defined in Note 5), Placement Shares (as defined in Note 4)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Sponsor has agreed (a) to waive its redemption rights with respect to its Founder Shares, Placement Shares and Public Shares held by it in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connection with the completion of a Business Combination and (b) not to propose an amendment to the Amended and Restated Certificate of Incorporation</w:t>
      </w:r>
    </w:p>
    <w:p>
      <w:pPr>
        <w:spacing w:after="0" w:line="32" w:lineRule="exact"/>
        <w:rPr>
          <w:sz w:val="20"/>
          <w:szCs w:val="20"/>
          <w:color w:val="auto"/>
        </w:rPr>
      </w:pPr>
    </w:p>
    <w:p>
      <w:pPr>
        <w:ind w:right="100" w:firstLine="8"/>
        <w:spacing w:after="0" w:line="277" w:lineRule="auto"/>
        <w:tabs>
          <w:tab w:leader="none" w:pos="2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that would affect the substance or timing of the Company’s obligation to redeem 100% of its Public Shares if the Company does not complete a Business Combination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73"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The Company will have until May 13, 2021 to complete a Business Combination (the “Combination Period”). However, if the Company is unable to complete a Business Combination within the Combination Period, it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73" w:name="page74"/>
    <w:bookmarkEnd w:id="73"/>
    <w:p>
      <w:pPr>
        <w:ind w:right="80" w:firstLine="441"/>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and (along with Cantor) Placement Shares if the Company fails to complete a Business Combination within the Combination Period. However, if the Sponsor acquires Public Shares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w:t>
      </w:r>
    </w:p>
    <w:p>
      <w:pPr>
        <w:spacing w:after="0" w:line="2" w:lineRule="exact"/>
        <w:rPr>
          <w:sz w:val="20"/>
          <w:szCs w:val="20"/>
          <w:color w:val="auto"/>
        </w:rPr>
      </w:pPr>
    </w:p>
    <w:p>
      <w:pPr>
        <w:ind w:firstLine="8"/>
        <w:spacing w:after="0" w:line="268" w:lineRule="auto"/>
        <w:tabs>
          <w:tab w:leader="none" w:pos="215" w:val="left"/>
        </w:tabs>
        <w:numPr>
          <w:ilvl w:val="0"/>
          <w:numId w:val="41"/>
        </w:numPr>
        <w:rPr>
          <w:rFonts w:ascii="Arial" w:cs="Arial" w:eastAsia="Arial" w:hAnsi="Arial"/>
          <w:sz w:val="17"/>
          <w:szCs w:val="17"/>
          <w:color w:val="auto"/>
        </w:rPr>
      </w:pPr>
      <w:r>
        <w:rPr>
          <w:rFonts w:ascii="Arial" w:cs="Arial" w:eastAsia="Arial" w:hAnsi="Arial"/>
          <w:sz w:val="17"/>
          <w:szCs w:val="17"/>
          <w:color w:val="auto"/>
        </w:rPr>
        <w:t>$10.00 per Public Share and (ii) the actual amount per Public Share held in the Trust Account as of the date of the liquidation of the Trust Account, if less than $10.00 per share due to reductions in the value of the trust assets less taxes payable. This liability will not apply with respect to any claims by a third party or prospective target business who executed a waiver of any and all rights to the monies held in the Trust Account (whether or not such waiver is enforceable) or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 The Company’s independent registered public accounting firm and the underwriter of the Initial Public Offering will not execute agreements with the Company waiving such claims to the monies held in the Trust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220" w:firstLine="441"/>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60" w:firstLine="441"/>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ind w:right="200" w:firstLine="441"/>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ind w:right="120" w:firstLine="441"/>
        <w:spacing w:after="0" w:line="286"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At all other times, common stock is classified as stockholders’ equity. The Company’s Class A common stock held by Public Stockholders features certain redemption rights that are considered to be outside of the Company’s control and subject to occurrence of uncertain future events. Accordingly, at December 31, 2019, 16,211,250 shares of Class A common stock subject to possible redemption is presented as temporary equity, outside of the stockholders’ equity section of the Company’s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ind w:right="180" w:firstLine="441"/>
        <w:spacing w:after="0" w:line="342" w:lineRule="auto"/>
        <w:rPr>
          <w:sz w:val="20"/>
          <w:szCs w:val="20"/>
          <w:color w:val="auto"/>
        </w:rPr>
      </w:pPr>
      <w:r>
        <w:rPr>
          <w:rFonts w:ascii="Arial" w:cs="Arial" w:eastAsia="Arial" w:hAnsi="Arial"/>
          <w:sz w:val="16"/>
          <w:szCs w:val="16"/>
          <w:color w:val="auto"/>
        </w:rPr>
        <w:t>Offering costs consist of legal, accounting, underwriting fees and other costs incurred through the balance sheet date that are directly related to the Initial Public Offering. Offering costs amounting to $10,924,857 were charged to stockholders’ equity upon the completion of the Initial Public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Topic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Net income (loss) per common share is computed by dividing net income (loss) by the weighted average number of common shares of common stock outstanding for the period. The Company has not considered the effect of warrants sold in the Initial Public Offering and as part of the Placement Units to purchase 8,897,500 shares of Class A common stock in the calculation of diluted income (loss) per share, since the exercise of the warrants are contingent upon the occurrence of future events and the inclusion of such warrants would be anti-dilutive.</w:t>
      </w:r>
    </w:p>
    <w:p>
      <w:pPr>
        <w:spacing w:after="0" w:line="171"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The Company’s statement of operations includes a presentation of income (loss) per share for common shares subject to redemption in a manner similar to the two-class method of income per share. Net income per common share, basic and diluted for Class A redeemable common stock held by Public Stockholders is calculated by dividing the interest income earned on the Trust Account of $346,011 net of applicable franchise and income taxes of approximately $167,000 for the period from May 28, 2019 (inception) through December 31, 2019, by the weighted average number of Class A redeemable common stock held by Public Stockholders since issuance. Net loss per common share, basic and diluted for Class A and Class B non-redeemable common stock is calculated by dividing the net income (loss) of $62,359, less income attributable to Class A redeemable common stock of $178,942, by the weighted average number of Class A and Class B non-redeemable common stock outstanding for the period. Class A and Class B non-redeemable common stock includes the Founder Shares and the shares included in the Placement Units as these shares do not have any redemption features and do not participate in the income earned on the Trust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120" w:firstLine="441"/>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At December 31, 2019,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Measurements and Disclosures,” approximates the carrying amounts represented in the accompanying balance sheets, primarily due to their short-term nature.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Pursuant to the Initial Public Offering, the Company sold 17,250,000 Units, which includes the full exercise by the underwriter of its option to purchase an additional 2,250,000 Units at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and Cantor purchased an aggregate of 545,000 Placement Units at a price of $10.00 per Placement Unit, for an aggregate purchase price of $5,450,000. Each Placement Unit consists of one share of Class A common stock (“Placement Share”) and one-half of one redeemable warrant (“Placement Warrant”). Each whole Placement Warrant is exercisable to purchase one share of Class A common stock at a price of $11.50 per share. The proceeds from the Placement Units were added to the proceeds from the Initial Public Offering held in the Trust Account. If the Company does not complete a Business Combination within the Combination Period, the proceeds from the sale of the Placement Units will be used to fund the redemption of the Public Shares (subject to the requirements of applicable law), and the Placement Units and all underlying securities will be worthless.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300" w:firstLine="441"/>
        <w:spacing w:after="0" w:line="286" w:lineRule="auto"/>
        <w:rPr>
          <w:sz w:val="20"/>
          <w:szCs w:val="20"/>
          <w:color w:val="auto"/>
        </w:rPr>
      </w:pPr>
      <w:r>
        <w:rPr>
          <w:rFonts w:ascii="Arial" w:cs="Arial" w:eastAsia="Arial" w:hAnsi="Arial"/>
          <w:sz w:val="17"/>
          <w:szCs w:val="17"/>
          <w:color w:val="auto"/>
        </w:rPr>
        <w:t>In June 2019, the Sponsor purchased 4,312,500 shares (the “Founder Shares”) of the Company’s Class B common stock for an aggregate price of $25,000. The Founder Shares will automatically convert into shares of Class A common stock at the time of a Business Combination, or earlier at the option of the holders, on a one-for-one basis, subject to certain adjustments, as described in Note 7.</w:t>
      </w:r>
    </w:p>
    <w:p>
      <w:pPr>
        <w:spacing w:after="0" w:line="16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Founder Shares included up to 562,500 shares subject to forfeiture to the extent that the underwriter’s over-allotment option was not exercised in full or in part, so that the Sponsor would own, on an as-converted basis, 20% of the Company’s issued and outstanding shares after the Initial Public Offering (assuming the Sponsor did not purchase any Public Shares in the Initial Public Offering and excluding Placement Shares included in the Placement Units). As a result of the underwriter’s election to fully exercise its over-allotment option, 562,500 Founder Shares are no longer subject to forfeiture.</w:t>
      </w:r>
    </w:p>
    <w:p>
      <w:pPr>
        <w:spacing w:after="0" w:line="188"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or (B) subsequent to a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On June 28, 2019, the Sponsor agreed to loan the Company an aggregate of up to $300,000 to cover expenses related to the Initial Public Offering pursuant to a promissory note (the “Promissory Note”). The Promissory Note was non-interest bearing and payable on the earlier of December 31, 2019 or the completion of the Initial Public Offering. Borrowings outstanding under the Promissory Note of $222,725 were repaid upon the consummation of the Initial Public Offering on November 13, 2019.</w:t>
      </w:r>
    </w:p>
    <w:p>
      <w:pPr>
        <w:spacing w:after="0" w:line="187"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Placement Units. There were no outstanding borrowings under the Working Capital Loans as of December 31,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ind w:right="400" w:firstLine="441"/>
        <w:spacing w:after="0" w:line="279" w:lineRule="auto"/>
        <w:rPr>
          <w:sz w:val="20"/>
          <w:szCs w:val="20"/>
          <w:color w:val="auto"/>
        </w:rPr>
      </w:pPr>
      <w:r>
        <w:rPr>
          <w:rFonts w:ascii="Arial" w:cs="Arial" w:eastAsia="Arial" w:hAnsi="Arial"/>
          <w:sz w:val="17"/>
          <w:szCs w:val="17"/>
          <w:color w:val="auto"/>
        </w:rPr>
        <w:t>The Company entered into an agreement whereby, commencing on November 8, 2019 through the earlier of the Company’s consummation of a Business Combination or its liquidation, the Company will pay an affiliate of the Sponsor a total of $10,000 per month for office space, utilities and administrative support. For the period from May 28, 2019 (inception) through December 31, 2019, the Company incurred $20,000 in fees for these services, which amount is included in accrued expenses in the accompanying balance sheet.</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Pursuant to a registration rights agreement entered into on November 7, 2019, the holders of the Founder Shares,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are entitled to registration rights, requiring the Company to register such securities for resale (in the case of the Founder Shares, only after conversion to Class A common stock).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Notwithstanding the foregoing, Cantor may not exercise its demand and “piggyback” registration rights after five (5) and seven (7) years after the effective date of the registration statement and may not exercise its demand rights on more than one occasion. The Company will bear the expenses incurred in connection with the filing of any such registration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The underwriter was paid a cash underwriting discount of $3,450,000, or $0.20 per Unit of the gross proceeds from the Units sold in the Initial Public Offering. In addition, the underwriter is entitled to a deferred fee of $0.40 per Unit of the gross proceeds from the Units sold in the Initial Public Offering, or $6,900,000 in the aggregate. The deferred fee will become payable to the underwriter from the amounts held in the Trust Account solely in the event that the Company completes a Business Combination, subject to the terms of the underwriting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2019, there were no shares of preferred stock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At December 31, 2019, there were 1,583,750 shares of Class A common stock issued or outstanding, excluding 16,211,250 shares of common stock subject to possible redemption.</w:t>
      </w:r>
    </w:p>
    <w:p>
      <w:pPr>
        <w:spacing w:after="0" w:line="184"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December 31, 2019, there were 4,312,500 shares of Class B common stock issued and outstanding.</w:t>
      </w:r>
    </w:p>
    <w:p>
      <w:pPr>
        <w:spacing w:after="0" w:line="184"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ind w:firstLine="441"/>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(not including the shares of Class A common stock underlying the Placement Units) plus all shares of Class A common stock and equity-linked securities issued or deemed issued in connection with a Business Combination (excluding any shares or equity-linked securities issued, or to be issued, to any seller in a Business Combination, any private placement-equivalent warrants issued, or to be issued, to any seller in a Business Combination, any private placement equivalent securities issued to the Sponsor or its affiliates upon conversion of loans made to the Company).</w:t>
      </w:r>
    </w:p>
    <w:p>
      <w:pPr>
        <w:spacing w:after="0" w:line="18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right="200" w:firstLine="441"/>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the Company will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w:t>
      </w:r>
    </w:p>
    <w:p>
      <w:pPr>
        <w:spacing w:after="0" w:line="1" w:lineRule="exact"/>
        <w:rPr>
          <w:sz w:val="20"/>
          <w:szCs w:val="20"/>
          <w:color w:val="auto"/>
        </w:rPr>
      </w:pPr>
    </w:p>
    <w:p>
      <w:pPr>
        <w:jc w:val="both"/>
        <w:ind w:right="40"/>
        <w:spacing w:after="0" w:line="231" w:lineRule="auto"/>
        <w:rPr>
          <w:sz w:val="20"/>
          <w:szCs w:val="20"/>
          <w:color w:val="auto"/>
        </w:rPr>
      </w:pPr>
      <w:r>
        <w:rPr>
          <w:rFonts w:ascii="Arial" w:cs="Arial" w:eastAsia="Arial" w:hAnsi="Arial"/>
          <w:sz w:val="17"/>
          <w:szCs w:val="17"/>
          <w:color w:val="auto"/>
        </w:rPr>
        <w:t>issuable 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204" w:lineRule="exact"/>
        <w:rPr>
          <w:sz w:val="20"/>
          <w:szCs w:val="20"/>
          <w:color w:val="auto"/>
        </w:rPr>
      </w:pPr>
    </w:p>
    <w:p>
      <w:pPr>
        <w:ind w:right="120" w:firstLine="441"/>
        <w:spacing w:after="0" w:line="275" w:lineRule="auto"/>
        <w:rPr>
          <w:sz w:val="20"/>
          <w:szCs w:val="20"/>
          <w:color w:val="auto"/>
        </w:rPr>
      </w:pPr>
      <w:r>
        <w:rPr>
          <w:rFonts w:ascii="Arial" w:cs="Arial" w:eastAsia="Arial" w:hAnsi="Arial"/>
          <w:sz w:val="17"/>
          <w:szCs w:val="17"/>
          <w:color w:val="auto"/>
        </w:rPr>
        <w:t>Notwithstanding the foregoing, if a registration statement covering the Class A common stock issuable upon exercise of the warrants is not effective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 w:lineRule="exact"/>
        <w:rPr>
          <w:rFonts w:ascii="Arial" w:cs="Arial" w:eastAsia="Arial" w:hAnsi="Arial"/>
          <w:sz w:val="18"/>
          <w:szCs w:val="18"/>
          <w:color w:val="auto"/>
        </w:rPr>
      </w:pPr>
    </w:p>
    <w:p>
      <w:pPr>
        <w:ind w:left="760" w:right="220" w:hanging="320"/>
        <w:spacing w:after="0" w:line="323"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for any 20 trading days within a 30-trading day period ending three business days before the Company sends the notice of redemption to the warrant holders.</w:t>
      </w:r>
    </w:p>
    <w:p>
      <w:pPr>
        <w:spacing w:after="0" w:line="138"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9" w:name="page80"/>
    <w:bookmarkEnd w:id="79"/>
    <w:p>
      <w:pPr>
        <w:ind w:right="20" w:firstLine="441"/>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8"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and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shares of Class A common stock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6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Placement Warrants are identical to the Public Warrants underlying the Units sold in the Initial Public Offering, except that the Placement Warrants and the Class A common stock issuable upon the exercise of the Placement Warrants will not be transferable, assignable or salable until 30 days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ectPr>
          <w:pgSz w:w="11900" w:h="16838" w:orient="portrait"/>
          <w:cols w:equalWidth="0" w:num="1">
            <w:col w:w="11200"/>
          </w:cols>
          <w:pgMar w:left="320" w:top="800" w:right="37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w:t>
      </w:r>
    </w:p>
    <w:p>
      <w:pPr>
        <w:spacing w:after="0" w:line="229" w:lineRule="exact"/>
        <w:rPr>
          <w:sz w:val="20"/>
          <w:szCs w:val="20"/>
          <w:color w:val="auto"/>
        </w:rPr>
      </w:pPr>
    </w:p>
    <w:p>
      <w:pPr>
        <w:jc w:val="right"/>
        <w:ind w:right="4980"/>
        <w:spacing w:after="0"/>
        <w:rPr>
          <w:sz w:val="20"/>
          <w:szCs w:val="20"/>
          <w:color w:val="auto"/>
        </w:rPr>
      </w:pPr>
      <w:r>
        <w:rPr>
          <w:rFonts w:ascii="Arial" w:cs="Arial" w:eastAsia="Arial" w:hAnsi="Arial"/>
          <w:sz w:val="17"/>
          <w:szCs w:val="17"/>
          <w:color w:val="auto"/>
        </w:rPr>
        <w:t>The Company’s net deferred tax assets are as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Organizational costs/Startup expenses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 net of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715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31" w:lineRule="exact"/>
        <w:rPr>
          <w:sz w:val="20"/>
          <w:szCs w:val="20"/>
          <w:color w:val="auto"/>
        </w:rPr>
      </w:pPr>
    </w:p>
    <w:p>
      <w:pPr>
        <w:ind w:left="620" w:hanging="615"/>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24,483</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24,483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(24,483)</w:t>
      </w:r>
    </w:p>
    <w:p>
      <w:pPr>
        <w:spacing w:after="0" w:line="62" w:lineRule="exact"/>
        <w:rPr>
          <w:sz w:val="20"/>
          <w:szCs w:val="20"/>
          <w:color w:val="auto"/>
        </w:rPr>
      </w:pPr>
    </w:p>
    <w:p>
      <w:pPr>
        <w:ind w:left="840" w:hanging="835"/>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7152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7152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180"/>
          </w:cols>
          <w:pgMar w:left="320" w:top="800" w:right="379" w:bottom="1440" w:gutter="0" w:footer="0" w:header="0"/>
          <w:type w:val="continuous"/>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type w:val="continuous"/>
        </w:sectPr>
      </w:pPr>
    </w:p>
    <w:bookmarkStart w:id="80" w:name="page81"/>
    <w:bookmarkEnd w:id="80"/>
    <w:p>
      <w:pPr>
        <w:jc w:val="right"/>
        <w:ind w:right="5145"/>
        <w:spacing w:after="0"/>
        <w:rPr>
          <w:sz w:val="20"/>
          <w:szCs w:val="20"/>
          <w:color w:val="auto"/>
        </w:rPr>
      </w:pPr>
      <w:r>
        <w:rPr>
          <w:rFonts w:ascii="Arial" w:cs="Arial" w:eastAsia="Arial" w:hAnsi="Arial"/>
          <w:sz w:val="18"/>
          <w:szCs w:val="18"/>
          <w:color w:val="auto"/>
        </w:rPr>
        <w:t>The income tax provision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valuation allowance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34"/>
        <w:spacing w:after="0"/>
        <w:rPr>
          <w:sz w:val="20"/>
          <w:szCs w:val="20"/>
          <w:color w:val="auto"/>
        </w:rPr>
      </w:pPr>
      <w:r>
        <w:rPr>
          <w:rFonts w:ascii="Arial" w:cs="Arial" w:eastAsia="Arial" w:hAnsi="Arial"/>
          <w:sz w:val="16"/>
          <w:szCs w:val="16"/>
          <w:b w:val="1"/>
          <w:bCs w:val="1"/>
          <w:color w:val="auto"/>
        </w:rPr>
        <w:t>For the period</w:t>
      </w:r>
    </w:p>
    <w:p>
      <w:pPr>
        <w:spacing w:after="0" w:line="50" w:lineRule="exact"/>
        <w:rPr>
          <w:sz w:val="20"/>
          <w:szCs w:val="20"/>
          <w:color w:val="auto"/>
        </w:rPr>
      </w:pPr>
    </w:p>
    <w:p>
      <w:pPr>
        <w:jc w:val="center"/>
        <w:ind w:right="-34"/>
        <w:spacing w:after="0"/>
        <w:rPr>
          <w:sz w:val="20"/>
          <w:szCs w:val="20"/>
          <w:color w:val="auto"/>
        </w:rPr>
      </w:pPr>
      <w:r>
        <w:rPr>
          <w:rFonts w:ascii="Arial" w:cs="Arial" w:eastAsia="Arial" w:hAnsi="Arial"/>
          <w:sz w:val="18"/>
          <w:szCs w:val="18"/>
          <w:b w:val="1"/>
          <w:bCs w:val="1"/>
          <w:color w:val="auto"/>
        </w:rPr>
        <w:t>from May 28,</w:t>
      </w:r>
    </w:p>
    <w:p>
      <w:pPr>
        <w:spacing w:after="0" w:line="9" w:lineRule="exact"/>
        <w:rPr>
          <w:sz w:val="20"/>
          <w:szCs w:val="20"/>
          <w:color w:val="auto"/>
        </w:rPr>
      </w:pPr>
    </w:p>
    <w:p>
      <w:pPr>
        <w:jc w:val="center"/>
        <w:ind w:right="-34"/>
        <w:spacing w:after="0"/>
        <w:rPr>
          <w:sz w:val="20"/>
          <w:szCs w:val="20"/>
          <w:color w:val="auto"/>
        </w:rPr>
      </w:pPr>
      <w:r>
        <w:rPr>
          <w:rFonts w:ascii="Arial" w:cs="Arial" w:eastAsia="Arial" w:hAnsi="Arial"/>
          <w:sz w:val="18"/>
          <w:szCs w:val="18"/>
          <w:b w:val="1"/>
          <w:bCs w:val="1"/>
          <w:color w:val="auto"/>
        </w:rPr>
        <w:t>2019</w:t>
      </w:r>
    </w:p>
    <w:p>
      <w:pPr>
        <w:spacing w:after="0" w:line="9" w:lineRule="exact"/>
        <w:rPr>
          <w:sz w:val="20"/>
          <w:szCs w:val="20"/>
          <w:color w:val="auto"/>
        </w:rPr>
      </w:pPr>
    </w:p>
    <w:p>
      <w:pPr>
        <w:jc w:val="center"/>
        <w:ind w:right="-34"/>
        <w:spacing w:after="0"/>
        <w:rPr>
          <w:sz w:val="20"/>
          <w:szCs w:val="20"/>
          <w:color w:val="auto"/>
        </w:rPr>
      </w:pPr>
      <w:r>
        <w:rPr>
          <w:rFonts w:ascii="Arial" w:cs="Arial" w:eastAsia="Arial" w:hAnsi="Arial"/>
          <w:sz w:val="18"/>
          <w:szCs w:val="18"/>
          <w:b w:val="1"/>
          <w:bCs w:val="1"/>
          <w:color w:val="auto"/>
        </w:rPr>
        <w:t>(inception)</w:t>
      </w:r>
    </w:p>
    <w:p>
      <w:pPr>
        <w:spacing w:after="0" w:line="9" w:lineRule="exact"/>
        <w:rPr>
          <w:sz w:val="20"/>
          <w:szCs w:val="20"/>
          <w:color w:val="auto"/>
        </w:rPr>
      </w:pPr>
    </w:p>
    <w:p>
      <w:pPr>
        <w:jc w:val="center"/>
        <w:ind w:right="-34"/>
        <w:spacing w:after="0"/>
        <w:rPr>
          <w:sz w:val="20"/>
          <w:szCs w:val="20"/>
          <w:color w:val="auto"/>
        </w:rPr>
      </w:pPr>
      <w:r>
        <w:rPr>
          <w:rFonts w:ascii="Arial" w:cs="Arial" w:eastAsia="Arial" w:hAnsi="Arial"/>
          <w:sz w:val="18"/>
          <w:szCs w:val="18"/>
          <w:b w:val="1"/>
          <w:bCs w:val="1"/>
          <w:color w:val="auto"/>
        </w:rPr>
        <w:t>through</w:t>
      </w:r>
    </w:p>
    <w:p>
      <w:pPr>
        <w:spacing w:after="0" w:line="9" w:lineRule="exact"/>
        <w:rPr>
          <w:sz w:val="20"/>
          <w:szCs w:val="20"/>
          <w:color w:val="auto"/>
        </w:rPr>
      </w:pPr>
    </w:p>
    <w:p>
      <w:pPr>
        <w:jc w:val="center"/>
        <w:ind w:right="-34"/>
        <w:spacing w:after="0"/>
        <w:rPr>
          <w:sz w:val="20"/>
          <w:szCs w:val="20"/>
          <w:color w:val="auto"/>
        </w:rPr>
      </w:pPr>
      <w:r>
        <w:rPr>
          <w:rFonts w:ascii="Arial" w:cs="Arial" w:eastAsia="Arial" w:hAnsi="Arial"/>
          <w:sz w:val="17"/>
          <w:szCs w:val="17"/>
          <w:b w:val="1"/>
          <w:bCs w:val="1"/>
          <w:color w:val="auto"/>
        </w:rPr>
        <w:t>December 31,</w:t>
      </w:r>
    </w:p>
    <w:p>
      <w:pPr>
        <w:spacing w:after="0" w:line="21" w:lineRule="exact"/>
        <w:rPr>
          <w:sz w:val="20"/>
          <w:szCs w:val="20"/>
          <w:color w:val="auto"/>
        </w:rPr>
      </w:pPr>
    </w:p>
    <w:p>
      <w:pPr>
        <w:jc w:val="center"/>
        <w:ind w:right="-34"/>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715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18" w:lineRule="exact"/>
        <w:rPr>
          <w:sz w:val="20"/>
          <w:szCs w:val="20"/>
          <w:color w:val="auto"/>
        </w:rPr>
      </w:pPr>
    </w:p>
    <w:p>
      <w:pPr>
        <w:ind w:left="615" w:hanging="615"/>
        <w:spacing w:after="0"/>
        <w:tabs>
          <w:tab w:leader="none" w:pos="6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47,567</w:t>
      </w:r>
    </w:p>
    <w:p>
      <w:pPr>
        <w:spacing w:after="0" w:line="23" w:lineRule="exact"/>
        <w:rPr>
          <w:rFonts w:ascii="Arial" w:cs="Arial" w:eastAsia="Arial" w:hAnsi="Arial"/>
          <w:sz w:val="18"/>
          <w:szCs w:val="18"/>
          <w:color w:val="auto"/>
        </w:rPr>
      </w:pPr>
    </w:p>
    <w:p>
      <w:pPr>
        <w:ind w:left="555"/>
        <w:spacing w:after="0"/>
        <w:rPr>
          <w:rFonts w:ascii="Arial" w:cs="Arial" w:eastAsia="Arial" w:hAnsi="Arial"/>
          <w:sz w:val="18"/>
          <w:szCs w:val="18"/>
          <w:color w:val="auto"/>
        </w:rPr>
      </w:pPr>
      <w:r>
        <w:rPr>
          <w:rFonts w:ascii="Arial" w:cs="Arial" w:eastAsia="Arial" w:hAnsi="Arial"/>
          <w:sz w:val="16"/>
          <w:szCs w:val="16"/>
          <w:color w:val="auto"/>
        </w:rPr>
        <w:t>(24,483)</w:t>
      </w:r>
    </w:p>
    <w:p>
      <w:pPr>
        <w:spacing w:after="0" w:line="200" w:lineRule="exact"/>
        <w:rPr>
          <w:sz w:val="20"/>
          <w:szCs w:val="20"/>
          <w:color w:val="auto"/>
        </w:rPr>
      </w:pPr>
    </w:p>
    <w:p>
      <w:pPr>
        <w:spacing w:after="0" w:line="250" w:lineRule="exact"/>
        <w:rPr>
          <w:sz w:val="20"/>
          <w:szCs w:val="20"/>
          <w:color w:val="auto"/>
        </w:rPr>
      </w:pPr>
    </w:p>
    <w:p>
      <w:pPr>
        <w:ind w:left="835" w:hanging="835"/>
        <w:spacing w:after="0"/>
        <w:tabs>
          <w:tab w:leader="none" w:pos="8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83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615"/>
        <w:spacing w:after="0"/>
        <w:rPr>
          <w:sz w:val="20"/>
          <w:szCs w:val="20"/>
          <w:color w:val="auto"/>
        </w:rPr>
      </w:pPr>
      <w:r>
        <w:rPr>
          <w:rFonts w:ascii="Arial" w:cs="Arial" w:eastAsia="Arial" w:hAnsi="Arial"/>
          <w:sz w:val="18"/>
          <w:szCs w:val="18"/>
          <w:color w:val="auto"/>
        </w:rPr>
        <w:t>24,483</w:t>
      </w:r>
    </w:p>
    <w:p>
      <w:pPr>
        <w:spacing w:after="0" w:line="62" w:lineRule="exact"/>
        <w:rPr>
          <w:sz w:val="20"/>
          <w:szCs w:val="20"/>
          <w:color w:val="auto"/>
        </w:rPr>
      </w:pPr>
    </w:p>
    <w:p>
      <w:pPr>
        <w:ind w:left="615" w:hanging="615"/>
        <w:spacing w:after="0"/>
        <w:tabs>
          <w:tab w:leader="none" w:pos="6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47,567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71525"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7152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195"/>
          </w:cols>
          <w:pgMar w:left="320" w:top="800" w:right="359" w:bottom="1440" w:gutter="0" w:footer="0" w:header="0"/>
        </w:sectPr>
      </w:pPr>
    </w:p>
    <w:p>
      <w:pPr>
        <w:spacing w:after="0" w:line="93"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As of December 31, 2019, the Company did not have any U.S. federal and state net operating loss carryovers available to offset future taxable income.</w:t>
      </w:r>
    </w:p>
    <w:p>
      <w:pPr>
        <w:spacing w:after="0" w:line="170"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May 28, 2019 (inception) through December 31, 2019, the change in the valuation allowance was $24,483.</w:t>
      </w:r>
    </w:p>
    <w:p>
      <w:pPr>
        <w:spacing w:after="0" w:line="164"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reconciliation of the federal income tax rate to the Company’s effective tax rate for the period from May 28, 2019 (inception) through December 31, 2019 is as follows:</w:t>
      </w:r>
    </w:p>
    <w:p>
      <w:pPr>
        <w:sectPr>
          <w:pgSz w:w="11900" w:h="16838" w:orient="portrait"/>
          <w:cols w:equalWidth="0" w:num="1">
            <w:col w:w="11220"/>
          </w:cols>
          <w:pgMar w:left="320" w:top="800" w:right="35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State taxes, net of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valuation allowance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files income tax returns in the U.S. federal jurisdiction and is subject to examination by the various taxing authorities.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21.0%</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22.3%</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43.3</w:t>
      </w:r>
      <w:r>
        <w:rPr>
          <w:rFonts w:ascii="Arial" w:cs="Arial" w:eastAsia="Arial" w:hAnsi="Arial"/>
          <w:sz w:val="28"/>
          <w:szCs w:val="28"/>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-32385</wp:posOffset>
            </wp:positionV>
            <wp:extent cx="7029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-6350</wp:posOffset>
            </wp:positionV>
            <wp:extent cx="70294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052" w:lineRule="exact"/>
        <w:rPr>
          <w:sz w:val="20"/>
          <w:szCs w:val="20"/>
          <w:color w:val="auto"/>
        </w:rPr>
      </w:pPr>
    </w:p>
    <w:p>
      <w:pPr>
        <w:sectPr>
          <w:pgSz w:w="11900" w:h="16838" w:orient="portrait"/>
          <w:cols w:equalWidth="0" w:num="2">
            <w:col w:w="10040" w:space="720"/>
            <w:col w:w="460"/>
          </w:cols>
          <w:pgMar w:left="320" w:top="800" w:right="359" w:bottom="1440" w:gutter="0" w:footer="0" w:header="0"/>
          <w:type w:val="continuous"/>
        </w:sectPr>
      </w:pPr>
    </w:p>
    <w:p>
      <w:pPr>
        <w:spacing w:after="0" w:line="29"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87"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At December 31, 2019, assets held in the Trust Account were comprised of $873 in cash and $172,845,138 in U.S. Treasury Securities. During the period from May 28, 2019 (inception) through December 31, 2019, the Company did not withdraw any interest income from the Trust Account.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type w:val="continuous"/>
        </w:sectPr>
      </w:pPr>
    </w:p>
    <w:bookmarkStart w:id="81" w:name="page82"/>
    <w:bookmarkEnd w:id="81"/>
    <w:p>
      <w:pPr>
        <w:ind w:left="440"/>
        <w:spacing w:after="0"/>
        <w:rPr>
          <w:sz w:val="20"/>
          <w:szCs w:val="20"/>
          <w:color w:val="auto"/>
        </w:rPr>
      </w:pPr>
      <w:r>
        <w:rPr>
          <w:rFonts w:ascii="Arial" w:cs="Arial" w:eastAsia="Arial" w:hAnsi="Arial"/>
          <w:sz w:val="18"/>
          <w:szCs w:val="18"/>
          <w:color w:val="auto"/>
        </w:rPr>
        <w:t>The gross holding gains and fair value of held-to-maturity securities at December 31,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Gross</w:t>
            </w:r>
          </w:p>
        </w:tc>
        <w:tc>
          <w:tcPr>
            <w:tcW w:w="122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Holding</w:t>
            </w:r>
          </w:p>
        </w:tc>
        <w:tc>
          <w:tcPr>
            <w:tcW w:w="1220" w:type="dxa"/>
            <w:vAlign w:val="bottom"/>
          </w:tcPr>
          <w:p>
            <w:pPr>
              <w:spacing w:after="0"/>
              <w:rPr>
                <w:sz w:val="18"/>
                <w:szCs w:val="18"/>
                <w:color w:val="auto"/>
              </w:rPr>
            </w:pPr>
          </w:p>
        </w:tc>
      </w:tr>
      <w:tr>
        <w:trPr>
          <w:trHeight w:val="241"/>
        </w:trPr>
        <w:tc>
          <w:tcPr>
            <w:tcW w:w="3500" w:type="dxa"/>
            <w:vAlign w:val="bottom"/>
            <w:tcBorders>
              <w:bottom w:val="single" w:sz="8" w:color="CCEEFF"/>
            </w:tcBorders>
          </w:tcPr>
          <w:p>
            <w:pPr>
              <w:spacing w:after="0"/>
              <w:rPr>
                <w:sz w:val="20"/>
                <w:szCs w:val="20"/>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Held-To-Maturity</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Fair Value</w:t>
            </w:r>
          </w:p>
        </w:tc>
      </w:tr>
      <w:tr>
        <w:trPr>
          <w:trHeight w:val="26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 Treasury Securities (Mature on 5/14/2020)</w:t>
            </w:r>
          </w:p>
        </w:tc>
        <w:tc>
          <w:tcPr>
            <w:tcW w:w="1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172,845,138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13,410</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  172,858,548</w:t>
            </w:r>
          </w:p>
        </w:tc>
      </w:tr>
      <w:tr>
        <w:trPr>
          <w:trHeight w:val="21"/>
        </w:trPr>
        <w:tc>
          <w:tcPr>
            <w:tcW w:w="35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340" w:right="400" w:hanging="890"/>
        <w:spacing w:after="0" w:line="342" w:lineRule="auto"/>
        <w:tabs>
          <w:tab w:leader="none" w:pos="13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4" w:lineRule="exact"/>
        <w:rPr>
          <w:sz w:val="20"/>
          <w:szCs w:val="20"/>
          <w:color w:val="auto"/>
        </w:rPr>
      </w:pPr>
    </w:p>
    <w:p>
      <w:pPr>
        <w:ind w:left="1340" w:right="380" w:hanging="890"/>
        <w:spacing w:after="0" w:line="277" w:lineRule="auto"/>
        <w:tabs>
          <w:tab w:leader="none" w:pos="13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w:t>
      </w:r>
    </w:p>
    <w:p>
      <w:pPr>
        <w:spacing w:after="0" w:line="170" w:lineRule="exact"/>
        <w:rPr>
          <w:sz w:val="20"/>
          <w:szCs w:val="20"/>
          <w:color w:val="auto"/>
        </w:rPr>
      </w:pPr>
    </w:p>
    <w:p>
      <w:pPr>
        <w:jc w:val="both"/>
        <w:ind w:right="280" w:firstLine="441"/>
        <w:spacing w:after="0" w:line="259"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March 26, 2020</w:t>
      </w:r>
      <w:r>
        <w:rPr>
          <w:sz w:val="20"/>
          <w:szCs w:val="20"/>
          <w:color w:val="auto"/>
        </w:rPr>
        <w:tab/>
      </w:r>
      <w:r>
        <w:rPr>
          <w:rFonts w:ascii="Arial" w:cs="Arial" w:eastAsia="Arial" w:hAnsi="Arial"/>
          <w:sz w:val="17"/>
          <w:szCs w:val="17"/>
          <w:b w:val="1"/>
          <w:bCs w:val="1"/>
          <w:color w:val="auto"/>
        </w:rPr>
        <w:t>STABLE ROAD ACQUISITION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50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2"/>
                <w:szCs w:val="22"/>
                <w:color w:val="auto"/>
              </w:rPr>
            </w:pPr>
          </w:p>
        </w:tc>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Kabot</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26,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Brian Kabot</w:t>
            </w:r>
          </w:p>
        </w:tc>
        <w:tc>
          <w:tcPr>
            <w:tcW w:w="120" w:type="dxa"/>
            <w:vAlign w:val="bottom"/>
          </w:tcPr>
          <w:p>
            <w:pPr>
              <w:spacing w:after="0"/>
              <w:rPr>
                <w:sz w:val="20"/>
                <w:szCs w:val="20"/>
                <w:color w:val="auto"/>
              </w:rPr>
            </w:pPr>
          </w:p>
        </w:tc>
        <w:tc>
          <w:tcPr>
            <w:tcW w:w="4600" w:type="dxa"/>
            <w:vAlign w:val="bottom"/>
            <w:gridSpan w:val="2"/>
          </w:tcPr>
          <w:p>
            <w:pPr>
              <w:spacing w:after="0" w:line="203" w:lineRule="exact"/>
              <w:rPr>
                <w:sz w:val="20"/>
                <w:szCs w:val="20"/>
                <w:color w:val="auto"/>
              </w:rPr>
            </w:pPr>
            <w:r>
              <w:rPr>
                <w:rFonts w:ascii="Arial" w:cs="Arial" w:eastAsia="Arial" w:hAnsi="Arial"/>
                <w:sz w:val="18"/>
                <w:szCs w:val="18"/>
                <w:i w:val="1"/>
                <w:iCs w:val="1"/>
                <w:color w:val="auto"/>
              </w:rPr>
              <w:t>(Principal Executive Officer)</w:t>
            </w: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Norris</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26,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James Norris</w:t>
            </w:r>
          </w:p>
        </w:tc>
        <w:tc>
          <w:tcPr>
            <w:tcW w:w="120" w:type="dxa"/>
            <w:vAlign w:val="bottom"/>
          </w:tcPr>
          <w:p>
            <w:pPr>
              <w:spacing w:after="0"/>
              <w:rPr>
                <w:sz w:val="20"/>
                <w:szCs w:val="20"/>
                <w:color w:val="auto"/>
              </w:rPr>
            </w:pPr>
          </w:p>
        </w:tc>
        <w:tc>
          <w:tcPr>
            <w:tcW w:w="4600" w:type="dxa"/>
            <w:vAlign w:val="bottom"/>
            <w:gridSpan w:val="2"/>
          </w:tcPr>
          <w:p>
            <w:pPr>
              <w:ind w:left="60"/>
              <w:spacing w:after="0" w:line="203" w:lineRule="exact"/>
              <w:rPr>
                <w:sz w:val="20"/>
                <w:szCs w:val="20"/>
                <w:color w:val="auto"/>
              </w:rPr>
            </w:pPr>
            <w:r>
              <w:rPr>
                <w:rFonts w:ascii="Arial" w:cs="Arial" w:eastAsia="Arial" w:hAnsi="Arial"/>
                <w:sz w:val="18"/>
                <w:szCs w:val="18"/>
                <w:i w:val="1"/>
                <w:iCs w:val="1"/>
                <w:color w:val="auto"/>
              </w:rPr>
              <w:t>(Principal Financial and Accounting Officer)</w:t>
            </w: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Lehmann</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26,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Marc Lehmann</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Kellen O’Keefe</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26,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Kellen O’Keefe</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Hofmockel</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26,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James Hofmockel</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Kono</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26,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Ann Kono</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95"/>
        </w:trPr>
        <w:tc>
          <w:tcPr>
            <w:tcW w:w="45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right"/>
              <w:ind w:right="33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 TO SECTION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38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of December 31, 2019, Stable Road Acquisition Corp. (“we,” “our,” “us” or the “Company”) had the following three classes of securities registered under Section 12 of the Securities Exchange Act of 1934, as amended (the “Exchange Act”): (i) its Class A common stock, $0.0001 par value per share (“Class A common stock”), (ii) its warrants, exercisable for one share of class A common stock for $11.50 per share, and (iii) its units, consisting of one share of Class A common stock and one-half of one warrant to purchase one share of Class A common stock. In addition, this Description of Securities also contains a description of the Company’s Class B common stock, par value $0.0001 per share (the “Class B common stock” or “founder shares”), which is not registered pursuant to Section 12 of the Exchange Act but is convertible into shares of Class A common stock. The description of the Class B common stock is necessary to understand the material terms of the Class A common stock.</w:t>
      </w:r>
    </w:p>
    <w:p>
      <w:pPr>
        <w:spacing w:after="0" w:line="150"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Pursuant to our amended and restated certificate of incorporation, our authorized capital stock consists of 100,000,000 shares of Class A common stock, $0.0001 par value, 10,000,000 shares of Class B common stock, $0.0001 par value, and 1,000,000 shares of undesignated preferred stock, $0.0001 par value. The following description summarizes the material terms of our securities.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Defined terms used herein and not defined herein shall have the meaning ascribed to such terms in the Company’s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135"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Each unit consists of one share of Class A common stock and one-half of one redeemable warrant. Only whole warrants are exercisable. Each whole warrant entitles the holder to purchase one share of our Class A common stock. Pursuant to the warrant agreement, a warrant holder may exercise his, her or its warrants only for a whole number of shares of common stock. This means that only a whole warrant may be exercised at any given time by a warrant holder. No fractional warrants will be issued upon separation of the units and only whole warrants will trade.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our stockholders, except as required by law. Unless specified in our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ind w:firstLine="432"/>
        <w:spacing w:after="0" w:line="285"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per-share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any founder shares and (along with Cantor) placement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the initial business combination and the redemption rights as is required under the SEC’s proxy rules. If, however,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74"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Class A common stock sold in our initial public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0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Founder Shares and Placement Shares</w:t>
      </w:r>
    </w:p>
    <w:p>
      <w:pPr>
        <w:spacing w:after="0" w:line="162" w:lineRule="exact"/>
        <w:rPr>
          <w:sz w:val="20"/>
          <w:szCs w:val="20"/>
          <w:color w:val="auto"/>
        </w:rPr>
      </w:pPr>
    </w:p>
    <w:p>
      <w:pPr>
        <w:ind w:right="180" w:firstLine="432"/>
        <w:spacing w:after="0" w:line="287" w:lineRule="auto"/>
        <w:rPr>
          <w:sz w:val="20"/>
          <w:szCs w:val="20"/>
          <w:color w:val="auto"/>
        </w:rPr>
      </w:pPr>
      <w:r>
        <w:rPr>
          <w:rFonts w:ascii="Arial" w:cs="Arial" w:eastAsia="Arial" w:hAnsi="Arial"/>
          <w:sz w:val="16"/>
          <w:szCs w:val="16"/>
          <w:color w:val="auto"/>
        </w:rPr>
        <w:t>The founder shares and placement shares are identical to the shares of Class A common stock and holders of founder shares and placement shares have the same stockholder rights as public stockholders, except that (i) the founder shares and placement shares are subject to certain transfer restrictions, as described in more detail below, (ii) our sponsor, officers and directors have entered into a letter agreement with us, pursuant to which they have agreed</w:t>
      </w:r>
    </w:p>
    <w:p>
      <w:pPr>
        <w:spacing w:after="0" w:line="2" w:lineRule="exact"/>
        <w:rPr>
          <w:sz w:val="20"/>
          <w:szCs w:val="20"/>
          <w:color w:val="auto"/>
        </w:rPr>
      </w:pPr>
    </w:p>
    <w:p>
      <w:pPr>
        <w:ind w:right="40" w:firstLine="8"/>
        <w:spacing w:after="0" w:line="281" w:lineRule="auto"/>
        <w:tabs>
          <w:tab w:leader="none" w:pos="2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waive their redemption rights with respect to any founder shares and (along with Cantor) placement shares and any public shares held by them in connection with the completion of our initial business combination, (B) to waive their redemption rights with respect to their founder shares and placement shares and any public shares in connection with a stockholder vote to approve an amendment to our amended and restated certificate of incorporation (x) to modify the substance or timing of our obligation to allow redemptions in connection with our initial business combination or to redeem 100% of our public shares if we do not complete our initial business combination within the timeframe set forth in our amended and restated certificate of incorporation or</w:t>
      </w:r>
    </w:p>
    <w:p>
      <w:pPr>
        <w:spacing w:after="0" w:line="2"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(y) with respect to any other provision relating to stockholders’ rights or pre-initial business combination activity and (C) to waive their rights to liquidating distributions from the trust account with respect to any founder shares and placement shares held by them if we fail to complete our initial business combination within the timeframe set forth in our amended and restated certificate of incorporation, although they will be entitled to liquidating distributions from the trust account with respect to any public shares they hold if we fail to complete our initial business combination within such time period, (iii) the founder shares are shares of our Class B common stock that will automatically convert into shares of our Class A common stock at the time of our initial business combination on a one-for-one basis, subject to adjustment as described herein, and (iv) are entitled to registration rights. If we submit our initial business combination to our public stockholders for a vote, our sponsor, officers and directors have agreed pursuant to the letter agreement to vote any founder shares and placement shares held by them and any public shares purchased (including in open market and privately negotiated transactions) in favor of our initial business combination.</w:t>
      </w:r>
    </w:p>
    <w:p>
      <w:pPr>
        <w:spacing w:after="0" w:line="100"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our initial public offering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completion of our initial public offering (excluding the placement units and underlying securities) plus all shares of Class A common stock and equity-linked securities issued or deemed issued in connection with the initial business combination (excluding any shares or equity-linked securities issued, or to be issued, to any seller in the initial business combination and any private placement-equivalent warrants issued to our sponsor or its affiliates upon conversion of loans made to us). If such adjustment is not waived, the issuance would not reduce the percentage ownership of holders of our Class B common stock, but would reduce the percentage ownership of holders of our Class A common stock. If such adjustment is waived, the issuance would reduce the percentage ownership of holders of both classes of our common stock. The term “equity-linked securities” refers to any debt or equity securities that are convertible, exercisable or exchangeable for shares of Class A common stock issued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2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16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Each whole warrant entitles the registered holder to purchase one share of our Class A common stock at a price of $11.50 per share, subject to adjustment as discussed below, at any time commencing on the later of 12 months from the closing of our initial public offering or 30 days after the completion of our initial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w:t>
      </w:r>
    </w:p>
    <w:p>
      <w:pPr>
        <w:spacing w:after="0" w:line="107"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warrants will expire five years after the completion of our initial business combination, at 5:00 p.m., New York City time, or earlier upon redemption or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ind w:right="60" w:firstLine="432"/>
        <w:spacing w:after="0" w:line="289"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8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6"/>
          <w:szCs w:val="16"/>
          <w:color w:val="auto"/>
        </w:rPr>
        <w:t>We have agreed that as soon as practicable, but in no event later than 15 business days after the closing of our initial business combination, we will use our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58" w:lineRule="exact"/>
        <w:rPr>
          <w:sz w:val="20"/>
          <w:szCs w:val="20"/>
          <w:color w:val="auto"/>
        </w:rPr>
      </w:pPr>
    </w:p>
    <w:p>
      <w:pPr>
        <w:ind w:left="860" w:hanging="420"/>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880" w:right="60" w:hanging="440"/>
        <w:spacing w:after="0" w:line="277" w:lineRule="auto"/>
        <w:tabs>
          <w:tab w:leader="none" w:pos="8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 and</w:t>
      </w:r>
    </w:p>
    <w:p>
      <w:pPr>
        <w:spacing w:after="0" w:line="102" w:lineRule="exact"/>
        <w:rPr>
          <w:rFonts w:ascii="Arial" w:cs="Arial" w:eastAsia="Arial" w:hAnsi="Arial"/>
          <w:sz w:val="18"/>
          <w:szCs w:val="18"/>
          <w:color w:val="auto"/>
        </w:rPr>
      </w:pPr>
    </w:p>
    <w:p>
      <w:pPr>
        <w:ind w:left="880" w:right="20" w:hanging="440"/>
        <w:spacing w:after="0" w:line="286" w:lineRule="auto"/>
        <w:tabs>
          <w:tab w:leader="none" w:pos="87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w:t>
      </w:r>
    </w:p>
    <w:p>
      <w:pPr>
        <w:spacing w:after="0" w:line="8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our initial public offering.</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87" w:name="page88"/>
    <w:bookmarkEnd w:id="87"/>
    <w:p>
      <w:pPr>
        <w:ind w:right="160" w:firstLine="432"/>
        <w:spacing w:after="0" w:line="268"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12"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outstanding immediately after giving effect to such exercise.</w:t>
      </w:r>
    </w:p>
    <w:p>
      <w:pPr>
        <w:spacing w:after="0" w:line="11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whole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w:t>
      </w:r>
    </w:p>
    <w:p>
      <w:pPr>
        <w:spacing w:after="0" w:line="87"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amended and restated certificate of incorporation (i) to modify the substance or timing of our obligation to allow redemptions in connection with our initial business combination or to redeem 100% of our Class A common stock if we do not complete our initial business combination within the timeframe set forth in our amended and restated certificate of incorporation or (ii) with respect to any other provision relating to stockholders’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1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8" w:name="page89"/>
    <w:bookmarkEnd w:id="88"/>
    <w:p>
      <w:pPr>
        <w:ind w:right="20" w:firstLine="432"/>
        <w:spacing w:after="0" w:line="279" w:lineRule="auto"/>
        <w:rPr>
          <w:sz w:val="20"/>
          <w:szCs w:val="20"/>
          <w:color w:val="auto"/>
        </w:rPr>
      </w:pPr>
      <w:r>
        <w:rPr>
          <w:rFonts w:ascii="Arial" w:cs="Arial" w:eastAsia="Arial" w:hAnsi="Arial"/>
          <w:sz w:val="17"/>
          <w:szCs w:val="17"/>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90"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1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addition, if (x) we issue additional shares of Class A common stock or equity-linked securities for capital raising purposes in connection with the closing of our initial business combination at an issue price or effective issue price of less than $9.20 per share of Class A common stock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day price of our common stock during the 20 trading day period starting on the trading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89" w:name="page90"/>
    <w:bookmarkEnd w:id="89"/>
    <w:p>
      <w:pPr>
        <w:jc w:val="both"/>
        <w:ind w:right="120" w:firstLine="432"/>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3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76" w:lineRule="exact"/>
        <w:rPr>
          <w:sz w:val="20"/>
          <w:szCs w:val="20"/>
          <w:color w:val="auto"/>
        </w:rPr>
      </w:pPr>
    </w:p>
    <w:p>
      <w:pPr>
        <w:ind w:left="860" w:hanging="420"/>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30" w:lineRule="exact"/>
        <w:rPr>
          <w:rFonts w:ascii="Arial" w:cs="Arial" w:eastAsia="Arial" w:hAnsi="Arial"/>
          <w:sz w:val="18"/>
          <w:szCs w:val="18"/>
          <w:color w:val="auto"/>
        </w:rPr>
      </w:pPr>
    </w:p>
    <w:p>
      <w:pPr>
        <w:ind w:left="860" w:hanging="420"/>
        <w:spacing w:after="0"/>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 associate of an interested stockholder, for three years following the date that the stockholder became an interested stockholder.</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“business combination” includes a merger or sale of more than 10% of our assets. However, the above provisions of Section 203 do not apply if:</w:t>
      </w:r>
    </w:p>
    <w:p>
      <w:pPr>
        <w:spacing w:after="0" w:line="167" w:lineRule="exact"/>
        <w:rPr>
          <w:sz w:val="20"/>
          <w:szCs w:val="20"/>
          <w:color w:val="auto"/>
        </w:rPr>
      </w:pPr>
    </w:p>
    <w:p>
      <w:pPr>
        <w:ind w:left="860" w:hanging="420"/>
        <w:spacing w:after="0"/>
        <w:tabs>
          <w:tab w:leader="none" w:pos="8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board of directors approves the transaction that made the stockholder an “interested stockholder,” prior to the date of the transaction;</w:t>
      </w:r>
    </w:p>
    <w:p>
      <w:pPr>
        <w:spacing w:after="0" w:line="142" w:lineRule="exact"/>
        <w:rPr>
          <w:rFonts w:ascii="Arial" w:cs="Arial" w:eastAsia="Arial" w:hAnsi="Arial"/>
          <w:sz w:val="17"/>
          <w:szCs w:val="17"/>
          <w:color w:val="auto"/>
        </w:rPr>
      </w:pPr>
    </w:p>
    <w:p>
      <w:pPr>
        <w:ind w:left="880" w:right="40" w:hanging="440"/>
        <w:spacing w:after="0" w:line="342" w:lineRule="auto"/>
        <w:tabs>
          <w:tab w:leader="none" w:pos="87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29" w:lineRule="exact"/>
        <w:rPr>
          <w:rFonts w:ascii="Arial" w:cs="Arial" w:eastAsia="Arial" w:hAnsi="Arial"/>
          <w:sz w:val="16"/>
          <w:szCs w:val="16"/>
          <w:color w:val="auto"/>
        </w:rPr>
      </w:pPr>
    </w:p>
    <w:p>
      <w:pPr>
        <w:ind w:left="880" w:right="40" w:hanging="440"/>
        <w:spacing w:after="0" w:line="263" w:lineRule="auto"/>
        <w:tabs>
          <w:tab w:leader="none" w:pos="8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03"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Our amended and restated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2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58"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25" w:right="3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Kabot, certify that:</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Stable Road Acquisition Corp.;</w:t>
      </w:r>
    </w:p>
    <w:p>
      <w:pPr>
        <w:spacing w:after="0" w:line="225"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2020</w:t>
      </w:r>
    </w:p>
    <w:p>
      <w:pPr>
        <w:spacing w:after="0" w:line="23"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Norris, certify that:</w:t>
      </w:r>
    </w:p>
    <w:p>
      <w:pPr>
        <w:spacing w:after="0" w:line="22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Stable Road Acquisition Corp.;</w:t>
      </w:r>
    </w:p>
    <w:p>
      <w:pPr>
        <w:spacing w:after="0" w:line="225"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2020</w:t>
      </w:r>
    </w:p>
    <w:p>
      <w:pPr>
        <w:spacing w:after="0" w:line="23"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connection with the Annual Report on Form 10-K of Stable Road Acquisition Corp. (the “Company”) for the year ended December 31, 2019, as filed with the Securities and Exchange Commission (the “Report”), I, Brian Kabot, Chief Executive Officer of the Company, certify, pursuant to 18 U.S.C. §1350, as added by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Stable Road Acquisition Corp. (the “Company”) for the year ended December 31, 2019, as filed with the Securities and Exchange Commission (the “Report”), I, James Norris, Chief Financial Officer of the Company, certify, pursuant to 18 U.S.C. §1350, as added by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26,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James Norris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James Norris</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lvl w:ilvl="1">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lowerRoman"/>
      <w:start w:val="1"/>
    </w:lvl>
  </w:abstractNum>
  <w:abstractNum w:abstractNumId="13">
    <w:nsid w:val="419AC241"/>
    <w:multiLevelType w:val="hybridMultilevel"/>
    <w:lvl w:ilvl="0">
      <w:lvlJc w:val="left"/>
      <w:lvlText w:val="(%1)"/>
      <w:numFmt w:val="lowerRoman"/>
      <w:start w:val="3"/>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lowerRoman"/>
      <w:start w:val="2"/>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lowerRoman"/>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lowerRoman"/>
      <w:start w:val="2"/>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6"/>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lowerLetter"/>
      <w:start w:val="1"/>
    </w:lvl>
    <w:lvl w:ilvl="1">
      <w:lvlJc w:val="left"/>
      <w:lvlText w:val="(%2)"/>
      <w:numFmt w:val="decimal"/>
      <w:start w:val="1"/>
    </w:lvl>
  </w:abstractNum>
  <w:abstractNum w:abstractNumId="35">
    <w:nsid w:val="7A6D8D3C"/>
    <w:multiLevelType w:val="hybridMultilevel"/>
    <w:lvl w:ilvl="0">
      <w:lvlJc w:val="left"/>
      <w:lvlText w:val="(%1)"/>
      <w:numFmt w:val="decimal"/>
      <w:start w:val="3"/>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lowerRoman"/>
      <w:start w:val="1"/>
    </w:lvl>
  </w:abstractNum>
  <w:abstractNum w:abstractNumId="40">
    <w:nsid w:val="7644A45C"/>
    <w:multiLevelType w:val="hybridMultilevel"/>
    <w:lvl w:ilvl="0">
      <w:lvlJc w:val="left"/>
      <w:lvlText w:val="(%1)"/>
      <w:numFmt w:val="lowerRoman"/>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upperLetter"/>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76" Type="http://schemas.openxmlformats.org/officeDocument/2006/relationships/hyperlink" Target="http://www.sec.gov/Archives/edgar/data/1781162/000121390019023186/f8k1119ex1-1_stableroad.htm" TargetMode="External"/><Relationship Id="rId77" Type="http://schemas.openxmlformats.org/officeDocument/2006/relationships/hyperlink" Target="http://www.sec.gov/Archives/edgar/data/1781162/000121390019019179/fs12019ex3-1_stableroad.htm" TargetMode="External"/><Relationship Id="rId78" Type="http://schemas.openxmlformats.org/officeDocument/2006/relationships/hyperlink" Target="http://www.sec.gov/Archives/edgar/data/1781162/000121390019023186/f8k1119ex3-1_stableroad.htm" TargetMode="External"/><Relationship Id="rId79" Type="http://schemas.openxmlformats.org/officeDocument/2006/relationships/hyperlink" Target="http://www.sec.gov/Archives/edgar/data/1781162/000121390019019179/fs12019ex3-3_stableroad.htm" TargetMode="External"/><Relationship Id="rId80" Type="http://schemas.openxmlformats.org/officeDocument/2006/relationships/hyperlink" Target="http://www.sec.gov/Archives/edgar/data/1781162/000121390019023186/f8k1119ex4-1_stableroad.htm" TargetMode="External"/><Relationship Id="rId81" Type="http://schemas.openxmlformats.org/officeDocument/2006/relationships/hyperlink" Target="http://www.sec.gov/Archives/edgar/data/1781162/000121390019023186/f8k1119ex10-2_stableroad.htm" TargetMode="External"/><Relationship Id="rId82" Type="http://schemas.openxmlformats.org/officeDocument/2006/relationships/hyperlink" Target="http://www.sec.gov/Archives/edgar/data/1781162/000121390019023186/f8k1119ex10-3_stableroad.htm" TargetMode="External"/><Relationship Id="rId83" Type="http://schemas.openxmlformats.org/officeDocument/2006/relationships/hyperlink" Target="http://www.sec.gov/Archives/edgar/data/1781162/000121390019023186/f8k1119ex10-1_stableroad.htm" TargetMode="External"/><Relationship Id="rId84" Type="http://schemas.openxmlformats.org/officeDocument/2006/relationships/hyperlink" Target="http://www.sec.gov/Archives/edgar/data/1781162/000121390019023186/f8k1119ex10-4_stableroad.htm" TargetMode="External"/><Relationship Id="rId85" Type="http://schemas.openxmlformats.org/officeDocument/2006/relationships/hyperlink" Target="http://www.sec.gov/Archives/edgar/data/1781162/000121390019023186/f8k1119ex10-5_stableroad.htm" TargetMode="External"/><Relationship Id="rId86" Type="http://schemas.openxmlformats.org/officeDocument/2006/relationships/hyperlink" Target="http://www.sec.gov/Archives/edgar/data/1781162/000121390019023186/f8k1119ex10-6_stableroa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2020-03-26T15:33:31Z</dcterms:created>
  <dcterms:modified xsi:type="dcterms:W3CDTF">2020-03-26T15:33:31Z</dcterms:modified>
</cp:coreProperties>
</file>