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33"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33" w:before="20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333" w:before="60" w:after="283"/>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333" w:before="200" w:after="283"/>
        <w:jc w:val="center"/>
        <w:rPr>
          <w:rFonts w:ascii="Times New Roman;serif" w:hAnsi="Times New Roman;serif"/>
          <w:b w:val="false"/>
          <w:color w:val="000000"/>
          <w:sz w:val="22"/>
        </w:rPr>
      </w:pPr>
      <w:r>
        <w:rPr>
          <w:rFonts w:ascii="Times New Roman;serif" w:hAnsi="Times New Roman;serif"/>
          <w:b w:val="false"/>
          <w:color w:val="000000"/>
          <w:sz w:val="22"/>
        </w:rPr>
        <w:t>August 21, 2026</w:t>
      </w:r>
    </w:p>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Date of Report (date of earliest event reported)</w:t>
      </w:r>
    </w:p>
    <w:p>
      <w:pPr>
        <w:pStyle w:val="TextBody"/>
        <w:bidi w:val="0"/>
        <w:spacing w:lineRule="auto" w:line="333" w:before="240" w:after="283"/>
        <w:jc w:val="center"/>
        <w:rPr>
          <w:rFonts w:ascii="Times New Roman;serif" w:hAnsi="Times New Roman;serif"/>
          <w:b/>
          <w:color w:val="000000"/>
          <w:sz w:val="40"/>
        </w:rPr>
      </w:pPr>
      <w:r>
        <w:rPr>
          <w:rFonts w:ascii="Times New Roman;serif" w:hAnsi="Times New Roman;serif"/>
          <w:b/>
          <w:color w:val="000000"/>
          <w:sz w:val="40"/>
        </w:rPr>
        <w:t>Momentus Inc.</w:t>
      </w:r>
    </w:p>
    <w:p>
      <w:pPr>
        <w:pStyle w:val="TextBody"/>
        <w:bidi w:val="0"/>
        <w:spacing w:lineRule="auto" w:line="333" w:before="0" w:after="20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1778"/>
        <w:gridCol w:w="1562"/>
        <w:gridCol w:w="1577"/>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001-39128</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84-1905538</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369" w:before="53" w:after="283"/>
              <w:jc w:val="center"/>
              <w:rPr>
                <w:rFonts w:ascii="Times New Roman;serif" w:hAnsi="Times New Roman;serif"/>
                <w:b/>
                <w:color w:val="000000"/>
                <w:sz w:val="20"/>
              </w:rPr>
            </w:pPr>
            <w:r>
              <w:rPr>
                <w:rFonts w:ascii="Times New Roman;serif" w:hAnsi="Times New Roman;serif"/>
                <w:b/>
                <w:color w:val="000000"/>
                <w:sz w:val="20"/>
              </w:rPr>
              <w:t>1762 Automation Parkway</w:t>
            </w:r>
          </w:p>
          <w:p>
            <w:pPr>
              <w:pStyle w:val="TableContents"/>
              <w:bidi w:val="0"/>
              <w:spacing w:lineRule="auto" w:line="369" w:before="0" w:after="30"/>
              <w:jc w:val="center"/>
              <w:rPr>
                <w:rFonts w:ascii="Times New Roman;serif" w:hAnsi="Times New Roman;serif"/>
                <w:b/>
                <w:color w:val="000000"/>
                <w:sz w:val="20"/>
              </w:rPr>
            </w:pPr>
            <w:r>
              <w:rPr>
                <w:rFonts w:ascii="Times New Roman;serif" w:hAnsi="Times New Roman;serif"/>
                <w:b/>
                <w:color w:val="000000"/>
                <w:sz w:val="20"/>
              </w:rPr>
              <w:t>San Jose, California</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95131</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33" w:before="200" w:after="283"/>
        <w:jc w:val="center"/>
        <w:rPr>
          <w:rFonts w:ascii="Times New Roman;serif" w:hAnsi="Times New Roman;serif"/>
          <w:b/>
          <w:color w:val="000000"/>
          <w:sz w:val="20"/>
        </w:rPr>
      </w:pPr>
      <w:r>
        <w:rPr>
          <w:rFonts w:ascii="Times New Roman;serif" w:hAnsi="Times New Roman;serif"/>
          <w:b/>
          <w:color w:val="000000"/>
          <w:sz w:val="20"/>
        </w:rPr>
        <w:t>(650) 564-7820</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333" w:before="20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w:t>
      </w:r>
    </w:p>
    <w:tbl>
      <w:tblPr>
        <w:tblW w:w="7288" w:type="dxa"/>
        <w:jc w:val="left"/>
        <w:tblInd w:w="0" w:type="dxa"/>
        <w:tblLayout w:type="fixed"/>
        <w:tblCellMar>
          <w:top w:w="28" w:type="dxa"/>
          <w:left w:w="28" w:type="dxa"/>
          <w:bottom w:w="28" w:type="dxa"/>
          <w:right w:w="28" w:type="dxa"/>
        </w:tblCellMar>
      </w:tblPr>
      <w:tblGrid>
        <w:gridCol w:w="711"/>
        <w:gridCol w:w="623"/>
        <w:gridCol w:w="630"/>
        <w:gridCol w:w="539"/>
        <w:gridCol w:w="539"/>
        <w:gridCol w:w="541"/>
        <w:gridCol w:w="1085"/>
        <w:gridCol w:w="1085"/>
        <w:gridCol w:w="1535"/>
      </w:tblGrid>
      <w:tr>
        <w:trPr/>
        <w:tc>
          <w:tcPr>
            <w:tcW w:w="7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9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MNTS</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333"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333" w:before="200" w:after="283"/>
        <w:jc w:val="left"/>
        <w:rPr/>
      </w:pPr>
      <w:r>
        <w:rPr>
          <w:rFonts w:ascii="Times New Roman;serif" w:hAnsi="Times New Roman;serif"/>
          <w:b w:val="false"/>
          <w:color w:val="000000"/>
          <w:sz w:val="20"/>
        </w:rPr>
        <w:t xml:space="preserve">Emerging growth company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1.02    Termination of a Material Definitive Agreement.</w:t>
      </w:r>
    </w:p>
    <w:p>
      <w:pPr>
        <w:pStyle w:val="TextBody"/>
        <w:bidi w:val="0"/>
        <w:spacing w:lineRule="auto" w:line="333" w:before="160" w:after="160"/>
        <w:jc w:val="both"/>
        <w:rPr>
          <w:rFonts w:ascii="Times New Roman;serif" w:hAnsi="Times New Roman;serif"/>
          <w:b w:val="false"/>
          <w:color w:val="000000"/>
          <w:sz w:val="20"/>
        </w:rPr>
      </w:pPr>
      <w:r>
        <w:rPr>
          <w:rFonts w:ascii="Times New Roman;serif" w:hAnsi="Times New Roman;serif"/>
          <w:b w:val="false"/>
          <w:color w:val="000000"/>
          <w:sz w:val="20"/>
        </w:rPr>
        <w:t>On September 25, 2025, Momentus Inc. (the “Company”) entered into an Equity Purchase Agreement with Yield Point NY LLC (the “Investor”), which was amended by a First Amendment to Equity Purchase Agreement, dated as of December 23, 2025 (as so amended, the “Equity Purchase Agreement”). The Equity Purchase Agreement provided the Company the right, but not the obligation, to direct the Investor to purchase up to $50,000,000 in shares of the Company’s Class A common stock from time to time, upon satisfaction of the terms and conditions set forth therein. Copies of the Equity Purchase Agreement and the First Amendment were filed as Exhibit 10.4 to the Company’s Current Report on Form 8-K filed with the Securities and Exchange Commission (the “SEC”) on September 29, 2025, and as Exhibit 10.1 to the Company’s Current Report on Form 8-K filed with the SEC on December 29, 2025, respectively, and are incorporated herein by reference.</w:t>
      </w:r>
    </w:p>
    <w:p>
      <w:pPr>
        <w:pStyle w:val="TextBody"/>
        <w:bidi w:val="0"/>
        <w:spacing w:lineRule="auto" w:line="333" w:before="160" w:after="160"/>
        <w:jc w:val="both"/>
        <w:rPr>
          <w:rFonts w:ascii="Times New Roman;serif" w:hAnsi="Times New Roman;serif"/>
          <w:b w:val="false"/>
          <w:color w:val="000000"/>
          <w:sz w:val="20"/>
        </w:rPr>
      </w:pPr>
      <w:r>
        <w:rPr>
          <w:rFonts w:ascii="Times New Roman;serif" w:hAnsi="Times New Roman;serif"/>
          <w:b w:val="false"/>
          <w:color w:val="000000"/>
          <w:sz w:val="20"/>
        </w:rPr>
        <w:t>On August 21, 2026, the Company delivered written notice to the Investor pursuant to Section 10.6 of the Equity Purchase Agreement electing to terminate the Equity Purchase Agreement. Section 10.6 permits the Company, at any time following the effectiveness of the resale registration statement contemplated by the Equity Purchase Agreement, to terminate the Equity Purchase Agreement for any reason or for no reason. The Equity Purchase Agreement terminated effective as of August 21, 2026.</w:t>
      </w:r>
    </w:p>
    <w:p>
      <w:pPr>
        <w:pStyle w:val="TextBody"/>
        <w:bidi w:val="0"/>
        <w:spacing w:lineRule="auto" w:line="333"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has not utilized the Equity Purchase Agreement. The Company terminated the Equity Purchase Agreement because it does not intend to use the facility in the future.</w:t>
      </w:r>
    </w:p>
    <w:p>
      <w:pPr>
        <w:pStyle w:val="TextBody"/>
        <w:bidi w:val="0"/>
        <w:spacing w:lineRule="auto" w:line="333"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did not incur any early termination penalties in connection with the termination of the Equity Purchase Agreement.</w:t>
      </w:r>
    </w:p>
    <w:p>
      <w:pPr>
        <w:pStyle w:val="TextBody"/>
        <w:bidi w:val="0"/>
        <w:spacing w:lineRule="auto" w:line="333" w:before="160" w:after="16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333" w:before="160" w:after="16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8456"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42"/>
        <w:gridCol w:w="1942"/>
        <w:gridCol w:w="2761"/>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333" w:before="160" w:after="160"/>
              <w:jc w:val="both"/>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160" w:after="160"/>
              <w:jc w:val="both"/>
              <w:rPr/>
            </w:pPr>
            <w:r>
              <w:rPr/>
            </w:r>
          </w:p>
        </w:tc>
        <w:tc>
          <w:tcPr>
            <w:tcW w:w="6645" w:type="dxa"/>
            <w:gridSpan w:val="3"/>
            <w:tcBorders/>
            <w:tcMar>
              <w:top w:w="0" w:type="dxa"/>
              <w:left w:w="0" w:type="dxa"/>
              <w:bottom w:w="0" w:type="dxa"/>
              <w:right w:w="0" w:type="dxa"/>
            </w:tcMar>
            <w:vAlign w:val="center"/>
          </w:tcPr>
          <w:p>
            <w:pPr>
              <w:pStyle w:val="TableContents"/>
              <w:bidi w:val="0"/>
              <w:spacing w:lineRule="auto" w:line="333" w:before="160" w:after="160"/>
              <w:jc w:val="both"/>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333" w:before="160" w:after="160"/>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160" w:after="160"/>
              <w:jc w:val="both"/>
              <w:rPr/>
            </w:pPr>
            <w:r>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1F1F1F"/>
                <w:sz w:val="20"/>
              </w:rPr>
            </w:pPr>
            <w:r>
              <w:rPr>
                <w:rFonts w:ascii="Times New Roman;serif" w:hAnsi="Times New Roman;serif"/>
                <w:b w:val="false"/>
                <w:color w:val="1F1F1F"/>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080"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208"/>
        <w:gridCol w:w="208"/>
        <w:gridCol w:w="213"/>
        <w:gridCol w:w="109"/>
        <w:gridCol w:w="109"/>
        <w:gridCol w:w="109"/>
        <w:gridCol w:w="586"/>
        <w:gridCol w:w="586"/>
        <w:gridCol w:w="83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/s/ Lon Ensler </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 Ensler </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August 25,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3535</Characters>
  <CharactersWithSpaces>4125</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