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3051F2"/>
          <w:sz w:val="20"/>
        </w:rPr>
      </w:pPr>
      <w:r>
        <w:rPr>
          <w:rFonts w:ascii="Times New Roman;sans-serif" w:hAnsi="Times New Roman;sans-serif"/>
          <w:b w:val="false"/>
          <w:color w:val="3051F2"/>
          <w:sz w:val="20"/>
        </w:rPr>
        <w:t>Table of Contents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345"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001-39128</w:t>
      </w:r>
    </w:p>
    <w:p>
      <w:pPr>
        <w:pStyle w:val="TextBody"/>
        <w:bidi w:val="0"/>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Momentus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84-1905538</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3901 N. First Street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San Jose, California</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95134</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45" w:before="200" w:after="283"/>
        <w:jc w:val="center"/>
        <w:rPr>
          <w:rFonts w:ascii="Times New Roman;sans-serif" w:hAnsi="Times New Roman;sans-serif"/>
          <w:b/>
          <w:color w:val="000000"/>
          <w:sz w:val="20"/>
        </w:rPr>
      </w:pPr>
      <w:r>
        <w:rPr>
          <w:rFonts w:ascii="Times New Roman;sans-serif" w:hAnsi="Times New Roman;sans-serif"/>
          <w:b/>
          <w:color w:val="000000"/>
          <w:sz w:val="20"/>
        </w:rPr>
        <w:t>(650) 564-7820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288" w:type="dxa"/>
        <w:jc w:val="left"/>
        <w:tblInd w:w="0" w:type="dxa"/>
        <w:tblLayout w:type="fixed"/>
        <w:tblCellMar>
          <w:top w:w="28" w:type="dxa"/>
          <w:left w:w="28" w:type="dxa"/>
          <w:bottom w:w="28" w:type="dxa"/>
          <w:right w:w="28" w:type="dxa"/>
        </w:tblCellMar>
      </w:tblPr>
      <w:tblGrid>
        <w:gridCol w:w="711"/>
        <w:gridCol w:w="623"/>
        <w:gridCol w:w="630"/>
        <w:gridCol w:w="539"/>
        <w:gridCol w:w="539"/>
        <w:gridCol w:w="541"/>
        <w:gridCol w:w="1085"/>
        <w:gridCol w:w="1085"/>
        <w:gridCol w:w="1535"/>
      </w:tblGrid>
      <w:tr>
        <w:trPr/>
        <w:tc>
          <w:tcPr>
            <w:tcW w:w="7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9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r>
        <w:trPr/>
        <w:tc>
          <w:tcPr>
            <w:tcW w:w="19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MNTSW</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Stock Market LLC</w:t>
            </w:r>
          </w:p>
        </w:tc>
      </w:tr>
    </w:tbl>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 xml:space="preserve">x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3051F2"/>
          <w:sz w:val="20"/>
        </w:rPr>
      </w:pPr>
      <w:r>
        <w:rPr>
          <w:rFonts w:ascii="Times New Roman;sans-serif" w:hAnsi="Times New Roman;sans-serif"/>
          <w:b w:val="false"/>
          <w:color w:val="3051F2"/>
          <w:sz w:val="20"/>
        </w:rPr>
        <w:t>Table of Contents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both"/>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120" w:after="283"/>
        <w:jc w:val="both"/>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 had outstanding 25,540,419 shares of Class A common stock as of September 30,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1" w:type="dxa"/>
        <w:jc w:val="center"/>
        <w:tblInd w:w="0" w:type="dxa"/>
        <w:tblLayout w:type="fixed"/>
        <w:tblCellMar>
          <w:top w:w="28" w:type="dxa"/>
          <w:left w:w="28" w:type="dxa"/>
          <w:bottom w:w="28" w:type="dxa"/>
          <w:right w:w="28" w:type="dxa"/>
        </w:tblCellMar>
      </w:tblPr>
      <w:tblGrid>
        <w:gridCol w:w="2876"/>
        <w:gridCol w:w="2528"/>
        <w:gridCol w:w="2546"/>
        <w:gridCol w:w="158"/>
        <w:gridCol w:w="158"/>
        <w:gridCol w:w="225"/>
      </w:tblGrid>
      <w:tr>
        <w:trPr/>
        <w:tc>
          <w:tcPr>
            <w:tcW w:w="2876"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06">
              <w:r>
                <w:rPr>
                  <w:rStyle w:val="InternetLink"/>
                  <w:rFonts w:ascii="Times New Roman;sans-serif" w:hAnsi="Times New Roman;sans-serif"/>
                  <w:b w:val="false"/>
                  <w:strike w:val="false"/>
                  <w:dstrike w:val="false"/>
                  <w:color w:val="000000"/>
                  <w:sz w:val="20"/>
                  <w:u w:val="none"/>
                  <w:effect w:val="none"/>
                </w:rPr>
                <w:t xml:space="preserve">Part I - Financial Information </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44e72f3852be4c91946ba70ac7b62b8d_106">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09">
              <w:r>
                <w:rPr>
                  <w:rStyle w:val="InternetLink"/>
                  <w:rFonts w:ascii="Times New Roman;sans-serif" w:hAnsi="Times New Roman;sans-serif"/>
                  <w:b w:val="false"/>
                  <w:strike w:val="false"/>
                  <w:dstrike w:val="false"/>
                  <w:color w:val="000000"/>
                  <w:sz w:val="20"/>
                  <w:u w:val="none"/>
                  <w:effect w:val="none"/>
                </w:rPr>
                <w:t>Item 1. Consolidated Interim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09">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30">
              <w:r>
                <w:rPr>
                  <w:rStyle w:val="InternetLink"/>
                  <w:rFonts w:ascii="Times New Roman;sans-serif" w:hAnsi="Times New Roman;sans-serif"/>
                  <w:b w:val="false"/>
                  <w:strike w:val="false"/>
                  <w:dstrike w:val="false"/>
                  <w:color w:val="000000"/>
                  <w:sz w:val="20"/>
                  <w:u w:val="none"/>
                  <w:effect w:val="non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30">
              <w:r>
                <w:rPr>
                  <w:rStyle w:val="InternetLink"/>
                  <w:rFonts w:ascii="Times New Roman;sans-serif" w:hAnsi="Times New Roman;sans-serif"/>
                  <w:b w:val="false"/>
                  <w:strike w:val="false"/>
                  <w:dstrike w:val="false"/>
                  <w:color w:val="000000"/>
                  <w:sz w:val="20"/>
                  <w:u w:val="none"/>
                  <w:effect w:val="none"/>
                </w:rPr>
                <w:t>5</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33">
              <w:r>
                <w:rPr>
                  <w:rStyle w:val="InternetLink"/>
                  <w:rFonts w:ascii="Times New Roman;sans-serif" w:hAnsi="Times New Roman;sans-serif"/>
                  <w:b w:val="false"/>
                  <w:strike w:val="false"/>
                  <w:dstrike w:val="false"/>
                  <w:color w:val="000000"/>
                  <w:sz w:val="20"/>
                  <w:u w:val="none"/>
                  <w:effect w:val="non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33">
              <w:r>
                <w:rPr>
                  <w:rStyle w:val="InternetLink"/>
                  <w:rFonts w:ascii="Times New Roman;sans-serif" w:hAnsi="Times New Roman;sans-serif"/>
                  <w:b w:val="false"/>
                  <w:strike w:val="false"/>
                  <w:dstrike w:val="false"/>
                  <w:color w:val="000000"/>
                  <w:sz w:val="20"/>
                  <w:u w:val="none"/>
                  <w:effect w:val="none"/>
                </w:rPr>
                <w:t>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36">
              <w:r>
                <w:rPr>
                  <w:rStyle w:val="InternetLink"/>
                  <w:rFonts w:ascii="Times New Roman;sans-serif" w:hAnsi="Times New Roman;sans-serif"/>
                  <w:b w:val="false"/>
                  <w:strike w:val="false"/>
                  <w:dstrike w:val="false"/>
                  <w:color w:val="000000"/>
                  <w:sz w:val="20"/>
                  <w:u w:val="none"/>
                  <w:effect w:val="non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36">
              <w:r>
                <w:rPr>
                  <w:rStyle w:val="InternetLink"/>
                  <w:rFonts w:ascii="Times New Roman;sans-serif" w:hAnsi="Times New Roman;sans-serif"/>
                  <w:b w:val="false"/>
                  <w:strike w:val="false"/>
                  <w:dstrike w:val="false"/>
                  <w:color w:val="000000"/>
                  <w:sz w:val="20"/>
                  <w:u w:val="none"/>
                  <w:effect w:val="none"/>
                </w:rPr>
                <w:t>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39">
              <w:r>
                <w:rPr>
                  <w:rStyle w:val="InternetLink"/>
                  <w:rFonts w:ascii="Times New Roman;sans-serif" w:hAnsi="Times New Roman;sans-serif"/>
                  <w:b w:val="false"/>
                  <w:strike w:val="false"/>
                  <w:dstrike w:val="false"/>
                  <w:color w:val="000000"/>
                  <w:sz w:val="20"/>
                  <w:u w:val="none"/>
                  <w:effect w:val="non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39">
              <w:r>
                <w:rPr>
                  <w:rStyle w:val="InternetLink"/>
                  <w:rFonts w:ascii="Times New Roman;sans-serif" w:hAnsi="Times New Roman;sans-serif"/>
                  <w:b w:val="false"/>
                  <w:strike w:val="false"/>
                  <w:dstrike w:val="false"/>
                  <w:color w:val="000000"/>
                  <w:sz w:val="20"/>
                  <w:u w:val="none"/>
                  <w:effect w:val="none"/>
                </w:rPr>
                <w:t>8</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142">
              <w:r>
                <w:rPr>
                  <w:rStyle w:val="InternetLink"/>
                  <w:rFonts w:ascii="Times New Roman;sans-serif" w:hAnsi="Times New Roman;sans-serif"/>
                  <w:b w:val="false"/>
                  <w:strike w:val="false"/>
                  <w:dstrike w:val="false"/>
                  <w:color w:val="000080"/>
                  <w:sz w:val="20"/>
                  <w:u w:val="single"/>
                  <w:effect w:val="none"/>
                </w:rPr>
                <w:t xml:space="preserve">Notes to the </w:t>
              </w:r>
            </w:hyperlink>
            <w:hyperlink w:anchor="i44e72f3852be4c91946ba70ac7b62b8d_109">
              <w:r>
                <w:rPr>
                  <w:rStyle w:val="InternetLink"/>
                  <w:rFonts w:ascii="Times New Roman;sans-serif" w:hAnsi="Times New Roman;sans-serif"/>
                  <w:b w:val="false"/>
                  <w:strike w:val="false"/>
                  <w:dstrike w:val="false"/>
                  <w:color w:val="000080"/>
                  <w:sz w:val="20"/>
                  <w:u w:val="single"/>
                  <w:effect w:val="none"/>
                </w:rPr>
                <w:t>Consolidated Interim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142">
              <w:r>
                <w:rPr>
                  <w:rStyle w:val="InternetLink"/>
                  <w:rFonts w:ascii="Times New Roman;sans-serif" w:hAnsi="Times New Roman;sans-serif"/>
                  <w:b w:val="false"/>
                  <w:strike w:val="false"/>
                  <w:dstrike w:val="false"/>
                  <w:color w:val="000000"/>
                  <w:sz w:val="20"/>
                  <w:u w:val="none"/>
                  <w:effect w:val="none"/>
                </w:rPr>
                <w:t>9</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02">
              <w:r>
                <w:rPr>
                  <w:rStyle w:val="InternetLink"/>
                  <w:rFonts w:ascii="Times New Roman;sans-serif" w:hAnsi="Times New Roman;sans-serif"/>
                  <w:b w:val="false"/>
                  <w:strike w:val="false"/>
                  <w:dstrike w:val="false"/>
                  <w:color w:val="000000"/>
                  <w:sz w:val="20"/>
                  <w:u w:val="none"/>
                  <w:effect w:val="none"/>
                </w:rPr>
                <w:t>Item 2. Management's Discussion and Analysis of Financial Condition and Results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02">
              <w:r>
                <w:rPr>
                  <w:rStyle w:val="InternetLink"/>
                  <w:rFonts w:ascii="Times New Roman;sans-serif" w:hAnsi="Times New Roman;sans-serif"/>
                  <w:b w:val="false"/>
                  <w:strike w:val="false"/>
                  <w:dstrike w:val="false"/>
                  <w:color w:val="000000"/>
                  <w:sz w:val="20"/>
                  <w:u w:val="none"/>
                  <w:effect w:val="none"/>
                </w:rPr>
                <w:t>36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Quantitative and Qualitative Disclosures About Market Risk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56">
              <w:r>
                <w:rPr>
                  <w:rStyle w:val="InternetLink"/>
                  <w:rFonts w:ascii="Times New Roman;sans-serif" w:hAnsi="Times New Roman;sans-serif"/>
                  <w:b w:val="false"/>
                  <w:strike w:val="false"/>
                  <w:dstrike w:val="false"/>
                  <w:color w:val="000000"/>
                  <w:sz w:val="20"/>
                  <w:u w:val="none"/>
                  <w:effect w:val="none"/>
                </w:rPr>
                <w:t>46</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59">
              <w:r>
                <w:rPr>
                  <w:rStyle w:val="InternetLink"/>
                  <w:rFonts w:ascii="Times New Roman;sans-serif" w:hAnsi="Times New Roman;sans-serif"/>
                  <w:b w:val="false"/>
                  <w:strike w:val="false"/>
                  <w:dstrike w:val="false"/>
                  <w:color w:val="000000"/>
                  <w:sz w:val="20"/>
                  <w:u w:val="none"/>
                  <w:effect w:val="none"/>
                </w:rPr>
                <w:t xml:space="preserve">Item 4. Controls and Procedures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59">
              <w:r>
                <w:rPr>
                  <w:rStyle w:val="InternetLink"/>
                  <w:rFonts w:ascii="Times New Roman;sans-serif" w:hAnsi="Times New Roman;sans-serif"/>
                  <w:b w:val="false"/>
                  <w:strike w:val="false"/>
                  <w:dstrike w:val="false"/>
                  <w:color w:val="000000"/>
                  <w:sz w:val="20"/>
                  <w:u w:val="none"/>
                  <w:effect w:val="none"/>
                </w:rPr>
                <w:t>46</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62">
              <w:r>
                <w:rPr>
                  <w:rStyle w:val="InternetLink"/>
                  <w:rFonts w:ascii="Times New Roman;sans-serif" w:hAnsi="Times New Roman;sans-serif"/>
                  <w:b w:val="false"/>
                  <w:strike w:val="false"/>
                  <w:dstrike w:val="false"/>
                  <w:color w:val="000000"/>
                  <w:sz w:val="20"/>
                  <w:u w:val="none"/>
                  <w:effect w:val="none"/>
                </w:rPr>
                <w:t>Part II -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62">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65">
              <w:r>
                <w:rPr>
                  <w:rStyle w:val="InternetLink"/>
                  <w:rFonts w:ascii="Times New Roman;sans-serif" w:hAnsi="Times New Roman;sans-serif"/>
                  <w:b w:val="false"/>
                  <w:strike w:val="false"/>
                  <w:dstrike w:val="false"/>
                  <w:color w:val="000000"/>
                  <w:sz w:val="20"/>
                  <w:u w:val="none"/>
                  <w:effect w:val="non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65">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68">
              <w:r>
                <w:rPr>
                  <w:rStyle w:val="InternetLink"/>
                  <w:rFonts w:ascii="Times New Roman;sans-serif" w:hAnsi="Times New Roman;sans-serif"/>
                  <w:b w:val="false"/>
                  <w:strike w:val="false"/>
                  <w:dstrike w:val="false"/>
                  <w:color w:val="000000"/>
                  <w:sz w:val="20"/>
                  <w:u w:val="none"/>
                  <w:effect w:val="none"/>
                </w:rPr>
                <w:t>Item 1A. Risk Factors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68">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71">
              <w:r>
                <w:rPr>
                  <w:rStyle w:val="InternetLink"/>
                  <w:rFonts w:ascii="Times New Roman;sans-serif" w:hAnsi="Times New Roman;sans-serif"/>
                  <w:b w:val="false"/>
                  <w:strike w:val="false"/>
                  <w:dstrike w:val="false"/>
                  <w:color w:val="000000"/>
                  <w:sz w:val="20"/>
                  <w:u w:val="none"/>
                  <w:effect w:val="non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71">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74">
              <w:r>
                <w:rPr>
                  <w:rStyle w:val="InternetLink"/>
                  <w:rFonts w:ascii="Times New Roman;sans-serif" w:hAnsi="Times New Roman;sans-serif"/>
                  <w:b w:val="false"/>
                  <w:strike w:val="false"/>
                  <w:dstrike w:val="false"/>
                  <w:color w:val="000000"/>
                  <w:sz w:val="20"/>
                  <w:u w:val="none"/>
                  <w:effect w:val="none"/>
                </w:rPr>
                <w:t xml:space="preserve">Item 3. Defaults Upon Senior Securities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74">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77">
              <w:r>
                <w:rPr>
                  <w:rStyle w:val="InternetLink"/>
                  <w:rFonts w:ascii="Times New Roman;sans-serif" w:hAnsi="Times New Roman;sans-serif"/>
                  <w:b w:val="false"/>
                  <w:strike w:val="false"/>
                  <w:dstrike w:val="false"/>
                  <w:color w:val="000000"/>
                  <w:sz w:val="20"/>
                  <w:u w:val="none"/>
                  <w:effect w:val="none"/>
                </w:rPr>
                <w:t xml:space="preserve">Item 4. Mine Safety Disclosures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77">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80">
              <w:r>
                <w:rPr>
                  <w:rStyle w:val="InternetLink"/>
                  <w:rFonts w:ascii="Times New Roman;sans-serif" w:hAnsi="Times New Roman;sans-serif"/>
                  <w:b w:val="false"/>
                  <w:strike w:val="false"/>
                  <w:dstrike w:val="false"/>
                  <w:color w:val="000000"/>
                  <w:sz w:val="20"/>
                  <w:u w:val="none"/>
                  <w:effect w:val="none"/>
                </w:rPr>
                <w:t>Item 5. Other Information</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80">
              <w:r>
                <w:rPr>
                  <w:rStyle w:val="InternetLink"/>
                  <w:rFonts w:ascii="Times New Roman;sans-serif" w:hAnsi="Times New Roman;sans-serif"/>
                  <w:b w:val="false"/>
                  <w:strike w:val="false"/>
                  <w:dstrike w:val="false"/>
                  <w:color w:val="000000"/>
                  <w:sz w:val="20"/>
                  <w:u w:val="none"/>
                  <w:effect w:val="none"/>
                </w:rPr>
                <w:t>47</w:t>
              </w:r>
            </w:hyperlink>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92">
              <w:r>
                <w:rPr>
                  <w:rStyle w:val="InternetLink"/>
                  <w:rFonts w:ascii="Times New Roman;sans-serif" w:hAnsi="Times New Roman;sans-serif"/>
                  <w:b w:val="false"/>
                  <w:strike w:val="false"/>
                  <w:dstrike w:val="false"/>
                  <w:color w:val="000000"/>
                  <w:sz w:val="20"/>
                  <w:u w:val="none"/>
                  <w:effect w:val="none"/>
                </w:rPr>
                <w:t xml:space="preserve">Item 6. Exhibits </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92">
              <w:r>
                <w:rPr>
                  <w:rStyle w:val="InternetLink"/>
                  <w:rFonts w:ascii="Times New Roman;sans-serif" w:hAnsi="Times New Roman;sans-serif"/>
                  <w:b w:val="false"/>
                  <w:strike w:val="false"/>
                  <w:dstrike w:val="false"/>
                  <w:color w:val="000000"/>
                  <w:sz w:val="20"/>
                  <w:u w:val="none"/>
                  <w:effect w:val="none"/>
                </w:rPr>
                <w:t>48</w:t>
              </w:r>
            </w:hyperlink>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4e72f3852be4c91946ba70ac7b62b8d_298">
              <w:r>
                <w:rPr>
                  <w:rStyle w:val="InternetLink"/>
                  <w:rFonts w:ascii="Times New Roman;sans-serif" w:hAnsi="Times New Roman;sans-serif"/>
                  <w:b w:val="false"/>
                  <w:strike w:val="false"/>
                  <w:dstrike w:val="false"/>
                  <w:color w:val="000000"/>
                  <w:sz w:val="20"/>
                  <w:u w:val="none"/>
                  <w:effect w:val="none"/>
                </w:rPr>
                <w:t xml:space="preserve">Signatures </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4e72f3852be4c91946ba70ac7b62b8d_298">
              <w:r>
                <w:rPr>
                  <w:rStyle w:val="InternetLink"/>
                  <w:rFonts w:ascii="Times New Roman;sans-serif" w:hAnsi="Times New Roman;sans-serif"/>
                  <w:b w:val="false"/>
                  <w:strike w:val="false"/>
                  <w:dstrike w:val="false"/>
                  <w:color w:val="000000"/>
                  <w:sz w:val="20"/>
                  <w:u w:val="none"/>
                  <w:effect w:val="non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operations and business plan; the results of the Company’s evaluation of the strategic alternatives and the risks associated with any transactions pursued as a results thereof; the ability of the Company to obtain licenses and government approvals for its missions, which are essential to its operations; successful completion of our efforts to prepare our spacecraft for flight, that the vehicles that we plan to operate in future missions will be ready on time, or that they will operate as intended; the ability of the Company to effectively market and sell satellite buses; the ability of the Company to protect its intellectual property and trade secrets; the development of markets for satellite transport and in-orbit services; the ability of the Company to develop, test and validate its technology, including its water plasma propulsion technology;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160"/>
        <w:jc w:val="both"/>
        <w:rPr/>
      </w:pPr>
      <w:r>
        <w:rPr>
          <w:rFonts w:ascii="Times New Roman;sans-serif" w:hAnsi="Times New Roman;sans-serif"/>
          <w:b w:val="false"/>
          <w:color w:val="000000"/>
          <w:sz w:val="20"/>
        </w:rPr>
        <w:t>described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and under Part I, Item 1A. in our Annual Report on Form 10-K filed with the U.S. Securities and Exchange Commission (“SEC”) on June 6, 2024.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June 6, 2024, may not be exhaustive.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16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par value)</w:t>
      </w:r>
    </w:p>
    <w:tbl>
      <w:tblPr>
        <w:tblW w:w="10205" w:type="dxa"/>
        <w:jc w:val="center"/>
        <w:tblInd w:w="0" w:type="dxa"/>
        <w:tblLayout w:type="fixed"/>
        <w:tblCellMar>
          <w:top w:w="28" w:type="dxa"/>
          <w:left w:w="28" w:type="dxa"/>
          <w:bottom w:w="28" w:type="dxa"/>
          <w:right w:w="28" w:type="dxa"/>
        </w:tblCellMar>
      </w:tblPr>
      <w:tblGrid>
        <w:gridCol w:w="3136"/>
        <w:gridCol w:w="2280"/>
        <w:gridCol w:w="2250"/>
        <w:gridCol w:w="212"/>
        <w:gridCol w:w="726"/>
        <w:gridCol w:w="109"/>
        <w:gridCol w:w="109"/>
        <w:gridCol w:w="109"/>
        <w:gridCol w:w="109"/>
        <w:gridCol w:w="225"/>
        <w:gridCol w:w="771"/>
        <w:gridCol w:w="169"/>
      </w:tblGrid>
      <w:tr>
        <w:trPr/>
        <w:tc>
          <w:tcPr>
            <w:tcW w:w="3136"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receivable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current</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 settlement contingency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non-current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$0.00001 par value; 20,000,000 shares authorized and 0 issued and outstanding as of June 30, 2024 and December 31, 2023, respectively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$0.00001 par value; 250,000,000 shares authorized and 16,625,778 issued and outstanding as of June 30, 2024; 250,000,000 shares authorized and 8,283,865 issued and outstanding as of December 31, 2023</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$0.00001 par value; 4,312,500 shares authorized and 0 issued and outstanding as of June 30, 2024 and December 31, 2023, respectively</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(373,047)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20,649 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 except share and per share data)</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59"/>
        <w:gridCol w:w="1450"/>
        <w:gridCol w:w="1457"/>
        <w:gridCol w:w="270"/>
        <w:gridCol w:w="811"/>
        <w:gridCol w:w="109"/>
        <w:gridCol w:w="109"/>
        <w:gridCol w:w="109"/>
        <w:gridCol w:w="109"/>
        <w:gridCol w:w="211"/>
        <w:gridCol w:w="795"/>
        <w:gridCol w:w="109"/>
        <w:gridCol w:w="109"/>
        <w:gridCol w:w="109"/>
        <w:gridCol w:w="109"/>
        <w:gridCol w:w="240"/>
        <w:gridCol w:w="841"/>
        <w:gridCol w:w="109"/>
        <w:gridCol w:w="109"/>
        <w:gridCol w:w="109"/>
        <w:gridCol w:w="109"/>
        <w:gridCol w:w="211"/>
        <w:gridCol w:w="795"/>
        <w:gridCol w:w="157"/>
      </w:tblGrid>
      <w:tr>
        <w:trPr/>
        <w:tc>
          <w:tcPr>
            <w:tcW w:w="165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1,835,777 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interim financial statements</w:t>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 except share data)</w:t>
      </w:r>
      <w:r>
        <w:rPr>
          <w:color w:val="000000"/>
        </w:rPr>
        <w:t xml:space="preserve">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50"/>
        <w:gridCol w:w="711"/>
        <w:gridCol w:w="713"/>
        <w:gridCol w:w="487"/>
        <w:gridCol w:w="489"/>
        <w:gridCol w:w="313"/>
        <w:gridCol w:w="112"/>
        <w:gridCol w:w="112"/>
        <w:gridCol w:w="112"/>
        <w:gridCol w:w="238"/>
        <w:gridCol w:w="439"/>
        <w:gridCol w:w="112"/>
        <w:gridCol w:w="109"/>
        <w:gridCol w:w="109"/>
        <w:gridCol w:w="109"/>
        <w:gridCol w:w="255"/>
        <w:gridCol w:w="1001"/>
        <w:gridCol w:w="131"/>
        <w:gridCol w:w="109"/>
        <w:gridCol w:w="109"/>
        <w:gridCol w:w="109"/>
        <w:gridCol w:w="231"/>
        <w:gridCol w:w="986"/>
        <w:gridCol w:w="119"/>
        <w:gridCol w:w="109"/>
        <w:gridCol w:w="109"/>
        <w:gridCol w:w="109"/>
        <w:gridCol w:w="318"/>
        <w:gridCol w:w="954"/>
        <w:gridCol w:w="241"/>
      </w:tblGrid>
      <w:tr>
        <w:trPr/>
        <w:tc>
          <w:tcPr>
            <w:tcW w:w="11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Common stock – </w:t>
              <w:b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stockholders’ equity</w:t>
            </w:r>
          </w:p>
        </w:tc>
      </w:tr>
      <w:tr>
        <w:trPr/>
        <w:tc>
          <w:tcPr>
            <w:tcW w:w="2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1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8,283,865</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(373,047)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related warrants in registered offering, net of issuance costs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2,220,000 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pre-funded warrants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6,091,280 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(8,313)</w:t>
            </w:r>
          </w:p>
        </w:tc>
        <w:tc>
          <w:tcPr>
            <w:tcW w:w="24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2024</w:t>
            </w:r>
          </w:p>
        </w:tc>
        <w:tc>
          <w:tcPr>
            <w:tcW w:w="12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16,625,778</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384,845 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w:t>
            </w:r>
          </w:p>
        </w:tc>
        <w:tc>
          <w:tcPr>
            <w:tcW w:w="24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12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16,625,778</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386,580 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(388,376)</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80"/>
        <w:gridCol w:w="1066"/>
        <w:gridCol w:w="1070"/>
        <w:gridCol w:w="412"/>
        <w:gridCol w:w="414"/>
        <w:gridCol w:w="311"/>
        <w:gridCol w:w="109"/>
        <w:gridCol w:w="109"/>
        <w:gridCol w:w="109"/>
        <w:gridCol w:w="211"/>
        <w:gridCol w:w="406"/>
        <w:gridCol w:w="109"/>
        <w:gridCol w:w="109"/>
        <w:gridCol w:w="109"/>
        <w:gridCol w:w="109"/>
        <w:gridCol w:w="211"/>
        <w:gridCol w:w="826"/>
        <w:gridCol w:w="109"/>
        <w:gridCol w:w="109"/>
        <w:gridCol w:w="109"/>
        <w:gridCol w:w="109"/>
        <w:gridCol w:w="211"/>
        <w:gridCol w:w="864"/>
        <w:gridCol w:w="109"/>
        <w:gridCol w:w="109"/>
        <w:gridCol w:w="109"/>
        <w:gridCol w:w="109"/>
        <w:gridCol w:w="211"/>
        <w:gridCol w:w="721"/>
        <w:gridCol w:w="156"/>
      </w:tblGrid>
      <w:tr>
        <w:trPr/>
        <w:tc>
          <w:tcPr>
            <w:tcW w:w="148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1415" w:type="dxa"/>
            <w:gridSpan w:val="6"/>
            <w:tcBorders/>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2599" w:type="dxa"/>
            <w:gridSpan w:val="9"/>
            <w:tcBorders/>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related to Section 16 Officer tax coverage exchange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and related warrants in registered offering, net of issuance costs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consulting services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stock options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RSUs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purchase of ESPP</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pre-funded warrants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 stock options, RSAs,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11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MOMENTUS INC.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76" w:before="0" w:after="0"/>
        <w:jc w:val="center"/>
        <w:rPr/>
      </w:pPr>
      <w:r>
        <w:rPr>
          <w:rFonts w:ascii="Times New Roman;sans-serif" w:hAnsi="Times New Roman;sans-serif"/>
          <w:b w:val="false"/>
          <w:i/>
          <w:color w:val="000000"/>
          <w:sz w:val="20"/>
        </w:rPr>
        <w:t>(in thousands)</w:t>
      </w:r>
      <w:r>
        <w:rPr>
          <w:color w:val="000000"/>
        </w:rPr>
        <w:t xml:space="preserve"> </w:t>
      </w:r>
    </w:p>
    <w:tbl>
      <w:tblPr>
        <w:tblW w:w="9968" w:type="dxa"/>
        <w:jc w:val="center"/>
        <w:tblInd w:w="0" w:type="dxa"/>
        <w:tblLayout w:type="fixed"/>
        <w:tblCellMar>
          <w:top w:w="28" w:type="dxa"/>
          <w:left w:w="28" w:type="dxa"/>
          <w:bottom w:w="28" w:type="dxa"/>
          <w:right w:w="28" w:type="dxa"/>
        </w:tblCellMar>
      </w:tblPr>
      <w:tblGrid>
        <w:gridCol w:w="2733"/>
        <w:gridCol w:w="2397"/>
        <w:gridCol w:w="2414"/>
        <w:gridCol w:w="196"/>
        <w:gridCol w:w="721"/>
        <w:gridCol w:w="109"/>
        <w:gridCol w:w="109"/>
        <w:gridCol w:w="109"/>
        <w:gridCol w:w="109"/>
        <w:gridCol w:w="196"/>
        <w:gridCol w:w="721"/>
        <w:gridCol w:w="154"/>
      </w:tblGrid>
      <w:tr>
        <w:trPr/>
        <w:tc>
          <w:tcPr>
            <w:tcW w:w="2733"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 and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and intangible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consulting services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settlement contingency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machinery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machinery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loan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employee stock purchase plan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Section 16 Officer shares for tax coverage exchange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loan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deferred offering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repurchase of common shares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and related warrants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issuance costs related to common stock and related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machinery and equipment in accounts payable and accrued expenses at period 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 in accounts payable and accrued expenses at period end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offering costs in accounts payable and accrued expenses at period end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consolidated interim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INTERIM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 Nature of Operations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Momentus Inc. (together with its consolidated subsidiaries “Momentus” or the “Company”) is a U.S. commercial space company that offers satellites, satellite buses, satellite technologies, and space infrastructure services, including in-space transportation, hosted payloads and in-orbit services. Momentus is making new ways of operating in space possible with its in-space transfer and service vehicles, powered by an innovative, space-proven water plasma-based propulsion system.</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has launched four missions to date, deployed 17 customer satellites, and provided hosted payload services. Three of these missions involved operation of the Vigoride OSV in orbit. During these three Vigoride missions, the system and technology were tested repeatedly. Improvements based on lessons learned during these missions were rapidly incorporated. As a result of these three missions, the Vigoride OSV has been successfully demonstrated in space and accumulated significant flight heritage. The Company has produced its next Orbital Service Vehicle, Vigoride 7, that it intends to utilize on a future mission or for use as a satellite bus.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Vigoride Orbital Service Vehicle, Momentus is now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Momentus has completed work in support of its Small Business Innovation Research contract from the Space Development Agency that was signed in August 2023. This project's scope involved making tailored modifications to the system underlying the M-1000 satellite bus and Vigoride OSV to support a full range of U.S. Department of Defense (DoD) payloads. Some of these areas include adding a secure payload interface, optical communications terminals, a high-volume data recorder, and improving the modularity of the propulsion system.</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12, 2021, the Company consummated a merger pursuant to the terms of the Agreement and Plan of Merger, dated October 7, 2020, and as amended on March 5, 2021, April 6, 2021, and June 29, 2021 (the “Merger Agreement”), by and among Stable Road Acquisition Corp (“SRAC”), Project Marvel First Merger Sub, Inc., a Delaware corporation and a direct, wholly-owned subsidiary of SRAC (“First Merger Sub”), and Project Marvel Second Merger Sub, LLC, a Delaware limited liability company and a direct, wholly-owned subsidiary of SRAC (“Second Merger Sub”), pursuant to which First Merger Sub merged with and into Momentus Inc., a Delaware corporation (“Legacy Momentus”) with Legacy Momentus as the surviving corporation of the First Merger Sub, and immediately following which Legacy Momentus merged with and into the Second Merger Sub, with the Second Merger Sub as the surviving entity (the “Business Combination”). In connection with the closing of the Business Combination (“Closing”), the Company changed its name from Stable Road Acquisition Corp. to Momentus Inc., and Legacy Momentus changed its name to Momentus Space, LLC. </w:t>
      </w:r>
    </w:p>
    <w:p>
      <w:pPr>
        <w:pStyle w:val="TextBody"/>
        <w:bidi w:val="0"/>
        <w:spacing w:lineRule="auto" w:line="288" w:before="160" w:after="283"/>
        <w:jc w:val="both"/>
        <w:rPr/>
      </w:pPr>
      <w:r>
        <w:rPr>
          <w:rFonts w:ascii="Times New Roman;sans-serif" w:hAnsi="Times New Roman;sans-serif"/>
          <w:b w:val="false"/>
          <w:color w:val="000000"/>
          <w:sz w:val="20"/>
        </w:rPr>
        <w:t xml:space="preserve">The Business Combination was accounted for as a reverse recapitalization under ASC Topic 805,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rPr>
        <w:t>, with SRAC and its two wholly-owned subsidiaries. The Company received gross proceeds of $247.3 million upon the closing of the Business Combination. Public and private warrants of SRAC were assumed by the Company as a result of the Business Combination.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interim financial statements have been prepared assuming that the Company will continue as a going concern. The going concern basis of presentation assumes that the Company will continue in operation one year after the date these consolidated interim financial statements are issued and will be able to realize its assets and discharge its liabilities and commitments in the normal course of business. The Company’s ability to continue as a going concern is dependent on the Company’s ability to successfully raise capital to fund its business operations and execute on its business plan. To date the Company remains heavily focused on growth and 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1. Nature of Operations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of its proprietary technology, and as a result, it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 of $15.3 million for the six months ended June 30, 2024, and accumulated deficit of $388.4 million as of June 30, 2024. Additionally, the Company used net cash of $6.4 million to fund its operating activities for the six months ended June 30, 2024, and had cash and cash equivalents of $0.9 million as of June 30, 2024. </w:t>
      </w:r>
    </w:p>
    <w:p>
      <w:pPr>
        <w:pStyle w:val="TextBody"/>
        <w:bidi w:val="0"/>
        <w:spacing w:lineRule="auto" w:line="288" w:before="160" w:after="283"/>
        <w:jc w:val="both"/>
        <w:rPr/>
      </w:pPr>
      <w:r>
        <w:rPr>
          <w:rFonts w:ascii="Times New Roman;sans-serif" w:hAnsi="Times New Roman;sans-serif"/>
          <w:b w:val="false"/>
          <w:color w:val="000000"/>
          <w:sz w:val="20"/>
        </w:rPr>
        <w:t xml:space="preserve">Pursuant to the requirements of ASC Topic 205-40, </w:t>
      </w:r>
      <w:r>
        <w:rPr>
          <w:rFonts w:ascii="Times New Roman;sans-serif" w:hAnsi="Times New Roman;sans-serif"/>
          <w:b w:val="false"/>
          <w:i/>
          <w:color w:val="000000"/>
          <w:sz w:val="20"/>
        </w:rPr>
        <w:t>Disclosure of Uncertainties about an Entity’s Ability to Continue as a Going Concern</w:t>
      </w:r>
      <w:r>
        <w:rPr>
          <w:rFonts w:ascii="Times New Roman;sans-serif" w:hAnsi="Times New Roman;sans-serif"/>
          <w:b w:val="false"/>
          <w:color w:val="000000"/>
          <w:sz w:val="20"/>
        </w:rPr>
        <w:t>, management must evaluate whether there are conditions or events, considered in the aggregate, that raise substantial doubt about the Company’s ability to continue as a going concern for one year from the date these consolidated interim financial statements are issued. This evaluation does not take into consideration the potential mitigating effect of management’s plans that have not been fully implemented or are not within control of the Company as of the date the consolidated interim financial statements are issued. When substantial doubt exists,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interim financial statements are issued, and (2) it is probable that the plans, when implemented, will mitigate the relevant conditions or events that raise substantial doubt about the Company’s ability to continue as a going concern within one year after the date that the consolidated interim financial statements are issued.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of the consolidated interim financial statements for the six months ended June 30, 2024, management conducted an evaluation and concluded that there were conditions and events, considered in the aggregate, which raised substantial doubt as to the Company’s ability to continue as a going concern within twelve months after the date of the issuance of such consolidated interim financial statements. The Company believes that its current level of cash and cash equivalents are not sufficient to fund its regular operations, scaling of commercial production, and maintain its existing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all opportunities to access additional capital through any available means.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pStyle w:val="TextBody"/>
        <w:bidi w:val="0"/>
        <w:spacing w:lineRule="auto" w:line="256" w:before="160" w:after="283"/>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the Company’s preferred stock were not affected by the reverse stock split.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on the effective date of the reverse stock split, all options, warrants and other convertible securities of the Company outstanding immediately prior to the reverse stock split were adjusted by dividing the number of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1. Nature of Operations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Class A common stock into which the options, warrants and other convertible securities are exercisable or convertible by 50 and multiplying the exercise or conversion price thereof by 50,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issued and issuable under the Company’s equity compensation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retroactively adjusted all periods presented for the effects of the stock split. See Note 9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Consolidated Interim Financial Information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interim financial statements have been prepared in accordance with accounting principles generally accepted in the United States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2023 was derived from the Company’s audited financial statements but does not include all disclosures required by GAAP for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have been prepared on the same basis as the audited consolidated financial statements. The accompanying interim consolidated financial statements contain all adjustments that are necessary to present fairly the Company’s financial position as of June 30, 2024 and December 31, 2023, the results of operations for the three and six months ended June 30, 2024 and 2023, the statement of stockholders’ equity for the three and six months ended June 30, 2024 and 2023, and cash flows for the six months ended June 30, 2024 and 2023. Such adjustments are of a normal and recurring nature. The results for the three and six months ended June 30, 2024 are not necessarily indicative of the results for the year ending December 31, 2024, or for any future period. These interim consolidated financial statements should be read in conjunction with the audited financial statements as of and for the years ended December 31, 2023 and 2022, filed with the SEC in our Annual Report on Form 10-K filed by the Company on June 6, 2024 and Form 10-K/A filed on September 16, 2024.</w:t>
      </w:r>
    </w:p>
    <w:p>
      <w:pPr>
        <w:pStyle w:val="TextBody"/>
        <w:bidi w:val="0"/>
        <w:spacing w:lineRule="auto" w:line="288" w:before="160" w:after="283"/>
        <w:jc w:val="both"/>
        <w:rPr/>
      </w:pPr>
      <w:r>
        <w:rPr>
          <w:rFonts w:ascii="Times New Roman;sans-serif" w:hAnsi="Times New Roman;sans-serif"/>
          <w:b/>
          <w:i/>
          <w:color w:val="000000"/>
          <w:sz w:val="20"/>
        </w:rPr>
        <w:t>Principles of Consolidation</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interim financial statements include the accounts of the Company and its subsidiaries. All intercompany transactions and balances have been eliminated upon consolidation.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interim financial statements in conformity with GAAP requires management to make estimates and assumptions that affect the reported amounts in the consolidated interim financial statements and accompanying notes. Management bases its estimates on historical experience and 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 and has elected to take advantage of the benefits of the extended transition period for new or revised financial accounting standards. The Company will remain an emerging growth company until the earliest of (i) the last day of the fiscal year in which the market value of Class A common stock that is held by non-affiliates exceeds $700 million as of the end of that year’s second fiscal quarter, (ii) the last day of the fiscal year in which the Company after the consummation of the Business Combination has total annual gross revenue of $1.2 billion or more during such fiscal year (as indexed for inflation), (iii) the date on which the Company has issued more than $1 billion in non-convertible debt in the prior three-year period or (iv) December 31, 2024. The Company expects to continue to take advantage of the benefits of the extended transition period, although it may decide to early adopt such new or revised accounting standards to the extent permitted by such standards.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on hand, cash in bank with no restrictions, as well as highly liquid investments which are unrestricted as to withdrawal or use, and which have original maturities of three months or less when initially purchased.</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places its cash in the bank, which may at times be in excess of the Federal Deposit Insurance Corporation insurance limits of $250,000 per depositor, with high credit quality financial institutions and attempts to limit the amount of credit exposure with any one institution.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cash primarily represents deposited cash that is restricted by financial institutions. $0.4 million is restricted primarily as collateral for a letter of credit issued to the Company’s landlord in accordance with the terms of a lease agreement entered into in December 2020, and is classified as a non-current asset as it will be returned to the Company at the end of the lease which is expected to occur beyond one year from June 30, 2024. In event of default, the landlord can take over the restricted cash from the restricted cash bank account.</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prepays for certain launch costs to third-party providers that will carry the transport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cost of sales and research and development expense upon the release of our payload. The allocation is determined based on the distribution between customer and our payload weight on each launch.</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Company had deferred fulfillment and prepaid launch costs of $0.4 million and $1.7 million, respectively, with $0 and $1.3 million recorded within prepaids and other current assets, respectively, and $0.4 million and $0.4 million recorded within other non-current asset, respectively, in our condensed consolidated balance sheets.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Property, Machinery and Equipment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tbl>
      <w:tblPr>
        <w:tblW w:w="9115" w:type="dxa"/>
        <w:jc w:val="left"/>
        <w:tblInd w:w="0" w:type="dxa"/>
        <w:tblLayout w:type="fixed"/>
        <w:tblCellMar>
          <w:top w:w="28" w:type="dxa"/>
          <w:left w:w="28" w:type="dxa"/>
          <w:bottom w:w="28" w:type="dxa"/>
          <w:right w:w="28" w:type="dxa"/>
        </w:tblCellMar>
      </w:tblPr>
      <w:tblGrid>
        <w:gridCol w:w="820"/>
        <w:gridCol w:w="719"/>
        <w:gridCol w:w="725"/>
        <w:gridCol w:w="109"/>
        <w:gridCol w:w="109"/>
        <w:gridCol w:w="109"/>
        <w:gridCol w:w="1906"/>
        <w:gridCol w:w="1906"/>
        <w:gridCol w:w="271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712"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Fixed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color w:val="000000"/>
                <w:sz w:val="18"/>
              </w:rPr>
            </w:pPr>
            <w:r>
              <w:rPr>
                <w:rFonts w:ascii="Times New Roman;sans-serif" w:hAnsi="Times New Roman;sans-serif"/>
                <w:b/>
                <w:color w:val="000000"/>
                <w:sz w:val="18"/>
              </w:rPr>
              <w:t>Estimated Useful Life</w:t>
            </w:r>
          </w:p>
        </w:tc>
      </w:tr>
      <w:tr>
        <w:trPr/>
        <w:tc>
          <w:tcPr>
            <w:tcW w:w="2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years</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 (one year to seven years)</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Seven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Costs of maintenance or repairs that do not extend the lives of the respective assets are charged to expenses as incurred.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pStyle w:val="TextBody"/>
        <w:bidi w:val="0"/>
        <w:spacing w:lineRule="auto" w:line="288" w:before="160" w:after="160"/>
        <w:jc w:val="both"/>
        <w:rPr/>
      </w:pPr>
      <w:r>
        <w:rPr>
          <w:rFonts w:ascii="Times New Roman;sans-serif" w:hAnsi="Times New Roman;sans-serif"/>
          <w:b w:val="false"/>
          <w:color w:val="000000"/>
          <w:sz w:val="20"/>
        </w:rPr>
        <w:t xml:space="preserve">In accordance with ASC Topic 350-40, </w:t>
      </w:r>
      <w:r>
        <w:rPr>
          <w:rFonts w:ascii="Times New Roman;sans-serif" w:hAnsi="Times New Roman;sans-serif"/>
          <w:b w:val="false"/>
          <w:i/>
          <w:color w:val="000000"/>
          <w:sz w:val="20"/>
        </w:rPr>
        <w:t>Intangibles</w:t>
      </w:r>
      <w:r>
        <w:rPr>
          <w:rFonts w:ascii="Times New Roman;sans-serif" w:hAnsi="Times New Roman;sans-serif"/>
          <w:b w:val="false"/>
          <w:color w:val="000000"/>
          <w:sz w:val="20"/>
        </w:rPr>
        <w:t>, the Company presents capitalized implementation costs for cloud computing arrangements within prepaid and other current assets, and other non-current assets to properly present the capitalized costs with their related subscription fees.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pPr>
      <w:r>
        <w:rPr>
          <w:rFonts w:ascii="Times New Roman;sans-serif" w:hAnsi="Times New Roman;sans-serif"/>
          <w:b w:val="false"/>
          <w:color w:val="000000"/>
          <w:sz w:val="20"/>
        </w:rPr>
        <w:t xml:space="preserve">The Company estimates loss contingencies in accordance with ASC Sub-Topic 450-20, </w:t>
      </w:r>
      <w:r>
        <w:rPr>
          <w:rFonts w:ascii="Times New Roman;sans-serif" w:hAnsi="Times New Roman;sans-serif"/>
          <w:b w:val="false"/>
          <w:i/>
          <w:color w:val="000000"/>
          <w:sz w:val="20"/>
        </w:rPr>
        <w:t>Loss Contingencies</w:t>
      </w:r>
      <w:r>
        <w:rPr>
          <w:color w:val="000000"/>
        </w:rPr>
        <w:t xml:space="preserve"> </w:t>
      </w:r>
      <w:r>
        <w:rPr>
          <w:rFonts w:ascii="Times New Roman;sans-serif" w:hAnsi="Times New Roman;sans-serif"/>
          <w:b w:val="false"/>
          <w:color w:val="000000"/>
          <w:sz w:val="20"/>
        </w:rPr>
        <w:t>(“ASC 450-20”), which states that a loss contingency shall be accrued by a charge to income if both of the following conditions are met: (i) information available before the consolidated interim financial statements are issued or are available to be issued indicates that it is probable that a liability had been incurred at the date of the consolidated interim financial statements and (ii) the amount of loss can be reasonably estimated. We regularly evaluate current information available to us to determine whether such accruals should be adjusted and whether new accruals are required. Refer to</w:t>
      </w:r>
      <w:r>
        <w:rPr>
          <w:color w:val="000000"/>
        </w:rPr>
        <w:t xml:space="preserve"> </w:t>
      </w:r>
      <w:r>
        <w:rPr>
          <w:rFonts w:ascii="Times New Roman;sans-serif" w:hAnsi="Times New Roman;sans-serif"/>
          <w:b w:val="false"/>
          <w:color w:val="000000"/>
          <w:sz w:val="20"/>
        </w:rPr>
        <w:t>Note 12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also has services available on a ‘stand ready’ basis as needed until the mission reaches its conclusion. The Company recognizes revenue for these in-orbit services ratably over time on a straight-line basis. The Company also enters into contracts to perform analysis and provide engineering services to U.S. Government organizations.</w:t>
      </w:r>
    </w:p>
    <w:p>
      <w:pPr>
        <w:pStyle w:val="TextBody"/>
        <w:bidi w:val="0"/>
        <w:spacing w:lineRule="auto" w:line="288" w:before="160" w:after="160"/>
        <w:jc w:val="both"/>
        <w:rPr/>
      </w:pPr>
      <w:r>
        <w:rPr>
          <w:rFonts w:ascii="Times New Roman;sans-serif" w:hAnsi="Times New Roman;sans-serif"/>
          <w:b w:val="false"/>
          <w:color w:val="000000"/>
          <w:sz w:val="20"/>
        </w:rPr>
        <w:t>The Company accounts for customer contracts in accordance with ASC Topic 606,</w:t>
      </w:r>
      <w:r>
        <w:rPr>
          <w:color w:val="000000"/>
        </w:rPr>
        <w:t xml:space="preserve">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(“ASC Topic 606”),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and six months ended June 30, 2024 the Company recorded $1.2 million and $1.7 million, respectively, of revenue from U.S. Government. There was no revenue from the U.S. Government, during the three and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its contracts with customers, the Company collects up-front non-refundable deposits prior to launch. As of June 30, 2024 and December 31, 2023, the Company had customer deposit balances of $1.1 million and $1.0 million, respectively, related to signed contracts with customers, including firm orders and options (some of which have already been exercised by customers). These deposits are recorded as contract liabilities in the Company’s condensed consolidated balance sheets. Included in the collected amount as of June 30, 2024 and December 31, 2023, are $0.6 million and $1.0 million, respectively, of non-current deposits.</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recognized $1.7 million of revenue, due to engineering services performed on Space Development Agency agreement, and forfeited customer deposits primarily related to expired options. Of the $1.7 million of revenue recognized, $35 thousand was derived from December 31, 2023 contract liability balance. During the six months ended June 30, 2023, the Company recognized $1.7 million of revenue, due to transportation services performed in Vigoride 5 and Vigoride 6 spaceship launches, on-going hosting services in Vigoride 5, and forfeited customer deposits primarily related to expired options.</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disaggregation of revenue by type is as follows: </w:t>
      </w:r>
    </w:p>
    <w:tbl>
      <w:tblPr>
        <w:tblW w:w="7200" w:type="dxa"/>
        <w:jc w:val="left"/>
        <w:tblInd w:w="0" w:type="dxa"/>
        <w:tblLayout w:type="fixed"/>
        <w:tblCellMar>
          <w:top w:w="28" w:type="dxa"/>
          <w:left w:w="28" w:type="dxa"/>
          <w:bottom w:w="28" w:type="dxa"/>
          <w:right w:w="28" w:type="dxa"/>
        </w:tblCellMar>
      </w:tblPr>
      <w:tblGrid>
        <w:gridCol w:w="879"/>
        <w:gridCol w:w="773"/>
        <w:gridCol w:w="77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Hosted payload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customer deposits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Engineering project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1, observable inputs such as quoted prices in active markets;</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2, inputs other than the quoted prices in active markets that are observable either directly or indirectly; and</w:t>
      </w:r>
    </w:p>
    <w:p>
      <w:pPr>
        <w:pStyle w:val="TextBody"/>
        <w:bidi w:val="0"/>
        <w:spacing w:lineRule="auto" w:line="288" w:before="160" w:after="160"/>
        <w:ind w:left="0" w:right="0" w:hanging="180"/>
        <w:jc w:val="both"/>
        <w:rPr/>
      </w:pPr>
      <w:r>
        <w:rPr>
          <w:color w:val="000000"/>
        </w:rPr>
        <w:t>•</w:t>
      </w:r>
      <w:r>
        <w:rPr>
          <w:rFonts w:ascii="Times New Roman;sans-serif" w:hAnsi="Times New Roman;sans-serif"/>
          <w:b w:val="false"/>
          <w:color w:val="000000"/>
          <w:sz w:val="20"/>
        </w:rPr>
        <w:t>Level 3, unobservable inputs in which there is little or no market data, which requires that the Company develop its own assumptions.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and six months ended June 30, 2024.</w:t>
      </w:r>
    </w:p>
    <w:p>
      <w:pPr>
        <w:pStyle w:val="TextBody"/>
        <w:bidi w:val="0"/>
        <w:spacing w:lineRule="auto" w:line="288" w:before="160" w:after="160"/>
        <w:jc w:val="both"/>
        <w:rPr/>
      </w:pPr>
      <w:r>
        <w:rPr>
          <w:rFonts w:ascii="Times New Roman;sans-serif" w:hAnsi="Times New Roman;sans-serif"/>
          <w:b w:val="false"/>
          <w:color w:val="000000"/>
          <w:sz w:val="20"/>
        </w:rPr>
        <w:t>Certain of the Company’s warrants are recorded as a derivative liability pursuant to ASC Topic 815,</w:t>
      </w:r>
      <w:r>
        <w:rPr>
          <w:color w:val="000000"/>
        </w:rPr>
        <w:t xml:space="preserve"> </w:t>
      </w:r>
      <w:r>
        <w:rPr>
          <w:rFonts w:ascii="Times New Roman;sans-serif" w:hAnsi="Times New Roman;sans-serif"/>
          <w:b w:val="false"/>
          <w:i/>
          <w:color w:val="000000"/>
          <w:sz w:val="20"/>
        </w:rPr>
        <w:t>Derivatives and Hedging</w:t>
      </w:r>
      <w:r>
        <w:rPr>
          <w:color w:val="000000"/>
        </w:rPr>
        <w:t xml:space="preserve"> </w:t>
      </w:r>
      <w:r>
        <w:rPr>
          <w:rFonts w:ascii="Times New Roman;sans-serif" w:hAnsi="Times New Roman;sans-serif"/>
          <w:b w:val="false"/>
          <w:color w:val="000000"/>
          <w:sz w:val="20"/>
        </w:rPr>
        <w:t xml:space="preserve">(“ASC Topic 815”), and are classified within Level 3 of the fair value hierarchy as the Company is using the Black Scholes Option Pricing model. The primary significant unobservable input used in the valuation of the warrants is expected stock price volatility. Expected stock price volatility is based on the actual historical volatility of a group of comparable publicly traded companies observed over a historical period equal to the expected remaining life of the warrants. The risk-free interest rate is based on the U.S. Treasury yield curve in effect on the date of valuation equal to the remaining expected life of the warrants. The expected term was based on the maturity of the warrants, which is 5 years. The dividend yield percentage is zero because the Company does not currently pay dividends, nor does it intend to do so during the expected term of the warrants. Upon conversion of the Legacy Momentus private warrants immediately prior to the business combination, the key valuation input was the closing price of Company’s Class A common stock on the Closing, as the expected term and volatility were immaterial to the pricing model.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stock repurchase agreements with the Co-Founders (see Note 12 for additional information) are recorded as contingent liabilities pursuant to ASC Topic 480, measured at fair value. The stock repurchase agreements are classified within Level 3 of the hierarchy as the fair value is dependent on management assumptions about the likelihood of non-market outcomes. The Company paid $10.0 million to satisfy the stock repurchase agreement contingent liabilities during the three months ended March 31, 2023 (see Note 9 for additional information). There were no transfers between levels of input during the three and six months ended June 30, 2024 and 2023.</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fair values of liabilities subject to recurring remeasurement were as follows:</w:t>
      </w:r>
    </w:p>
    <w:tbl>
      <w:tblPr>
        <w:tblW w:w="5646" w:type="dxa"/>
        <w:jc w:val="left"/>
        <w:tblInd w:w="0" w:type="dxa"/>
        <w:tblLayout w:type="fixed"/>
        <w:tblCellMar>
          <w:top w:w="28" w:type="dxa"/>
          <w:left w:w="28" w:type="dxa"/>
          <w:bottom w:w="28" w:type="dxa"/>
          <w:right w:w="28" w:type="dxa"/>
        </w:tblCellMar>
      </w:tblPr>
      <w:tblGrid>
        <w:gridCol w:w="885"/>
        <w:gridCol w:w="777"/>
        <w:gridCol w:w="783"/>
        <w:gridCol w:w="109"/>
        <w:gridCol w:w="109"/>
        <w:gridCol w:w="109"/>
        <w:gridCol w:w="780"/>
        <w:gridCol w:w="958"/>
        <w:gridCol w:w="437"/>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 Liability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Key assumptions for the Black-Scholes model used to determine the fair value of warrants outstanding as of each period end were as follows:</w:t>
      </w:r>
    </w:p>
    <w:tbl>
      <w:tblPr>
        <w:tblW w:w="5284" w:type="dxa"/>
        <w:jc w:val="left"/>
        <w:tblInd w:w="0" w:type="dxa"/>
        <w:tblLayout w:type="fixed"/>
        <w:tblCellMar>
          <w:top w:w="28" w:type="dxa"/>
          <w:left w:w="28" w:type="dxa"/>
          <w:bottom w:w="28" w:type="dxa"/>
          <w:right w:w="28" w:type="dxa"/>
        </w:tblCellMar>
      </w:tblPr>
      <w:tblGrid>
        <w:gridCol w:w="635"/>
        <w:gridCol w:w="559"/>
        <w:gridCol w:w="561"/>
        <w:gridCol w:w="360"/>
        <w:gridCol w:w="361"/>
        <w:gridCol w:w="711"/>
        <w:gridCol w:w="109"/>
        <w:gridCol w:w="109"/>
        <w:gridCol w:w="109"/>
        <w:gridCol w:w="360"/>
        <w:gridCol w:w="361"/>
        <w:gridCol w:w="1049"/>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14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156.93 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private warrants and stock purchase warrants are recorded as derivative liabilities pursuant to ASC Topic 815 and are classified within Level 3 of the fair value hierarchy as the Company is using the Black Scholes Option Pricing model to calculate fair value. See Note 9 for additional information. Significant unobservable inputs, prior to the Company’s stock being publicly listed, included stock price, volatility and expected term. At the end of each reporting period, changes in fair value during the period are recognized as components of other income within the condensed consolidated statements of operations. The Company will continue to adjust the warrant liability for changes in fair value until the earlier of (i) the exercise or expiration of the warrants or (ii) the redemption of the warrants, at which time the warrants will be reclassified to additional paid-in capital within the condensed consolidated statements of stockholders’ equity.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warrants issued by Momentus Inc. prior to the Business Combination were exercised in connection with the Business Combination and as a result, the Company performed a fair value measurement of those warrants on the Closing and recorded the change in the instruments’ fair values prior to converting them to equity. The warrants assumed by the Company as a result of the Business Combination remain outstanding.</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Business Combination, SRAC issued 225,450 private placement warrants (“Private Warrants”) and 172,500 public warrants (“Public Warrants” and, collectively with the Private Warrants, the “Public and Private Warrants”). Each whole warrant entitles the holder to purchase one share of the Company’s Class A common stock at a price of $575.00 per share, subject to adjustments and will expire five years after the Business Combination or earlier upon redemption or liquidation.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Warrants do not meet the derivative scope exception and are accounted for as derivative liabilities. Specifically, the Private Warrants contain provisions that cause the settlement amounts to be dependent upon the characteristics of the holder of the warrant which is not an input into the pricing of 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the fair value recognized in the condensed consolidated statements of operations at each reporting date. The fair value of the Private Warrants was measured using the Black-Scholes option-pricing model at each measurement date.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Public Warrants are accounted for as equity classified by the Company. On consummation of the Business Combination, the Company recorded equity related to the Public Warrants of $20.2 million, with an offsetting entry to additional paid-in capital. Similarly, on the consummation of the Business Combination, the Company recorded a liability related to the Private Warrants of $31.2 million, with an offsetting entry to additional paid-in capital.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Topic 815, at the initial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Public and Private Warrants noted above, the Company also had other warrants issued and outstanding which were recognized as derivative liabilities in accordance with ASC Topic 815 until they were fully exercised. Accordingly, the Company recognized the warrant instruments as liabilities at fair value and adjusts the instruments to fair value at each reporting period until exercised. The fair value of the warrant liabilities issued were initially measured using the Black-Scholes model and were subsequently remeasured at each reporting period with changes recorded as a component of other income in the Company’s condensed consolidated statements of operations. Derivative warrant liabilities are classified as non-current as their liquidation is not reasonably expected to require the use of current assets or require the creation of current liabilities. See Note 9 for additional information.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Equity Classified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Business Combination, the Company has issued warrants in conjunction with various securities purchase agreements (See Note 9 for additional information). The warrants are freestanding equity-linked instruments that meet the indexation and equity classification criteria of ASC Sub-Topic 815-40.</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grant-date fair value of these warrants is recorded in additional paid-in capital on the condensed consolidated balance sheets. The fair value of the warrants are measured using the Black-Scholes option-pricing model on the grant date.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Modification of Equity Classified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 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Basic and Diluted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ASC Sub-Topic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are not expected to be sufficient to recover the recorded value of the assets, the assets are written down to their estimated fair value. During the six months ended June 30, 2024, there were no impairments of long-lived assets. See Note 4 and Note 5 for additional information. There were no impairments of long-lived assets in 2023.</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stock incentive plan under which equity awards are granted to employees, directors, and consultants. All stock-based payments are recognized in the consolidated interim financial statements based on their respective grant date fair values.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 fair value is based on our closing stock price on the day of the grant. Stock option fair value is determined using the Black Scholes Merton Option Pricing model. The model requires management to make a number of assumptions, including expected volatility of the Company’s stock, expected life of the option, risk-free interest rate, and expected dividends. Employee Stock Purchase Plan (“ESPP”) compensation fair value is also determined using the Black Scholes Merton Option Pricing model, using a six-month expected term to conform with the six month ESPP offering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equity awards is expensed over the related service period which is typically the vesting period, and expense is only recognized for awards that are expected to vest. The Company accounts for forfeitures as they occur.</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401(k)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that it offers to its full-time employees. The Company did not contribute to the plan during the six months ended June 30, 2024.</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material, and labor hours (both internal and subcontractors).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contains a lease at inception based on whether there is an identified property, plant or equipment and whether the Company controls the use of the identified asset throughout the period of use.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the accompanying condensed consolidated balance sheets. Operating lease right-of-use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pPr>
      <w:r>
        <w:rPr>
          <w:rFonts w:ascii="Times New Roman;sans-serif" w:hAnsi="Times New Roman;sans-serif"/>
          <w:b w:val="false"/>
          <w:color w:val="000000"/>
          <w:sz w:val="20"/>
        </w:rPr>
        <w:t>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w:t>
      </w:r>
      <w:r>
        <w:rPr>
          <w:color w:val="000000"/>
        </w:rPr>
        <w:t xml:space="preserve"> </w:t>
      </w:r>
      <w:r>
        <w:rPr>
          <w:rFonts w:ascii="Times New Roman;sans-serif" w:hAnsi="Times New Roman;sans-serif"/>
          <w:b w:val="false"/>
          <w:color w:val="000000"/>
          <w:sz w:val="20"/>
        </w:rPr>
        <w:t>Note 6 for additional details on the Company’s leases.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Concentrations of Risk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60" w:after="160"/>
        <w:jc w:val="both"/>
        <w:rPr/>
      </w:pPr>
      <w:r>
        <w:rPr>
          <w:rFonts w:ascii="Times New Roman;sans-serif" w:hAnsi="Times New Roman;sans-serif"/>
          <w:b w:val="false"/>
          <w:color w:val="000000"/>
          <w:sz w:val="20"/>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sans-serif" w:hAnsi="Times New Roman;sans-serif"/>
          <w:b w:val="false"/>
          <w:i/>
          <w:color w:val="000000"/>
          <w:sz w:val="20"/>
        </w:rPr>
        <w:t xml:space="preserve">Segment Reporting </w:t>
      </w:r>
      <w:r>
        <w:rPr>
          <w:rFonts w:ascii="Times New Roman;sans-serif" w:hAnsi="Times New Roman;sans-serif"/>
          <w:b w:val="false"/>
          <w:color w:val="000000"/>
          <w:sz w:val="20"/>
        </w:rPr>
        <w:t xml:space="preserve">(“ASC Topic 480”), we are not organized around specific services or geographic regions.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The company recognized $1.7 million of revenue during the six months ended June 30, 2024, of which 98.0% was derived domestically and 2.0% was derived from customers domiciled in foreign countries. Based on the information described above and in accordance with the applicable literature, management has concluded that we are organized and operated as one operating and reportable segment.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several new accounting pronouncements issued or proposed by the FASB, which have been adopted or will be adopted as applicable, management does not believe any of these accounting pronouncements has had or will have a material impact on the Company’s financial position or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FASB issued Accounting Standards Update (“ASU”) No. 2023-03, Presentation of Financial Statements (Topic 205), Income Statement—Reporting Comprehensive Income (Topic 220), Distinguishing Liabilities from Equity (Topic 480), Equity (Topic 505), and Compensation—Stock Compensation (Topic 718) (“ASU 2023-03”). This update requires (1) disclosure and presentation of income or loss related to common stock transactions on the face of the income statement, (2) modification of the existing classification and measurement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left"/>
        <w:rPr/>
      </w:pPr>
      <w:r>
        <w:rPr>
          <w:rFonts w:ascii="Times New Roman;sans-serif" w:hAnsi="Times New Roman;sans-serif"/>
          <w:b/>
          <w:color w:val="000000"/>
          <w:sz w:val="20"/>
        </w:rPr>
        <w:t>Note 2. Summary of Significant Accounting Policies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preferred shares and redeemable equity-classified shares, and (3) modification of accounting treatment for stock-based compensation. The FASB has not set an effective date on ASU 2023-03 and adoption is permitted. The Company is currently evaluating the impact of the provisions of ASU 2023-03 on its financial statement disclosures.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FASB issued ASU No. 2023-06, Disclosure Improvements: Codification Amendments in Response to the SEC’s Disclosure Update and Simplification Initiative (“ASU 2023-06”). The amendments in this ASU are expected to clarify or improve disclosure and presentation requirements of a variety of ASC topics by aligning them with the SEC’s regulations. ASU 2023-06 will become effective for each amendment on the effective date of the SEC's corresponding disclosure rule changes. The Company is currently evaluating the impact ASU 2023-06 will have on its results of operations, financial position, or cash flows.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(“ASU 2023-07”) to update reportable segment disclosure requirements, primarily through enhanced disclosures about significant segment expenses and information used to assess segment performance. ASU 2023-07 requires disclosure of significant segment expenses that are regularly provided to the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The disclosures required under ASU 2023-07 are also required for public entities with a single reportable segment. ASU 2023-07 is effective for the fiscal years beginning after December 15, 2023, and for interim periods within those fiscal years beginning after December 15, 2024, with early adoption permitted. The Company does not expect the adoption of ASU 2023-07 to have a material impact on its financial position or 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Improvements to Income Tax Disclosures (“ASU 2023-09”) that addresses requests for improved income tax disclosures from investors that use the financial statements to make capital allocation decisions. Public entities must adopt the new guidance for fiscal years beginning after December 15, 2024. The amendments in ASU 2023-09 must be applied on a retrospective basis to all prior periods presented in the financial statements and early adoption is permitted. The Company is in the process of evaluating the potential impact ASU 2023-09 will have on its results of operations, financial position, or cash flows.</w:t>
      </w:r>
    </w:p>
    <w:p>
      <w:pPr>
        <w:pStyle w:val="TextBody"/>
        <w:bidi w:val="0"/>
        <w:spacing w:lineRule="auto" w:line="288" w:before="160" w:after="283"/>
        <w:jc w:val="both"/>
        <w:rPr/>
      </w:pPr>
      <w:r>
        <w:rPr>
          <w:rFonts w:ascii="Times New Roman;sans-serif" w:hAnsi="Times New Roman;sans-serif"/>
          <w:b w:val="false"/>
          <w:color w:val="000000"/>
          <w:sz w:val="20"/>
        </w:rPr>
        <w:t xml:space="preserve">On March 21, 2024, the FASB issued ASU 2024-01 which clarifies how an entity determines whether a profits interest or similar award are within the scope of ASC Topic 718 </w:t>
      </w:r>
      <w:r>
        <w:rPr>
          <w:rFonts w:ascii="Times New Roman;sans-serif" w:hAnsi="Times New Roman;sans-serif"/>
          <w:b w:val="false"/>
          <w:i/>
          <w:color w:val="000000"/>
          <w:sz w:val="20"/>
        </w:rPr>
        <w:t>Compensation - Stock Compensation</w:t>
      </w:r>
      <w:r>
        <w:rPr>
          <w:color w:val="000000"/>
        </w:rPr>
        <w:t xml:space="preserve"> </w:t>
      </w:r>
      <w:r>
        <w:rPr>
          <w:rFonts w:ascii="Times New Roman;sans-serif" w:hAnsi="Times New Roman;sans-serif"/>
          <w:b w:val="false"/>
          <w:color w:val="000000"/>
          <w:sz w:val="20"/>
        </w:rPr>
        <w:t>or not a share-based payment arrangement and therefore within the scope of other guidance. The Company is still in the process of evaluating this standard. The amendments of ASU 2024-01 are effective for annual periods beginning after December 15, 2024, and interim periods within those annual periods. For all other entities, the amendments are effective for annual periods beginning after December 15, 2025, and interim periods within those annual periods.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29, 2024, the FASB issued ASU 2024-02 which removes references to the Board’s concepts statements from the FASB Accounting Standards Codification. The ASU is part of the Board’s standing project to make “Codification updates for technical corrections such as conforming amendments, clarifications to guidance, simplifications to wording or the structure of guidance, and other minor improvements.” ASU 2024-02 is not expected to have a material impact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Prepaids and Other Current Assets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Prepaids and other current assets consisted of the following: </w:t>
      </w:r>
    </w:p>
    <w:tbl>
      <w:tblPr>
        <w:tblW w:w="5343" w:type="dxa"/>
        <w:jc w:val="left"/>
        <w:tblInd w:w="0" w:type="dxa"/>
        <w:tblLayout w:type="fixed"/>
        <w:tblCellMar>
          <w:top w:w="28" w:type="dxa"/>
          <w:left w:w="28" w:type="dxa"/>
          <w:bottom w:w="28" w:type="dxa"/>
          <w:right w:w="28" w:type="dxa"/>
        </w:tblCellMar>
      </w:tblPr>
      <w:tblGrid>
        <w:gridCol w:w="1048"/>
        <w:gridCol w:w="922"/>
        <w:gridCol w:w="925"/>
        <w:gridCol w:w="211"/>
        <w:gridCol w:w="616"/>
        <w:gridCol w:w="109"/>
        <w:gridCol w:w="109"/>
        <w:gridCol w:w="109"/>
        <w:gridCol w:w="109"/>
        <w:gridCol w:w="255"/>
        <w:gridCol w:w="744"/>
        <w:gridCol w:w="186"/>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launch costs,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and other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8,513 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non-current portion of prepaid launch costs recorded in other non-current assets was approximately $0.4 million and $0.4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4. Property, Machinery and Equipment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machinery and equipment, net consisted of the following: </w:t>
      </w:r>
    </w:p>
    <w:tbl>
      <w:tblPr>
        <w:tblW w:w="5972" w:type="dxa"/>
        <w:jc w:val="left"/>
        <w:tblInd w:w="0" w:type="dxa"/>
        <w:tblLayout w:type="fixed"/>
        <w:tblCellMar>
          <w:top w:w="28" w:type="dxa"/>
          <w:left w:w="28" w:type="dxa"/>
          <w:bottom w:w="28" w:type="dxa"/>
          <w:right w:w="28" w:type="dxa"/>
        </w:tblCellMar>
      </w:tblPr>
      <w:tblGrid>
        <w:gridCol w:w="1276"/>
        <w:gridCol w:w="1123"/>
        <w:gridCol w:w="1125"/>
        <w:gridCol w:w="211"/>
        <w:gridCol w:w="616"/>
        <w:gridCol w:w="109"/>
        <w:gridCol w:w="109"/>
        <w:gridCol w:w="109"/>
        <w:gridCol w:w="109"/>
        <w:gridCol w:w="255"/>
        <w:gridCol w:w="744"/>
        <w:gridCol w:w="186"/>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gross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machinery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rPr>
        <w:t>Depreciation expense related to property, machinery and equipment was $0.2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 xml:space="preserve">$0.4 million for the three and six months ended June 30, 2024, respectively and $0.2 million and $0.4 million for the three and six months ended June 30, 2023. Depreciation expense is recorded within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as of June 30, 2024:</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net consisted of the following as of December 31, 2023: </w:t>
      </w:r>
    </w:p>
    <w:tbl>
      <w:tblPr>
        <w:tblW w:w="10205" w:type="dxa"/>
        <w:jc w:val="left"/>
        <w:tblInd w:w="0" w:type="dxa"/>
        <w:tblLayout w:type="fixed"/>
        <w:tblCellMar>
          <w:top w:w="28" w:type="dxa"/>
          <w:left w:w="28" w:type="dxa"/>
          <w:bottom w:w="28" w:type="dxa"/>
          <w:right w:w="28" w:type="dxa"/>
        </w:tblCellMar>
      </w:tblPr>
      <w:tblGrid>
        <w:gridCol w:w="690"/>
        <w:gridCol w:w="572"/>
        <w:gridCol w:w="574"/>
        <w:gridCol w:w="265"/>
        <w:gridCol w:w="585"/>
        <w:gridCol w:w="136"/>
        <w:gridCol w:w="109"/>
        <w:gridCol w:w="109"/>
        <w:gridCol w:w="109"/>
        <w:gridCol w:w="501"/>
        <w:gridCol w:w="1143"/>
        <w:gridCol w:w="259"/>
        <w:gridCol w:w="109"/>
        <w:gridCol w:w="109"/>
        <w:gridCol w:w="109"/>
        <w:gridCol w:w="232"/>
        <w:gridCol w:w="514"/>
        <w:gridCol w:w="120"/>
        <w:gridCol w:w="109"/>
        <w:gridCol w:w="109"/>
        <w:gridCol w:w="109"/>
        <w:gridCol w:w="1061"/>
        <w:gridCol w:w="1061"/>
        <w:gridCol w:w="1511"/>
      </w:tblGrid>
      <w:tr>
        <w:trPr/>
        <w:tc>
          <w:tcPr>
            <w:tcW w:w="69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Amortization Period (In Years)</w:t>
            </w:r>
          </w:p>
        </w:tc>
      </w:tr>
      <w:tr>
        <w:trPr/>
        <w:tc>
          <w:tcPr>
            <w:tcW w:w="18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Patents/Intellectual Property</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18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33" w:type="dxa"/>
            <w:gridSpan w:val="3"/>
            <w:tcBorders/>
            <w:vAlign w:val="center"/>
          </w:tcPr>
          <w:p>
            <w:pPr>
              <w:pStyle w:val="TableContents"/>
              <w:bidi w:val="0"/>
              <w:spacing w:before="0" w:after="283"/>
              <w:jc w:val="left"/>
              <w:rPr>
                <w:sz w:val="4"/>
                <w:szCs w:val="4"/>
              </w:rPr>
            </w:pPr>
            <w:r>
              <w:rPr>
                <w:sz w:val="4"/>
                <w:szCs w:val="4"/>
              </w:rPr>
            </w:r>
          </w:p>
        </w:tc>
      </w:tr>
      <w:tr>
        <w:trPr/>
        <w:tc>
          <w:tcPr>
            <w:tcW w:w="1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intangible assets was $14 thousand and $29 thousand for the three and six months ended June 30, 2024, respectively, and $14 thousand and $26 thousand for the three and six months ended June 30,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lineRule="auto" w:line="288" w:before="240" w:after="283"/>
        <w:jc w:val="left"/>
        <w:rPr/>
      </w:pPr>
      <w:r>
        <w:rPr>
          <w:rFonts w:ascii="Times New Roman;sans-serif" w:hAnsi="Times New Roman;sans-serif"/>
          <w:b/>
          <w:color w:val="000000"/>
          <w:sz w:val="20"/>
        </w:rPr>
        <w:t xml:space="preserve">Note 5. Intangible Assets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future estimated amortization expense related to intangible assets is as follows:</w:t>
      </w:r>
    </w:p>
    <w:tbl>
      <w:tblPr>
        <w:tblW w:w="2510" w:type="dxa"/>
        <w:jc w:val="left"/>
        <w:tblInd w:w="0" w:type="dxa"/>
        <w:tblLayout w:type="fixed"/>
        <w:tblCellMar>
          <w:top w:w="28" w:type="dxa"/>
          <w:left w:w="28" w:type="dxa"/>
          <w:bottom w:w="28" w:type="dxa"/>
          <w:right w:w="28" w:type="dxa"/>
        </w:tblCellMar>
      </w:tblPr>
      <w:tblGrid>
        <w:gridCol w:w="608"/>
        <w:gridCol w:w="535"/>
        <w:gridCol w:w="536"/>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6. Leases </w:t>
      </w:r>
    </w:p>
    <w:p>
      <w:pPr>
        <w:pStyle w:val="TextBody"/>
        <w:bidi w:val="0"/>
        <w:spacing w:lineRule="auto" w:line="288" w:before="160" w:after="283"/>
        <w:jc w:val="both"/>
        <w:rPr/>
      </w:pPr>
      <w:r>
        <w:rPr>
          <w:rFonts w:ascii="Times New Roman;sans-serif" w:hAnsi="Times New Roman;sans-serif"/>
          <w:b w:val="false"/>
          <w:color w:val="000000"/>
          <w:sz w:val="20"/>
        </w:rPr>
        <w:t>The Company leases office space under non-cancellable operating leases. In</w:t>
      </w:r>
      <w:r>
        <w:rPr>
          <w:color w:val="EE2724"/>
        </w:rPr>
        <w:t xml:space="preserve"> </w:t>
      </w:r>
      <w:r>
        <w:rPr>
          <w:rFonts w:ascii="Times New Roman;sans-serif" w:hAnsi="Times New Roman;sans-serif"/>
          <w:b w:val="false"/>
          <w:color w:val="000000"/>
          <w:sz w:val="20"/>
        </w:rPr>
        <w:t xml:space="preserve">January 2021, the Company commenced a lease in San Jose, California. The lease expires in February 2028. The Company is obligated to pay approximately $10.5 million over the term of the lease.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operating lease expense were as follows: </w:t>
      </w:r>
    </w:p>
    <w:tbl>
      <w:tblPr>
        <w:tblW w:w="7336" w:type="dxa"/>
        <w:jc w:val="left"/>
        <w:tblInd w:w="0" w:type="dxa"/>
        <w:tblLayout w:type="fixed"/>
        <w:tblCellMar>
          <w:top w:w="28" w:type="dxa"/>
          <w:left w:w="28" w:type="dxa"/>
          <w:bottom w:w="28" w:type="dxa"/>
          <w:right w:w="28" w:type="dxa"/>
        </w:tblCellMar>
      </w:tblPr>
      <w:tblGrid>
        <w:gridCol w:w="711"/>
        <w:gridCol w:w="626"/>
        <w:gridCol w:w="627"/>
        <w:gridCol w:w="291"/>
        <w:gridCol w:w="644"/>
        <w:gridCol w:w="150"/>
        <w:gridCol w:w="150"/>
        <w:gridCol w:w="150"/>
        <w:gridCol w:w="150"/>
        <w:gridCol w:w="291"/>
        <w:gridCol w:w="644"/>
        <w:gridCol w:w="150"/>
        <w:gridCol w:w="109"/>
        <w:gridCol w:w="109"/>
        <w:gridCol w:w="109"/>
        <w:gridCol w:w="244"/>
        <w:gridCol w:w="715"/>
        <w:gridCol w:w="126"/>
        <w:gridCol w:w="126"/>
        <w:gridCol w:w="126"/>
        <w:gridCol w:w="126"/>
        <w:gridCol w:w="244"/>
        <w:gridCol w:w="540"/>
        <w:gridCol w:w="178"/>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Variable lease expense consists of the Company’s proportionate share of operating expenses, property taxes, and insurance.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weighted-average remaining lease term was 3.7 years and the weighted-average discount rate was 5.6%.</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maturities of the Company’s operating lease liabilities were as follows: </w:t>
      </w:r>
    </w:p>
    <w:tbl>
      <w:tblPr>
        <w:tblW w:w="3665" w:type="dxa"/>
        <w:jc w:val="left"/>
        <w:tblInd w:w="0" w:type="dxa"/>
        <w:tblLayout w:type="fixed"/>
        <w:tblCellMar>
          <w:top w:w="28" w:type="dxa"/>
          <w:left w:w="28" w:type="dxa"/>
          <w:bottom w:w="28" w:type="dxa"/>
          <w:right w:w="28" w:type="dxa"/>
        </w:tblCellMar>
      </w:tblPr>
      <w:tblGrid>
        <w:gridCol w:w="972"/>
        <w:gridCol w:w="855"/>
        <w:gridCol w:w="857"/>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ans-serif" w:hAnsi="Times New Roman;sans-serif"/>
          <w:b/>
          <w:color w:val="000000"/>
          <w:sz w:val="20"/>
        </w:rPr>
        <w:t>Note 7. Accrued Liabilities</w:t>
      </w:r>
      <w:r>
        <w:rPr>
          <w:color w:val="000000"/>
        </w:rPr>
        <w:t xml:space="preserve">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consisted of the following: </w:t>
      </w:r>
    </w:p>
    <w:tbl>
      <w:tblPr>
        <w:tblW w:w="5567" w:type="dxa"/>
        <w:jc w:val="left"/>
        <w:tblInd w:w="0" w:type="dxa"/>
        <w:tblLayout w:type="fixed"/>
        <w:tblCellMar>
          <w:top w:w="28" w:type="dxa"/>
          <w:left w:w="28" w:type="dxa"/>
          <w:bottom w:w="28" w:type="dxa"/>
          <w:right w:w="28" w:type="dxa"/>
        </w:tblCellMar>
      </w:tblPr>
      <w:tblGrid>
        <w:gridCol w:w="1129"/>
        <w:gridCol w:w="994"/>
        <w:gridCol w:w="996"/>
        <w:gridCol w:w="211"/>
        <w:gridCol w:w="616"/>
        <w:gridCol w:w="109"/>
        <w:gridCol w:w="109"/>
        <w:gridCol w:w="109"/>
        <w:gridCol w:w="109"/>
        <w:gridCol w:w="255"/>
        <w:gridCol w:w="744"/>
        <w:gridCol w:w="18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other professional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projects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4,754 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8. Loan Payable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Term Loan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22, 2021, the Company entered into a Term Loan and Security Agreement (the “Term Loan”) which provided the Company with up to $40.0 million in borrowing capacity at an annual interest rate of 12%. The company borrowed $25.0 million of the Term Loan at inception of the agreement on March 1, 2021. The remaining $15.0 million of borrowing capacity is no longer available as the Company did not achieve certain milestones by the June 30, 2021 deadline. The repayment terms of the Term Loan provide for interest-only payments from March 1, 2021 through February 28, 2022.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original terms, the principal amount was due and payable on March 1, 2022. However, during January 2022 the Company exercised its option to pay back the principal amount of the Term Loan over two years beginning on March 1, 2022 and ending on February 28, 2024.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allocated the proceeds from the Term Loan agreement to the note and warrants issued in conjunction with the Term Loan comprising the financing agreement based on the relative fair value of the individual securities on the February 22, 2021 closing date of the agreements. The discount attributable to the note, an aggregate of $15.8 million, primarily related to the value of the warrant liability with immaterial issuance costs, is amortized using the effective interest method over the term of the note, originally maturing on March 1, 2022, but now being repaid over two years, recorded as interest expense. Because the discount on the note exceeds 63% of its initial face value, and because the discount is amortized over the period from issuance to maturity, the calculated effective interest rate up until January 2022 was 126.0%.</w:t>
      </w:r>
    </w:p>
    <w:p>
      <w:pPr>
        <w:pStyle w:val="TextBody"/>
        <w:bidi w:val="0"/>
        <w:spacing w:lineRule="auto" w:line="288" w:before="160" w:after="283"/>
        <w:jc w:val="both"/>
        <w:rPr/>
      </w:pPr>
      <w:r>
        <w:rPr>
          <w:rFonts w:ascii="Times New Roman;sans-serif" w:hAnsi="Times New Roman;sans-serif"/>
          <w:b w:val="false"/>
          <w:color w:val="000000"/>
          <w:sz w:val="20"/>
        </w:rPr>
        <w:t>As a result of the exercised extended repayment schedule, the unamortized discount and issuance costs were recast over the updated term of the loan and resulted in a recalculated effective interest rate of 28.2%. Interest expense amortization was zero  and $45.7 thousand</w:t>
      </w:r>
      <w:r>
        <w:rPr>
          <w:color w:val="000000"/>
          <w:shd w:fill="FFFFFF" w:val="clear"/>
        </w:rPr>
        <w:t xml:space="preserve"> </w:t>
      </w:r>
      <w:r>
        <w:rPr>
          <w:rFonts w:ascii="Times New Roman;sans-serif" w:hAnsi="Times New Roman;sans-serif"/>
          <w:b w:val="false"/>
          <w:color w:val="000000"/>
          <w:sz w:val="20"/>
        </w:rPr>
        <w:t>for the three and six months ended June 30, 2024, respectively, and $0.4 million and $0.9 million for the three and six months ended June 30, 2023, respectively.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repaid the remaining principal balance of the Term Loan.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Related Party Promissory Notes</w:t>
      </w:r>
    </w:p>
    <w:p>
      <w:pPr>
        <w:pStyle w:val="TextBody"/>
        <w:bidi w:val="0"/>
        <w:spacing w:lineRule="auto" w:line="288" w:before="160" w:after="283"/>
        <w:jc w:val="both"/>
        <w:rPr/>
      </w:pPr>
      <w:r>
        <w:rPr>
          <w:rFonts w:ascii="Times New Roman;sans-serif" w:hAnsi="Times New Roman;sans-serif"/>
          <w:b w:val="false"/>
          <w:color w:val="000000"/>
          <w:sz w:val="20"/>
        </w:rPr>
        <w:t xml:space="preserve">On June 21, 2024, the Company issued six promissory notes for an aggregate amount of $500,000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Internal Revenue Service for June 2024, the minimum rate to avoid imputed federal income liability.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As of June 30, 2024, the Company borrowed $350 thousand against the notes. See note 14 for more on </w:t>
      </w:r>
      <w:r>
        <w:rPr>
          <w:rFonts w:ascii="Times New Roman;sans-serif" w:hAnsi="Times New Roman;sans-serif"/>
          <w:b w:val="false"/>
          <w:i/>
          <w:color w:val="000000"/>
          <w:sz w:val="20"/>
        </w:rPr>
        <w:t>Related Party Promissory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Common Stock and Preferred Stock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August 22, 2023, the Company’s stockholders approved a 1-for-50 reverse stock split of the Company’s Class A common stock. As a result of the reverse stock split, every 50 shares of Class A common stock issued and outstanding on August 22, 2023, were automatically combined into one share of Class A common stock. Any fractional shares resulting from the reverse stock split were rounded up to the next nearest whole share of Class A common stock.</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To effectuate the reverse stock split, the Company filed a certificate of amendment to the Second Amended and Restated Certificate of Incorporation. As a result of the reverse stock split, there was no change to par value and the total number of authorized shares of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Second Amended and Restated Certificate of Incorporation, as amended, the Company is authorized and has available a total of 274,312,500 shares of stock, consisting of (i) 250,000,000 shares of Class A common stock, par value $0.00001 per share, (ii) 4,312,500 shares of Class B common stock, par value $0.00001 per share, and (iii) 20,000,000 shares of preferred stock, par value $0.00001 per share.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March 2024 Securities Purchase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4, 2024, the Company entered into a Securities Purchase Agreement, with an investor, pursuant to which the Company issued and sold to the investor in a registered direct offering (the “March Offering”), (i) an aggregate of 1,320,000 shares of the Company’s Class A common stock at a purchase price of $0.87 per share, and (ii) pre-funded warrants (the “March Pre-Funded Warrants”) to purchase an aggregate of 3,304,280 shares of the Company’s Class A common stock and (iii) warrants to purchase 4,624,280 shares of Class A Stock (“March Warrants”).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of each March Pre-Funded Warrant was equal to the price per share of Class A common stock being sold in the March Offering minus $0.00001. The March Pre-Funded Warrants have an exercise price of $0.00001 per share and are exercisable any time after the issuance, and will not expire until exercised. The March Warrants have an exercise price per share of Class A common stock equal to $0.74 per share and will expire five years from the date of issuance. The offering closed on March 7, 2024. </w:t>
      </w:r>
    </w:p>
    <w:p>
      <w:pPr>
        <w:pStyle w:val="TextBody"/>
        <w:bidi w:val="0"/>
        <w:spacing w:lineRule="auto" w:line="288" w:before="160" w:after="283"/>
        <w:jc w:val="both"/>
        <w:rPr/>
      </w:pPr>
      <w:r>
        <w:rPr>
          <w:rFonts w:ascii="Times New Roman;sans-serif" w:hAnsi="Times New Roman;sans-serif"/>
          <w:b w:val="false"/>
          <w:color w:val="000000"/>
          <w:sz w:val="20"/>
        </w:rPr>
        <w:t>The Company received aggregate gross proceeds from the March Offering of approximately $4.0 million, before deducting estimated issuance costs of $0.5 million</w:t>
      </w:r>
      <w:r>
        <w:rPr>
          <w:rFonts w:ascii="Times New Roman;sans-serif" w:hAnsi="Times New Roman;sans-serif"/>
          <w:b w:val="false"/>
          <w:color w:val="000000"/>
          <w:sz w:val="20"/>
          <w:shd w:fill="FFFFFF" w:val="clear"/>
        </w:rPr>
        <w:t xml:space="preserve">. Net proceeds of </w:t>
      </w:r>
      <w:r>
        <w:rPr>
          <w:rFonts w:ascii="Times New Roman;sans-serif" w:hAnsi="Times New Roman;sans-serif"/>
          <w:b w:val="false"/>
          <w:color w:val="000000"/>
          <w:sz w:val="20"/>
        </w:rPr>
        <w:t xml:space="preserve">$3.5 million from the March Offering was recorded to additional paid-in-capital. Both the March Pre-Funded Warrants and the March Warrants meet the requirements for equity classification.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March Pre-Funded Warrants based on the fair value of the Company’s Class A common stock from the issuance date, less the $0.00001 exercise price. The Company estimated the fair value of the March Warrants using the Black-Scholes valuation model. The significant inputs into the Black-Scholes valuation model at the initial recognition date are as follows: </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March Offering, the Company also agreed to amend the January Warrants to purchase up to an aggregate of 3,687,000 shares of Class A common stock at an exercise price of $0.96 per share (the “January Modified Warrants”). Prior to amendment, the January Modified Warrants had a termination date of January 17, 2029. Upon shareholder approved amendment, the January Modified Warrants will have a reduced exercise price of $0.74 per share and a termination date of June 28, 2029.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January Modified Warrants immediately before and after modification using the Black-Scholes valuation model and determined an incremental increase in fair value of approximately $0.1 million. In accordance with ASC Topic 815 guidance on equity classified warrant modifications, the incremental change in fair value of the January Modified Warrants was accounted for as an additional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cost for the January Offering, which was recorded to additional paid-in-capital. The significant inputs into the Black-Scholes valuation model before and after the modification date are as follows: </w:t>
      </w:r>
    </w:p>
    <w:tbl>
      <w:tblPr>
        <w:tblW w:w="4948" w:type="dxa"/>
        <w:jc w:val="left"/>
        <w:tblInd w:w="0" w:type="dxa"/>
        <w:tblLayout w:type="fixed"/>
        <w:tblCellMar>
          <w:top w:w="28" w:type="dxa"/>
          <w:left w:w="28" w:type="dxa"/>
          <w:bottom w:w="28" w:type="dxa"/>
          <w:right w:w="28" w:type="dxa"/>
        </w:tblCellMar>
      </w:tblPr>
      <w:tblGrid>
        <w:gridCol w:w="635"/>
        <w:gridCol w:w="559"/>
        <w:gridCol w:w="561"/>
        <w:gridCol w:w="343"/>
        <w:gridCol w:w="343"/>
        <w:gridCol w:w="858"/>
        <w:gridCol w:w="336"/>
        <w:gridCol w:w="336"/>
        <w:gridCol w:w="977"/>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 Modification</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 Modification</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March Offering, during the Six Months Ended June 30, 2024, the Company issued 3,304,280 shares of Class A common stock as a result of all of the March Pre-Funded Warrants being exercised and the Company received an immaterial amount of cash proceeds.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January 2024 Securities Purchase Agreement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2024, the Company entered into a Securities Purchase Agreement, with an investor, pursuant to which the Company issued and sold to the investor in a registered direct offering (the “January Offering”), (i) an aggregate of 900,000 shares of the Company’s Class A common stock at a purchase price of $1.09 per share, (ii) pre-funded warrants (the “January Pre-Funded Warrants”) to purchase an aggregate of 2,787,000 shares of the Company’s Class A common stock and (iii) warrants to purchase 3,687,000 shares of Class A common stock (the “January Warrants”).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purchase price of each January Pre-Funded Warrant was equal to the price per share of Class A common stock being sold in the January Offering minus $0.00001. The January Pre-Funded Warrants have an exercise price of $0.00001 per share and are exercisable any time after the issuance, and will not expire until exercised. The January Warrants have an exercise price per share of Class A common stock equal to $0.96 per share and will expire five years from the date of issuance. The offering closed on January 17,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received aggregate gross proceeds from the January Offering of approximately $4.0 million, before deducting estimated issuance costs of $0.4 million. Net proceeds of $3.6 million from the January Offering was recorded to additional paid-in-capital. Both the January Pre-Funded Warrants and the January Warrants meet the requirements for equity classification.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January Pre-Funded Warrants based on the fair value of the Company’s Class A common stock on the issuance date, less the $0.00001 exercise price. The Company estimated the fair value of the January Warrants using the Black-Scholes valuation model. The significant inputs into the Black-Scholes valuation model at the initial recognition date are as follows:</w:t>
      </w:r>
    </w:p>
    <w:tbl>
      <w:tblPr>
        <w:tblW w:w="2687" w:type="dxa"/>
        <w:jc w:val="left"/>
        <w:tblInd w:w="0" w:type="dxa"/>
        <w:tblLayout w:type="fixed"/>
        <w:tblCellMar>
          <w:top w:w="28" w:type="dxa"/>
          <w:left w:w="28" w:type="dxa"/>
          <w:bottom w:w="28" w:type="dxa"/>
          <w:right w:w="28" w:type="dxa"/>
        </w:tblCellMar>
      </w:tblPr>
      <w:tblGrid>
        <w:gridCol w:w="635"/>
        <w:gridCol w:w="559"/>
        <w:gridCol w:w="561"/>
        <w:gridCol w:w="308"/>
        <w:gridCol w:w="308"/>
        <w:gridCol w:w="316"/>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January Offering, the Company also agreed, subject to certain conditions and procedures, to amend each of the warrants issued in November 2023 to purchase up to an aggregate of 5,808,538 shares of Class A common stock at an exercise price of $3.86 per share (the “November Modified Warrants”). Prior to amendment, the November Modified Warrants had a termination date of November 9, 2028. The shareholder approval for the amendment of November Modified Warrants was not received triggering the Minimum Price as defined by the Nasdaq Rule 5635 (d). Based on the rule, November Modified Warrants will have a reduced exercise price of $0.54 per share and a termination date of May 9, 2029.</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the November Modified Warrants immediately before and after modification using the Black-Scholes valuation model and determined an incremental increase in fair value of approximately $1.2 million. In accordance with ASC Topic 815 guidance on equity classified warrant modifications, the incremental change in fair value of the November Modified Warrants was accounted for as an additional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Note 9. Stockholders' Equity</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issuance cost for the January Offering, which was recorded to additional paid-in-capital. The significant inputs into the Black-Scholes valuation model before and after the modification date are as follows:</w:t>
      </w:r>
    </w:p>
    <w:tbl>
      <w:tblPr>
        <w:tblW w:w="5058" w:type="dxa"/>
        <w:jc w:val="left"/>
        <w:tblInd w:w="0" w:type="dxa"/>
        <w:tblLayout w:type="fixed"/>
        <w:tblCellMar>
          <w:top w:w="28" w:type="dxa"/>
          <w:left w:w="28" w:type="dxa"/>
          <w:bottom w:w="28" w:type="dxa"/>
          <w:right w:w="28" w:type="dxa"/>
        </w:tblCellMar>
      </w:tblPr>
      <w:tblGrid>
        <w:gridCol w:w="635"/>
        <w:gridCol w:w="559"/>
        <w:gridCol w:w="561"/>
        <w:gridCol w:w="343"/>
        <w:gridCol w:w="343"/>
        <w:gridCol w:w="858"/>
        <w:gridCol w:w="357"/>
        <w:gridCol w:w="357"/>
        <w:gridCol w:w="89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 Modification</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Post Modification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term (years)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January Offering, during the six months ended June 30, 2024, the Company issued 2,787,000 shares of Class A common stock as a result of all of the January Pre-Funded Warrants being exercised and the Company received an immaterial amount of cash proceeds.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Co-Founder Divestment and Stock Repurchase Agreements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the Co-Founders sold 100% of their respective equity interests in the Company on June 30, 2021. The Company paid an aggregate of $40.0 million to the Co-Founders following the Business Combination, and an additional payment of an aggregate of $10.0 million was payable after cumulative business combination or capital raising transactions resulted in cash proceeds to the Company of no less than $250.0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February Offering on February 27, 2023, the Company raised $10.0 million of gross cash proceeds through the sale of securities which, together with the $247.3 million raised in the Business Combination and other capital raising activities, triggered the $10.0 million obligation under the stock repurchase agreements. In March 2023, the Company paid the Co-Founders $10.0 million to pay off the liability.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Public and Private Warrants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Public and Private Warrants outstanding to purchase 172,500 shares and 225,450 shares of Class A common stock, respectively, related to the Business Combination. The warrants entitle the registered holder to purchase stock at a price of $575.00 per share, subject to adjustment, at any time commencing on August 12, 2021. The Public and Private Warrants expire on the fifth anniversary of the Business Combination, or earlier upon redemption or liquidation.</w:t>
      </w:r>
    </w:p>
    <w:p>
      <w:pPr>
        <w:pStyle w:val="TextBody"/>
        <w:bidi w:val="0"/>
        <w:spacing w:lineRule="auto" w:line="26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Warrants assumed in connection with the Business Combination are accounted for as a derivative liability. The Public Warrants and the legacy outstanding Private Warrants were recorded as equity within the condensed consolidated statements of stockholders’ equity.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Contingent Sponsor Earnout Shares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Business Combination, the Company modified the terms of 28,750 shares of Class A common stock held by SRAC’s sponsor (the “Sponsor Earnout Shares”), such that all such shares will be forfeited if the share price of Class A common stock does not reach a volume-weighted average closing sale price of $625.00, two thirds of such shares will be forfeited if the share price of Class A common stock does not reach a volume-weighted average closing sale price of $750.00, and one third of such shares will be forfeited if the share price of Class A common stock does not reach a volume-weighted average closing sale price of $875.00, in each case, prior to the fifth anniversary of the Business Combination. Certain events which change the number of outstanding shares of Class A common stock, such as a split, combination, or recapitalization, among other potential events, will equitably adjust the target vesting prices above. The Sponsor Earnout Shares may not be transferred without the Company’s consent until the shares vest.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bidi w:val="0"/>
        <w:spacing w:before="240" w:after="283"/>
        <w:jc w:val="both"/>
        <w:rPr/>
      </w:pPr>
      <w:r>
        <w:rPr/>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10. Stock-based Compensation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Legacy Stock Plans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Board of Directors of Momentus Inc. approved the 2018 Stock Plan (the “Initial Plan”) that allowed for granting of incentive and non-qualified stock options and restricted stock awards to employees, directors, and consultants. The Initial Plan was terminated in November 2018. Awards outstanding under the Initial Plan continue to be governed by the terms of the Initial Plan.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160" w:after="160"/>
        <w:jc w:val="both"/>
        <w:rPr/>
      </w:pPr>
      <w:r>
        <w:rPr>
          <w:rFonts w:ascii="Times New Roman;sans-serif" w:hAnsi="Times New Roman;sans-serif"/>
          <w:b w:val="false"/>
          <w:color w:val="000000"/>
          <w:sz w:val="20"/>
        </w:rPr>
        <w:t>In 2021, the Company adopted the 2021 Equity Incentive Plan (the “2021 Plan”), under which 119,658 shares of Class A common stock were initially reserved for issuance. The 2021 Plan allows for the issuance of incentive stock options, non-qualified stock options (“NSOs”), restricted stock awards (“RSAs”), stock appreciation rights (“SARs”), restricted stock units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three percent (3.0%) of the outstanding shares on the last day of the immediately preceding fiscal year and (ii) such number of Shares determined by the Board of Directors</w:t>
      </w:r>
      <w:r>
        <w:rPr>
          <w:rFonts w:ascii="Times New Roman;sans-serif" w:hAnsi="Times New Roman;sans-serif"/>
          <w:b w:val="false"/>
          <w:color w:val="000000"/>
          <w:sz w:val="20"/>
          <w:shd w:fill="FFFFFF" w:val="clear"/>
        </w:rPr>
        <w:t xml:space="preserve">. During the six months ended June 30, 2024, the shares available for grant under the 2021 Plan increased by 248,508 and 3,912 due to the evergreen provision and forfeitures from both the Initial Plan and the 2018 Plan, respectively. As of June 30, 2024, there were 323,564 shares remaining available for grant. Grant activity under the 2021 Plan is described below. </w:t>
      </w:r>
    </w:p>
    <w:p>
      <w:pPr>
        <w:pStyle w:val="TextBody"/>
        <w:bidi w:val="0"/>
        <w:spacing w:lineRule="auto" w:line="288" w:before="160" w:after="16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2021 Employee Stock Purchase Plan</w:t>
      </w:r>
    </w:p>
    <w:p>
      <w:pPr>
        <w:pStyle w:val="TextBody"/>
        <w:bidi w:val="0"/>
        <w:spacing w:lineRule="auto" w:line="288" w:before="160" w:after="160"/>
        <w:jc w:val="both"/>
        <w:rPr/>
      </w:pPr>
      <w:r>
        <w:rPr>
          <w:rFonts w:ascii="Times New Roman;sans-serif" w:hAnsi="Times New Roman;sans-serif"/>
          <w:b w:val="false"/>
          <w:color w:val="000000"/>
          <w:sz w:val="20"/>
        </w:rPr>
        <w:t xml:space="preserve">In connection with the Closing, the Company adopted the Employee Stock Purchase Plan (the “2021 ESPP Plan”), under which 31,909 shares of Class A common stock were initially reserved for issuance. The Plan provides a means by which eligible employees of the Company may be given an opportunity to purchase shares of Class A common stock at a discount as permitted under the Internal Revenue Code of 1986, as amended. The 2021 ESPP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the lesser of (i) half a percent (0.5%) of the outstanding shares on the last day of the calendar month prior to the date of such automatic increase and (ii) 31,909 shares. The 2021 ESPP Plan became effective immediately following the Closing. </w:t>
      </w:r>
      <w:r>
        <w:rPr>
          <w:rFonts w:ascii="Times New Roman;sans-serif" w:hAnsi="Times New Roman;sans-serif"/>
          <w:b w:val="false"/>
          <w:color w:val="000000"/>
          <w:sz w:val="20"/>
          <w:shd w:fill="FFFFFF" w:val="clear"/>
        </w:rPr>
        <w:t>During the six months ended June 30, 2024, the shares available for issuance under the 2021 ESPP Plan increased by 41,418 due to the evergreen provision. During the six months ended June 30, 2024, there were 0 shares issued under the 2021 ESPP Plan. The Company has an outstanding liability pertaining to the ESPP of $28.3 thousand as of June 30, 2024, included in accrued expenses, for employee contributions to the 2021 ESPP Plan, pending issuance at the end of the offering period. As of June 30, 2024, there were 83,373 shares remaining available</w:t>
      </w:r>
      <w:r>
        <w:rPr>
          <w:color w:val="000000"/>
        </w:rPr>
        <w:t xml:space="preserve"> </w:t>
      </w:r>
      <w:r>
        <w:rPr>
          <w:rFonts w:ascii="Times New Roman;sans-serif" w:hAnsi="Times New Roman;sans-serif"/>
          <w:b w:val="false"/>
          <w:color w:val="000000"/>
          <w:sz w:val="20"/>
        </w:rPr>
        <w:t>for issuance.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2022 Inducement Equity Plan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adopted the 2022 Inducement Equity Plan (the “2022 Plan”), under which 80,000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four-year period.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22, 2023, the Company adopted the first amendment to the 2022 Plan to increase the number of shares of Class A common stock available for issuance under the 2022 Plan from 80,000 shares of Class A common stock to 140,000 shares of Class A common stock. All other terms of the 2022 Plan remained the same.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2023, the Company adopted the second amendment to the 2022 Plan to increase the number of shares of Class A common stock available for issuance under the 2022 Plan from 140,000 shares of Class A common stock to 160,000 shares of Class A common stock. All other terms of the 2022 Plan remained the same.</w:t>
      </w:r>
    </w:p>
    <w:p>
      <w:pPr>
        <w:pStyle w:val="TextBody"/>
        <w:bidi w:val="0"/>
        <w:spacing w:lineRule="auto" w:line="288" w:before="160" w:after="160"/>
        <w:jc w:val="both"/>
        <w:rPr/>
      </w:pPr>
      <w:r>
        <w:rPr>
          <w:rFonts w:ascii="Times New Roman;sans-serif" w:hAnsi="Times New Roman;sans-serif"/>
          <w:b w:val="false"/>
          <w:color w:val="000000"/>
          <w:sz w:val="20"/>
        </w:rPr>
        <w:t xml:space="preserve">As of June 30, 2024, only RSU grants have been made under the 2022 Plan and there were </w:t>
      </w:r>
      <w:r>
        <w:rPr>
          <w:rFonts w:ascii="Times New Roman;sans-serif" w:hAnsi="Times New Roman;sans-serif"/>
          <w:b w:val="false"/>
          <w:color w:val="000000"/>
          <w:sz w:val="20"/>
          <w:shd w:fill="FFFFFF" w:val="clear"/>
        </w:rPr>
        <w:t>108,837</w:t>
      </w:r>
      <w:r>
        <w:rPr>
          <w:color w:val="000000"/>
        </w:rPr>
        <w:t xml:space="preserve"> </w:t>
      </w:r>
      <w:r>
        <w:rPr>
          <w:rFonts w:ascii="Times New Roman;sans-serif" w:hAnsi="Times New Roman;sans-serif"/>
          <w:b w:val="false"/>
          <w:color w:val="000000"/>
          <w:sz w:val="20"/>
        </w:rPr>
        <w:t>shares remaining available for issuance. Grant activity under the 2022 Plan is described below.</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Options Activity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options activity, under the 2018 Plan and the 2021 Plans, for the six months ended June 30, 2024:</w:t>
      </w:r>
    </w:p>
    <w:tbl>
      <w:tblPr>
        <w:tblW w:w="10205" w:type="dxa"/>
        <w:jc w:val="left"/>
        <w:tblInd w:w="0" w:type="dxa"/>
        <w:tblLayout w:type="fixed"/>
        <w:tblCellMar>
          <w:top w:w="28" w:type="dxa"/>
          <w:left w:w="28" w:type="dxa"/>
          <w:bottom w:w="28" w:type="dxa"/>
          <w:right w:w="28" w:type="dxa"/>
        </w:tblCellMar>
      </w:tblPr>
      <w:tblGrid>
        <w:gridCol w:w="717"/>
        <w:gridCol w:w="622"/>
        <w:gridCol w:w="623"/>
        <w:gridCol w:w="109"/>
        <w:gridCol w:w="109"/>
        <w:gridCol w:w="109"/>
        <w:gridCol w:w="109"/>
        <w:gridCol w:w="109"/>
        <w:gridCol w:w="109"/>
        <w:gridCol w:w="109"/>
        <w:gridCol w:w="424"/>
        <w:gridCol w:w="334"/>
        <w:gridCol w:w="305"/>
        <w:gridCol w:w="109"/>
        <w:gridCol w:w="109"/>
        <w:gridCol w:w="109"/>
        <w:gridCol w:w="412"/>
        <w:gridCol w:w="1204"/>
        <w:gridCol w:w="213"/>
        <w:gridCol w:w="109"/>
        <w:gridCol w:w="109"/>
        <w:gridCol w:w="109"/>
        <w:gridCol w:w="770"/>
        <w:gridCol w:w="770"/>
        <w:gridCol w:w="772"/>
        <w:gridCol w:w="109"/>
        <w:gridCol w:w="109"/>
        <w:gridCol w:w="109"/>
        <w:gridCol w:w="352"/>
        <w:gridCol w:w="678"/>
        <w:gridCol w:w="265"/>
      </w:tblGrid>
      <w:tr>
        <w:trPr/>
        <w:tc>
          <w:tcPr>
            <w:tcW w:w="71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share-based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(3,912)</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30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pPr>
      <w:r>
        <w:rPr>
          <w:rFonts w:ascii="Times New Roman;sans-serif" w:hAnsi="Times New Roman;sans-serif"/>
          <w:b w:val="false"/>
          <w:color w:val="000000"/>
          <w:sz w:val="20"/>
        </w:rPr>
        <w:t>As of June 30, 2024, there was a total of</w:t>
      </w:r>
      <w:r>
        <w:rPr>
          <w:color w:val="000000"/>
          <w:shd w:fill="FFFFFF" w:val="clear"/>
        </w:rPr>
        <w:t xml:space="preserve"> </w:t>
      </w:r>
      <w:r>
        <w:rPr>
          <w:rFonts w:ascii="Times New Roman;sans-serif" w:hAnsi="Times New Roman;sans-serif"/>
          <w:b w:val="false"/>
          <w:color w:val="000000"/>
          <w:sz w:val="20"/>
          <w:shd w:fill="FFFFFF" w:val="clear"/>
        </w:rPr>
        <w:t>$0.2 million in</w:t>
      </w:r>
      <w:r>
        <w:rPr>
          <w:color w:val="000000"/>
        </w:rPr>
        <w:t xml:space="preserve"> </w:t>
      </w:r>
      <w:r>
        <w:rPr>
          <w:rFonts w:ascii="Times New Roman;sans-serif" w:hAnsi="Times New Roman;sans-serif"/>
          <w:b w:val="false"/>
          <w:color w:val="000000"/>
          <w:sz w:val="20"/>
        </w:rPr>
        <w:t>unrecognized c</w:t>
      </w:r>
      <w:r>
        <w:rPr>
          <w:rFonts w:ascii="Times New Roman;sans-serif" w:hAnsi="Times New Roman;sans-serif"/>
          <w:b w:val="false"/>
          <w:color w:val="000000"/>
          <w:sz w:val="20"/>
          <w:shd w:fill="FFFFFF" w:val="clear"/>
        </w:rPr>
        <w:t>ompensation cost related to unvested options, which is expected to be recognized over a weighted-average period of 0.6 years.</w:t>
      </w:r>
    </w:p>
    <w:p>
      <w:pPr>
        <w:pStyle w:val="TextBody"/>
        <w:bidi w:val="0"/>
        <w:spacing w:lineRule="auto" w:line="288" w:before="160" w:after="160"/>
        <w:jc w:val="left"/>
        <w:rPr/>
      </w:pPr>
      <w:r>
        <w:rPr>
          <w:rFonts w:ascii="Times New Roman;sans-serif" w:hAnsi="Times New Roman;sans-serif"/>
          <w:b w:val="false"/>
          <w:color w:val="000000"/>
          <w:sz w:val="20"/>
          <w:shd w:fill="FFFFFF" w:val="clear"/>
        </w:rPr>
        <w:t xml:space="preserve">The total intrinsic value of options exercised was </w:t>
      </w:r>
      <w:r>
        <w:rPr>
          <w:rFonts w:ascii="Times New Roman;sans-serif" w:hAnsi="Times New Roman;sans-serif"/>
          <w:b w:val="false"/>
          <w:color w:val="000000"/>
          <w:sz w:val="20"/>
        </w:rPr>
        <w:t xml:space="preserve">$0 </w:t>
      </w:r>
      <w:r>
        <w:rPr>
          <w:rFonts w:ascii="Times New Roman;sans-serif" w:hAnsi="Times New Roman;sans-serif"/>
          <w:b w:val="false"/>
          <w:color w:val="000000"/>
          <w:sz w:val="20"/>
          <w:shd w:fill="FFFFFF" w:val="clear"/>
        </w:rPr>
        <w:t>during the three and six months ended June 30, 2024</w:t>
      </w:r>
      <w:r>
        <w:rPr>
          <w:rFonts w:ascii="Times New Roman;sans-serif" w:hAnsi="Times New Roman;sans-serif"/>
          <w:b w:val="false"/>
          <w:color w:val="000000"/>
          <w:sz w:val="20"/>
        </w:rPr>
        <w:t>, respectively.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 and Restricted Stock Award Activity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summary of RSU and RSA activity, under the Initial Plan, the 2018 Plan, the 2021 Plan, and the 2022 Plan, for the six months ended June 30, 2024. RSAs were an immaterial portion of activity for the period:</w:t>
      </w:r>
    </w:p>
    <w:tbl>
      <w:tblPr>
        <w:tblW w:w="9549" w:type="dxa"/>
        <w:jc w:val="left"/>
        <w:tblInd w:w="0" w:type="dxa"/>
        <w:tblLayout w:type="fixed"/>
        <w:tblCellMar>
          <w:top w:w="28" w:type="dxa"/>
          <w:left w:w="28" w:type="dxa"/>
          <w:bottom w:w="28" w:type="dxa"/>
          <w:right w:w="28" w:type="dxa"/>
        </w:tblCellMar>
      </w:tblPr>
      <w:tblGrid>
        <w:gridCol w:w="1147"/>
        <w:gridCol w:w="1006"/>
        <w:gridCol w:w="1012"/>
        <w:gridCol w:w="109"/>
        <w:gridCol w:w="413"/>
        <w:gridCol w:w="413"/>
        <w:gridCol w:w="226"/>
        <w:gridCol w:w="109"/>
        <w:gridCol w:w="993"/>
        <w:gridCol w:w="3396"/>
        <w:gridCol w:w="725"/>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(i.e. Share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4"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June 30, 2024</w:t>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115,779 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114.59 </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 total of $7.7 million in unrecognized compensation cost related to unvested RSUs, which is expected to be recognized over a weighted-average period of 1.1 years. Outstanding unvested and expected to vest RSUs had an intrinsic value of $52.8 thousand.</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expense type:</w:t>
      </w:r>
    </w:p>
    <w:tbl>
      <w:tblPr>
        <w:tblW w:w="8781" w:type="dxa"/>
        <w:jc w:val="left"/>
        <w:tblInd w:w="0" w:type="dxa"/>
        <w:tblLayout w:type="fixed"/>
        <w:tblCellMar>
          <w:top w:w="28" w:type="dxa"/>
          <w:left w:w="28" w:type="dxa"/>
          <w:bottom w:w="28" w:type="dxa"/>
          <w:right w:w="28" w:type="dxa"/>
        </w:tblCellMar>
      </w:tblPr>
      <w:tblGrid>
        <w:gridCol w:w="1352"/>
        <w:gridCol w:w="1190"/>
        <w:gridCol w:w="1193"/>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35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 xml:space="preserve">Note 10. Stock-based Compensation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stock-based compensation under the Initial Plan, the 2018 Plan, the 2021 Plan, and the 2022 Plan by award type:</w:t>
      </w:r>
    </w:p>
    <w:tbl>
      <w:tblPr>
        <w:tblW w:w="6336" w:type="dxa"/>
        <w:jc w:val="left"/>
        <w:tblInd w:w="0" w:type="dxa"/>
        <w:tblLayout w:type="fixed"/>
        <w:tblCellMar>
          <w:top w:w="28" w:type="dxa"/>
          <w:left w:w="28" w:type="dxa"/>
          <w:bottom w:w="28" w:type="dxa"/>
          <w:right w:w="28" w:type="dxa"/>
        </w:tblCellMar>
      </w:tblPr>
      <w:tblGrid>
        <w:gridCol w:w="467"/>
        <w:gridCol w:w="411"/>
        <w:gridCol w:w="412"/>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&amp; RSAs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Issuance of Common Stock to Non-employees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issued 2,700 shares of the Company’s Class A common stock to a third party consulting firm in exchange for public relations services. The shares were not issued under the equity incentive plans described above. Under the agreement, the shares are contingently forfeitable in the event of early termination by the Company. The shares had an issuance date fair value of $0.1 million to be recorded as consulting expense over the six-month term of the agreement. Related consulting expense of $0.1 million was recognized over the six month term of the agreement. The Company issued no shares to non-employees in the current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Note 11. Earnings Per Share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160" w:after="160"/>
        <w:jc w:val="both"/>
        <w:rPr/>
      </w:pPr>
      <w:r>
        <w:rPr>
          <w:rFonts w:ascii="Times New Roman;sans-serif" w:hAnsi="Times New Roman;sans-serif"/>
          <w:b w:val="false"/>
          <w:color w:val="000000"/>
          <w:sz w:val="20"/>
        </w:rPr>
        <w:t xml:space="preserve">Net loss per share is provided in accordance with ASC Sub-Topic 260-10, </w:t>
      </w:r>
      <w:r>
        <w:rPr>
          <w:rFonts w:ascii="Times New Roman;sans-serif" w:hAnsi="Times New Roman;sans-serif"/>
          <w:b w:val="false"/>
          <w:i/>
          <w:color w:val="000000"/>
          <w:sz w:val="20"/>
        </w:rPr>
        <w:t>Earnings Per Share</w:t>
      </w:r>
      <w:r>
        <w:rPr>
          <w:rFonts w:ascii="Times New Roman;sans-serif" w:hAnsi="Times New Roman;sans-serif"/>
          <w:b w:val="false"/>
          <w:color w:val="000000"/>
          <w:sz w:val="20"/>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incurred a net loss for the three and six months ended June 30, 2024 and 2023, the inclusion of certain options, unvested stock units, warrants, and contingent Sponsor Earnout Shares in the calculation of diluted earnings per share would be anti-dilutive and, accordingly, were excluded from the diluted loss per share calculation.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potential common shares that were excluded as their effect is anti-dilutive:</w:t>
      </w:r>
    </w:p>
    <w:tbl>
      <w:tblPr>
        <w:tblW w:w="10205" w:type="dxa"/>
        <w:jc w:val="left"/>
        <w:tblInd w:w="0" w:type="dxa"/>
        <w:tblLayout w:type="fixed"/>
        <w:tblCellMar>
          <w:top w:w="28" w:type="dxa"/>
          <w:left w:w="28" w:type="dxa"/>
          <w:bottom w:w="28" w:type="dxa"/>
          <w:right w:w="28" w:type="dxa"/>
        </w:tblCellMar>
      </w:tblPr>
      <w:tblGrid>
        <w:gridCol w:w="1243"/>
        <w:gridCol w:w="1093"/>
        <w:gridCol w:w="1095"/>
        <w:gridCol w:w="753"/>
        <w:gridCol w:w="328"/>
        <w:gridCol w:w="263"/>
        <w:gridCol w:w="263"/>
        <w:gridCol w:w="263"/>
        <w:gridCol w:w="263"/>
        <w:gridCol w:w="576"/>
        <w:gridCol w:w="284"/>
        <w:gridCol w:w="263"/>
        <w:gridCol w:w="109"/>
        <w:gridCol w:w="109"/>
        <w:gridCol w:w="109"/>
        <w:gridCol w:w="668"/>
        <w:gridCol w:w="413"/>
        <w:gridCol w:w="235"/>
        <w:gridCol w:w="235"/>
        <w:gridCol w:w="235"/>
        <w:gridCol w:w="235"/>
        <w:gridCol w:w="511"/>
        <w:gridCol w:w="315"/>
        <w:gridCol w:w="344"/>
      </w:tblGrid>
      <w:tr>
        <w:trPr/>
        <w:tc>
          <w:tcPr>
            <w:tcW w:w="124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unvested stock units outstanding</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276,544 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291,045 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276,544 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147,951 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14,517,768 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629,271 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14,517,768 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629,271 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Sponsor Earnout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14,823,062 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949,066 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14,823,062 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805,972 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 xml:space="preserve">Note 12. Commitments and Contingencies </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Purchase Obligations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enters into purchase obligations in the normal course of business. These obligations include purchase orders and agreements to purchase goods or services that are enforceable, legally binding, and have significant terms and minimum purchases stipulated. As of June 30, 2024, the Company’s future unconditional purchase obligations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tbl>
      <w:tblPr>
        <w:tblW w:w="2660" w:type="dxa"/>
        <w:jc w:val="left"/>
        <w:tblInd w:w="0" w:type="dxa"/>
        <w:tblLayout w:type="fixed"/>
        <w:tblCellMar>
          <w:top w:w="28" w:type="dxa"/>
          <w:left w:w="28" w:type="dxa"/>
          <w:bottom w:w="28" w:type="dxa"/>
          <w:right w:w="28" w:type="dxa"/>
        </w:tblCellMar>
      </w:tblPr>
      <w:tblGrid>
        <w:gridCol w:w="608"/>
        <w:gridCol w:w="535"/>
        <w:gridCol w:w="536"/>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Legal Proceedings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Actions </w:t>
      </w:r>
    </w:p>
    <w:p>
      <w:pPr>
        <w:pStyle w:val="TextBody"/>
        <w:bidi w:val="0"/>
        <w:spacing w:lineRule="auto" w:line="268" w:before="0" w:after="0"/>
        <w:jc w:val="both"/>
        <w:rPr/>
      </w:pPr>
      <w:r>
        <w:rPr>
          <w:rFonts w:ascii="Times New Roman;sans-serif" w:hAnsi="Times New Roman;sans-serif"/>
          <w:b w:val="false"/>
          <w:color w:val="000000"/>
          <w:sz w:val="20"/>
        </w:rPr>
        <w:t xml:space="preserve">On July 15, 2021, a purported stockholder of SRAC filed a putative class action complaint against SRAC, SRC-NI Holdings, LLC ("Sponsor"), Brian Kabot (SRAC CEO), James Norris (SRAC CFO), Momentus, and the Company's co-founder and former CEO, Mikhail Kokorich, in the United States District Court for the Central District of California, in a case captioned </w:t>
      </w:r>
      <w:r>
        <w:rPr>
          <w:rFonts w:ascii="Times New Roman;sans-serif" w:hAnsi="Times New Roman;sans-serif"/>
          <w:b w:val="false"/>
          <w:i/>
          <w:color w:val="000000"/>
          <w:sz w:val="20"/>
        </w:rPr>
        <w:t>Jensen v. Stable Road Acquisition Corp., et al.</w:t>
      </w:r>
      <w:r>
        <w:rPr>
          <w:rFonts w:ascii="Times New Roman;sans-serif" w:hAnsi="Times New Roman;sans-serif"/>
          <w:b w:val="false"/>
          <w:color w:val="000000"/>
          <w:sz w:val="20"/>
        </w:rPr>
        <w:t>, No. 2:21-cv-05744 (the "</w:t>
      </w:r>
      <w:r>
        <w:rPr>
          <w:rFonts w:ascii="Times New Roman;sans-serif" w:hAnsi="Times New Roman;sans-serif"/>
          <w:b w:val="false"/>
          <w:i/>
          <w:color w:val="000000"/>
          <w:sz w:val="20"/>
        </w:rPr>
        <w:t>Jensen</w:t>
      </w:r>
      <w:r>
        <w:rPr>
          <w:color w:val="000000"/>
        </w:rPr>
        <w:t xml:space="preserve"> </w:t>
      </w:r>
      <w:r>
        <w:rPr>
          <w:rFonts w:ascii="Times New Roman;sans-serif" w:hAnsi="Times New Roman;sans-serif"/>
          <w:b w:val="false"/>
          <w:color w:val="000000"/>
          <w:sz w:val="20"/>
        </w:rPr>
        <w:t xml:space="preserve">class action"). The complaint alleges that the defendants omitted certain material information in their public statements and disclosures regarding the Business Combination, in violation of the securities laws, and seeks damages on behalf of a putative class of stockholders who purchased SRAC stock between October 7, 2020 and July 13, 2021. Subsequent complaints captioned </w:t>
      </w:r>
      <w:r>
        <w:rPr>
          <w:rFonts w:ascii="Times New Roman;sans-serif" w:hAnsi="Times New Roman;sans-serif"/>
          <w:b w:val="false"/>
          <w:i/>
          <w:color w:val="000000"/>
          <w:sz w:val="20"/>
        </w:rPr>
        <w:t>Hall v. Stable Road Acquisition Corp., et al.</w:t>
      </w:r>
      <w:r>
        <w:rPr>
          <w:rFonts w:ascii="Times New Roman;sans-serif" w:hAnsi="Times New Roman;sans-serif"/>
          <w:b w:val="false"/>
          <w:color w:val="000000"/>
          <w:sz w:val="20"/>
        </w:rPr>
        <w:t xml:space="preserve">, No. 2:21-cv-05943 and </w:t>
      </w:r>
      <w:r>
        <w:rPr>
          <w:rFonts w:ascii="Times New Roman;sans-serif" w:hAnsi="Times New Roman;sans-serif"/>
          <w:b w:val="false"/>
          <w:i/>
          <w:color w:val="000000"/>
          <w:sz w:val="20"/>
        </w:rPr>
        <w:t>Depoy v. Stable Road Acquisition Corp., et al.</w:t>
      </w:r>
      <w:r>
        <w:rPr>
          <w:rFonts w:ascii="Times New Roman;sans-serif" w:hAnsi="Times New Roman;sans-serif"/>
          <w:b w:val="false"/>
          <w:color w:val="000000"/>
          <w:sz w:val="20"/>
        </w:rPr>
        <w:t>, No. 2:21-cv-06287 were consolidated in the first filed matter (collectively, referred to as the "Securities Class Actions"). An amended complaint was filed on November 12, 2021. The Company disputes the allegations in the Securities Class Actions.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10, 2023, the lead plaintiff in the Securities Class Actions and the Company reached an agreement in principle to settle the Securities Class Actions. Under the terms of the agreement in principle, the lead plaintiff, on behalf of a class of all persons that purchased or otherwise acquired Company stock between October 7, 2020 and July 13, 2021, inclusive, would release the Company from all claims asserted or that could have been asserted in the Securities Class Actions and dismiss such claims with prejudice, in exchange for payment of $8.5 million by the Company (at least $4.0 million of which was funded by insurance proceeds).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2023, the parties filed a Notice of Settlement with the Court, and on August 18, 2023, the parties executed a Settlement Agreement. On August 30, 2023 the lead plaintiff filed a Motion for Preliminary Approval of Class Action Settlement, and the Court entered an Order Preliminarily Approving Settlement and Providing for Notice on September 21, 2023. Pursuant to that Order, on October 5, 2023, the Company paid $1.0 million into the settlement escrow account. On November 16, 2023, following the Court’s order granting lead plaintiff’s motion to enforce the settlement agreement and despite the Company’s attempts to negotiate an extension of time to satisfy its payment obligations, the Company paid an additional $3.5 million into the settlement escrow account. Insurance carriers made additional payments totaling $4.0 million into the settlement escrow account.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23, 2024, the Court entered an order and judgment finally approving the settlement of the Securities Class Actions. A group of plaintiffs asserting the Delaware Class Actions (see below) objected to the scope of the release in the settlement, and the Court overruled the objection. Those objectors may or may not appeal the Court’s decision to overrule their objections and approve the settlement. The Company does not know the timing of when such an appeal, if filed, would be heard. If the objectors do not appeal the approval of the settlement, or if their appeal is ultimately rejected by the Court of Appeal, then the settlement will resolve all claims in the Securities Class Actions against the Company (except as to any shareholders that may elect to opt-out of the class). The Company and the other defendants have denied and continue to deny each and all of the claims alleged in the Securities Class Actions, and the proposed settlement contains no admission of liability, wrongdoing or responsibility by any of the defendants. In the event that a court, on appeal or otherwise, overturns the approval of the settlement, the Company will continue to vigorously defend against the claims asserted in the Securities Class Actions.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agreement to settle the Securities Class Action, the Company recorded a litigation settlement contingency of $8.5 million. The Company additionally recorded an insurance receivable of $4.0 million for the insurance proceeds expected from its insurers related to the settlement. The net amount of $4.5 million was recognized in litigation settlement, net during the year ended December 31, 2022. As of March 31, 2024, the contingent liability in relation to Securities Class Action has been paid in full.</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CFIUS Review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2021, the Company and Mikhail Kokorich submitted a joint notice to the Committee on Foreign Investment in the United States (“CFIUS”) for review of the historical acquisition of interests in the Company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Mr. Kokorich, his wife, and entities that they control in response to concerns of the U.S. Department of Defense regarding the Company’s foreign ownership and control. On June 8, 2021, the U.S. Departments of Defense and the Treasury, on behalf of CFIUS, Mr. Kokorich, on behalf of himself and Nortrone Finance S.A. (an entity controlled by Mr. Kokorich), Lev Khasis and Olga Khasis, each in their respective individual capacities and on behalf of Brainyspace LLC (an entity controlled by Olga Khasis) entered into the 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NSA and pursuant to stock repurchase agreements entered into with the Company, effective as of June 8, 2021, each of Mr. Kokorich, Nortrone Finance S.A. and Brainyspace LLC (collectively “the Co-Founders”) agreed to sell 100% of their respective equity interests in the Company on June 30, 2021. The Company paid an aggregate of $40 million to the Co-Founders following the Business Combination, and an additional payment of an aggregate of $10 million was payable within 10 business days after cumulative business combination or capital raising transactions (whether in the form of debt or equity) resulted in cash proceeds to the Company of no less than $250 million.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2023 the Company raised aggregate gross proceeds of $10.0 million through the sale of securities (see Note 9 for additional information), which together with the Business Combination and other capital raising activities triggered the $10.0 million liability to the Co-Founders in accordance with the terms of the stock repurchase agreements. The amount had previously been recorded as an estimated liability with a corresponding offset to additional paid-in capital within the consolidated statements of stockholders’ equity as of December 31, 2022. CFIUS terminated the NSA in January 2024 at the request of the Company, and the Company is no longer subject to the provisions of the NSA.</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legal expenses related to these matters of approximately $0.1 million and $0.1 million for the three and six months ended June 30, 2024, respectively.</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Section 220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2022, Plaintiff and the Company’s shareholder James Burk filed a verified complaint against the Company in the Delaware Court of Chancery, Case. No. 2022-0519, to inspect the books and records of the Company pursuant to Section 220 of the Delaware General Corporation Law. Plaintiff seeks production of books and records relating to the management of the Company and its disclosures to potential investors in connection with the Business Combination. On March 14, 2023, the Court granted the parties stipulation of dismissal with prejudice, and the matter was closed. The Company from time to time responds to books and records requests properly submitted pursuant to applicable Delaware law.</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Shareholder Derivative Litigation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20, 2022, a shareholder derivative action was filed by Brian Lindsey, on behalf of the Company, in the U.S. District Court for the Central District of California, Case No. 2:22-cv-04212, against the Company (as a nominal defendant), SRAC, Brian Kabot, Juan Manuel Quiroga, James Norris, James Hofmockel, Mikhail Kokorich, Dawn Harms, Fred Kennedy, Chris Hadfield, Mitchel B. Kugler, Victorino Mercado, Kimberly A. Reed, Linda J. Reiners, and John C. Rood. This derivative action alleges the same core allegations as stated in the securities class action litigation. Defendants dispute the allegations as stated in this derivative action. On September 27, 2022, Plaintiff filed his Notice of Voluntary Dismissal without Prejudice seeking to dismiss the case. Because Plaintiff’s dismissal of this derivative action was voluntary and without prejudice, this plaintiff and/or other shareholders may seek to re-file the claims asserted in this matter at a later date. As noted below, Brian Lindsey re-filed a shareholder derivative action in Delaware Chancery Court on June 30, 2023.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25, 2023, a shareholder derivative action was filed by Melissa Hanna, on behalf of the Company, in the U.S. District Court for the Northern District of California, Case No. 5:23-cv-00374, against the Company (as a nominal defendant), SRAC, Brian Kabot, Juan Manuel Quiroga, James Norris, James Hofmockel, Mikhail Kokorich, Dawn Harms, Fred Kennedy, Chris Hadfield, Mitchel B. Kugler, Victorino Mercado, Kimberly A. Reed, Linda J. Reiners, and John C. Rood (the “Derivative Action II”). The Derivative Action II alleges the same core allegations as stated in the Securities Class Actions, and also claims that the Company ignored and/or refused a prior demand made by Ms. Hanna on the Company’s Board of Directors. The Company intends to vigorously defend the litigation.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25, 2023, a shareholder derivative action was filed by Justin Rivlin, purportedly on behalf of the Company, in the U.S. District Court for the District of California, Case No. 2:23-cv-03120, against the Company (as a nominal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defendant), Brian Kabot, James Norris, Marc Lehmann, James Hofmockel, and Ann Kono. The Rivlin derivative action alleges the same core allegations as stated in the Securities Class Actions. The Company has filed a motion to dismiss the complaint on the grounds that the claims are time-barred and that the plaintiff was not excused from making a demand on the Company before filing the lawsuit. The Company intends to vigorously defend the litigation. On August 4, 2023, the plaintiff in the Rivlin action responded to the Company’s motion to dismiss by filing an amended complaint adding new claims and new defendants, including existing Board members Chris Hadfield, Mitchel B. Kugler, Kimberly A. Reed, Linda J. Reiners and John C. Rood.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a shareholder derivative action was filed by Brian Lindsey, purportedly on behalf of the Company in the Court of Chancery for the State of Delaware (Case No. 2023-0674), against the Company (as a nominal defendant), Juan Manuel Quiroga, James Norris, James Hofmockel, Stable Road Acquisition Corp., SRC-NI Holdings, LLC, Mikhail Kokorich, Brian Kabot, Dawn Harms, Fred Kennedy, Chris Hadfield, Mitchel B. Kugler, Victorino Mercado, Kimberly A. Reed, Linda J. Reiners and John C. Rood. The Lindsey derivative action alleges the same core allegations as stated in the Securities Class Actions. The Company intends to vigorously defend the litigation.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greater detail in Note 15, on August 26, 2024, an unopposed motion for the preliminary approval of settlement was filed after the Company reached an agreement in principle for a proposed settlement of the above described shareholder derivative litigation. On September 16, 2026, an order preliminarily approving the proposed settlement, subject to further consideration at a November 21, 2024, settlement hearing, was entered in the U.S. District Court for the Northern District of California.</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SAFE Note Litigation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20, 2022, The Larian Living Trust ("TLLT") filed an action against the Company in New Castle County Superior Court, Delaware, in the Complex Commercial Litigation Division, Case No. N22C-07-133 EMD CCLD. TLLT pleads claims for fraudulent inducement and breach of contract arising from two investment contracts pursuant to which TLLT alleges it invested $4.0 million in the Company. TLLT alleges that a "liquidity event" occurred when the Company closed the Business Combination, such that it was entitled to the greater of its $4.0 million investment or its “Conversion Amount” of the Company’s shares, which was a total of 14,500 shares of the Company’s stock. TLLT further alleges that the Company refused to provide it the conversion amount of shares until April 2022, at which point the value of its shares had dropped significantly from their peak value in August of 2021, in excess of $7.6 million. TLLT seeks damages in excess of $7.6 million, in addition to interests and its attorney's fees and costs. On March 16, 2023, the Company’s motion to dismiss TLLT’s claims was denied and the parties will move forward with discovery. On July 13, 2023, the Company filed a motion for partial summary judgment. The hearing on the Company’s motion for partial summary judgment was set for November 8, 2023, TLLT filed an Answering Brief on September 15, 2023, and the Company filed a Reply Brief on October 16, 2023. On January 31, 2024, the Superior Court denied the Company’s motion for partial summary judgment. The Company disputes the allegations in the complaint and intends to vigorously defend the litigation.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Founder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On June 8, 2021, former co-founders and shareholders of the Company, Mikhail Kokorich and Lev Khasis signed the NSA alongside stock repurchase agreements, whereby they agreed to divest their interests in the Company in exchange for a cash payments and other considerations. As part of the NSA and stock repurchase agreements, Messrs. Kokorich and Khasis agreed to a broad waiver and release of all claims (broadly defined) against the Company. The Company has maintained that this release is effective as to various advancement and indemnification claims either individual may have against the Company.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Both Messrs. Kokorich and Khasis have, through counsel, disagreed with the Company’s position. For example, Mr. Kokorich is named as a defendant in the securities class action pending against the Company and other defendants, although he has not been served nor appeared in those matters. In addition, Mr. Kokorich is the sole defendant in a civil litigation action filed against him by the Securities and Exchange Commission, which remains pending in the US District Court for the District of Columbia, Case No. 1:21-cv-01869. Mr. Kokorich has demanded indemnification and advancement from the Company for his fees and costs incurred in these actions, which claims are disputed by the Company.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maintain that Mr. Kokorich’s release in the NSA and stock repurchase agreements is effective as to his claims for advancement and indemnification in these litigation matters. On August 16, 2022, Mr. Kokorich filed a verified complaint against the Company in the Delaware Court of Chancery (Case. No. 2022-0722)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seeking indemnification and advancement from the Company. Following the Company filing a motion to dismiss this action, on November 14, 2022, Mr. Kokorich filed an amended complaint. Additional motions to dismiss and replies were filed and considered at a hearing on February 2, 2023. The Delaware Court of Chancery granted the Company’s motion to dismiss the Kokorich indemnification claim action on May 15, 2023.On June 13, 2023, Kokorich filed a notice of appeal. On July 28, 2023, Kokorich filed Appellant’s Brief. The Company filed Appellee’s Answering Brief on August 28, 2023, and Kokorich filed a Reply Brief on September 15, 2023. The oral argument on Kokorich’s appeal was scheduled for November 15, 2023. On November 30, 2023, the Delaware Supreme Court affirmed the judgement of the Delaware Court of Chancery.</w:t>
      </w:r>
    </w:p>
    <w:p>
      <w:pPr>
        <w:pStyle w:val="TextBody"/>
        <w:bidi w:val="0"/>
        <w:spacing w:before="0" w:after="0"/>
        <w:jc w:val="left"/>
        <w:rPr/>
      </w:pPr>
      <w:r>
        <w:rPr/>
      </w:r>
    </w:p>
    <w:p>
      <w:pPr>
        <w:pStyle w:val="TextBody"/>
        <w:bidi w:val="0"/>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2023, Mr.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claim. Moreover, the Court of Chancery further ordered the parties to prepare a scheduling order to the Court which includes all relevant deadlines to argue the Company’s motion to dismiss and Khasis’ expedited motion for advancement concurrently. The parties are currently negotiating concerning an acceptable schedule. On October 17, 2023, the parties reached an agreement to stay the proceeding until January 1, 2024. On October 18, 2023, the Company paid Mr. Khasis $0.1 million related to Mr. Khasis’ legal expenses. The Company disputes the allegations in the complaint and intends to vigorously defend the litigation.</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Delaware Class Actions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10, 2022, purported stockholders filed a putative class action complaint against Brian Kabot, James Hofmockel, Ann Kono, Marc Lehmann, James Norris, Juan Manuel Quiroga, SRC-NI Holdings, LLC, Edward K. Freedman, Mikhail Kokorich, Dawn Harms, Fred Kennedy, and John C. Rood in the Court of Chancery of the State of Delaware, in a case captioned Shirley, et al. v. Kabot et al., 2022-1023-PAF (the “Shirley Action”). The complaint alleges that the defendants made certain material misrepresentations, and omitted certain material information, in their public statements and disclosures regarding the Proposed Transaction, in violation of the securities laws, and seeks damages on behalf of a putative class of stockholders who purchased SRAC stock on or before August 9,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16, 2023, purported stockholders of the Company filed a putative class action complaint against certain current and former directors and officers of the Company in the Delaware Court of Chancery, in a case captioned Lora v. Kabot, et al., Case No. 2023-0322 (the “Lora Action”). Like the Shirley complaint, the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17, 2023, purported stockholders of the Company filed a putative class action complaint against certain current and former directors and officers of the Company in the Delaware Court of Chancery, in a case captioned Burk v. Kabot, et al., Case No. 2023-0334 (the “Burk Action”). Like the Lora and Shirley complaints, the Burk complaint alleges that the defendants made certain material misrepresentations, and omitted certain material information, in their public statements and disclosures regarding the Business Combination in violation of the securities laws, and seeks damages on behalf of a putative class of stockholders who purchased SRAC stock on or before August 9, 2021.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2023, plaintiffs filed a stipulation and proposed order for consolidation and appointment of co-lead plaintiffs and co-lead plaintiffs’ counsel designating the complaint filed in the Lora Action as the operative complaint. On June 30, 2023, the defendants each filed a motion to dismiss the complaint. On October 26, 2023, plaintiffs filed their answering briefs in opposition to the motions to dismiss, and the defendants’ reply briefs are due to be filed on or before December 14, 2023, and a hearing on the motions to dismiss was held for February 1,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Shirley Action, the Lora Action, and the Burk Action have been consolidated under the caption, In re Momentus, Inc. Stockholders Litigation, C.A. No. 2022-1023-PAF (Del Ch. Nov. 10, 2022). These putative class actions do not name the Company as a defendant. Regardless, the SRAC directors and officers, together with current and former directors and officers of the Company, have demanded indemnification and advancement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under the terms of the merger agreement and the exhibits thereto, the Delaware corporate code, the Company’s bylaws, and their individual indemnification agreements. The Company may be liable for the fees and costs incurred by the defendants and has an obligation to advance such fees during the pendency of the litigation. The Company understands that the defendants dispute the allegations in the complaint and intend to vigorously defend against any such litigation. </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Threatened Claims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23, 2023, Stephen J. Purcell, on behalf of the law firm Purcell &amp; Lefkowitz LLP, threatened to file a legal proceeding to receive attorney’s fees in the amount of $80,000 related to a stockholder litigation demand letter submitted to Momentus, dated July 20, 2021 on behalf of Joel Zalvin, a purported stockholder of Momentus. The stockholder litigation demand letter asserted that the vote to increase the number of shares of Class A common stock of Momentus at the special meeting of stockholders on August 11, 2021 was conducted in violation of Delaware law. On March 14, 2023, the Delaware Court of Chancery granted the Company’s request pursuant to 8 Del. C. §205, or Section 205 of the Delaware General Corporation Law (the “Petition”) in order to validate and declare effective the Second Amended and Restated Certificate of Incorporation of the Company and validate and declare effective the shares of the Company’s Class A common stock issued in reliance on such provisions of the Second Amended and Restated Certificate of Incorporation of the Company as of the date of the original issuance of such shares. Further on March 14, 2023, the Court of Chancery entered an order under 8 Del. C. §205 (i) declaring the Second Amended and Restated Certificate of Incorporation of the Company, including the filing and effectiveness thereof, as validated and effective retroactive to the date of its filing with the Office of the Secretary of State of the State of Delaware on August 12, 2021, and (ii) ordering that the Company’s Class A common stock (and the issuance of the Class A common stock) described in the Petition and any other securities issued in reliance of the validity of the Second Amended and Restated Certificate of Incorporation of the Company are validated and declared effective, each as of the original issuance dates. Momentus did not take action in response to the July 20, 2021 demand letter, but rather filed the Petition over one year later, following a decision by the Delaware Chancery Court that created uncertainty as to the validity of the Company’s Second Amended and Restated Certificate of Incorporation. Accordingly, Momentus believes that the threatened claim is without merit and intends to vigorously defend any such claim if brought.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the Business Combination, Alex Ciccotelli, represented by Rigrodsky Law, sent SRAC a disclosure demand letter dated November 9, 2020, and Jeffrey Justice II, represented by Grabar Law Office, sent SRAC a disclosure demand letter dated August 3, 2021. Mr. Ciccotelli then filed a civil action against SRAC. After receiving various shareholder disclosure demands, SRAC voluntarily issued certain pre-closing supplemental disclosures, without admission, as stated in its August 5, 2021 Form 8-K filing. The Ciccotelli action was thereafter dismissed as moot. On March 20, 2023, Rigrodsky Law threatened to file a fee petition seeking an award of fees and expenses if the Company does not agree to pay a mootness fee, and more recently, in October 2023, reiterated the demand on behalf of Messrs. Ciccotelli and Justice for payment of mootness fees. The Company maintains that, while certain amendments were made by SRAC to pre-closing disclosures, none of the disclosures made was material and the Company disputes that the claims for fees have merit.</w:t>
      </w:r>
    </w:p>
    <w:p>
      <w:pPr>
        <w:pStyle w:val="TextBody"/>
        <w:bidi w:val="0"/>
        <w:spacing w:lineRule="auto" w:line="26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Litigation and Related Matters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operating results and financial condition.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88" w:before="160" w:after="160"/>
        <w:jc w:val="both"/>
        <w:rPr/>
      </w:pPr>
      <w:r>
        <w:rPr>
          <w:rFonts w:ascii="Times New Roman;sans-serif" w:hAnsi="Times New Roman;sans-serif"/>
          <w:b/>
          <w:color w:val="000000"/>
          <w:sz w:val="20"/>
        </w:rPr>
        <w:t>Note 12. Commitments and Contingencies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At each reporting period, the Company evaluates whether or not a potential loss amount or a potential range of loss is probable and reasonably estimable under ASC Sub-Topic 450-20. Legal fees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13. Income Taxes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for the three and six months ended June 30, 2024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14. Related Party Transactions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Promissory Notes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21, 2024, the Company issued six promissory notes for an aggregate amount of $500,000 to participating directors and an officer of the Company. The proceeds from the notes were used to pay for employee retention payments, working capital, and general corporate expenses. Each note issued bore an annual interest rate of 5.12% equal to the minimum applicable federal rate published by the Internal Revenue Service for June 2024. Each note held a maturity date of September 30, 2024 and was secured by the Company’s assets. Principal and interest payments were due by the maturity date and the notes would have become immediately due upon the occurrence of certain customary event of default, including failure to pay amounts owing when due and/or certain events involving a discontinuation of our business or certain types of proceedings involving insolvency, bankruptcy, receivership and the like. On September 12, 2024, the six promissory notes were repaid in full to the participating directors and officer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Note 15. Subsequent Events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Promissory Note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12, 2024, the Company and Space Infrastructure Ventures (“SIV”) entered into a secured convertible promissory note (the “Convertible Note”) pursuant to which the Company borrowed $2.3 million as of September 26, 2024. The Convertible Note bears an annual interest rate of 15%. Principal on the Convertible Note is to be re-paid in four equal payments on a quarterly basis, commencing on December 1, 2024, and maturing on September 1, 2025, at which time all accrued interest is due.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Amounts borrowed under the Convertible Note are secured by a lien on substantially all of the assets of the Company. In lieu of cash payments of accrued interest, SIV, in its sole discretion, may elect to receive shares of Class A common stock at a conversion price of $0.53 per share (the “Conversion Price”). On the maturity date, subject to the satisfaction of applicable legal and regulatory conditions, all outstanding obligations under the Convertible Note automatically convert into Class A common stock at the Conversion Price.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requires SIV’s consent to take certain actions, such as increasing compensation, purchasing assets, extending financing, making capital expenditures, repaying debts outside the ordinary course of business or investing in any entity or enterprise.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 can be prepaid in full at any time, subject to a prepayment penalty fee of 10%. The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Indemnification Claims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2024, certain former employees of the Company obtained a legal judgment in the amount of $526 thousand inclusive of interest and expenses related to claims for the advancement and reimbursement of certain legal expenses of the former employees. The Company paid the former employees $526 thousand inclusive of interest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Note 15. Subsequent Events</w:t>
      </w:r>
      <w:r>
        <w:rPr>
          <w:color w:val="000000"/>
        </w:rPr>
        <w:t xml:space="preserve"> </w:t>
      </w:r>
      <w:r>
        <w:rPr>
          <w:rFonts w:ascii="Times New Roman;sans-serif" w:hAnsi="Times New Roman;sans-serif"/>
          <w:b w:val="false"/>
          <w:color w:val="000000"/>
          <w:sz w:val="20"/>
        </w:rPr>
        <w:t>(cont.)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expenses related to claims for the advancement and reimbursement of certain legal expenses of the former employees in September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Venture-Class Acquisition of Dedicated Rideshare Contract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22, 2024, NASA selected the Company to participate as a launch provider in the Venture-Class Acquisition of Dedicated Rideshare (“VADR”) contract. The VADR program is anticipated to allow NASA to deliver Class D, CubeSats, and higher risk-tolerant payloads to a variety of orbits. The Company executed the VADR contract with NASA on August 19, 2024.</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Settlement of Derivative Litigation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26, 2024, an unopposed motion for the preliminary approval of settlement was filed after the Company reached an agreement in principle for a proposed settlement of certain shareholder derivative litigation. The proposed settlement, as set forth more fully in the Stipulation and Agreement of Settlement filed with the court, requires the Company to adopt certain corporate governance reforms. The reforms must be maintained for a minimum period of four years.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2024, the U.S. District Court for the Northern District of California issued an order primarily approving the settlement and providing for notice of the settlement to stockholders of the Company in the matters captioned Hanna v. Kabot, et al., Case No. 5:23-cv-00374 (N.D. Cal.); Rivlen v. Kabot, et al., Case No. 2:23-cv-03120 (C.D. Cal.); Lindsey v. Quiroga, et al.,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order set a final approval hearing for November 21, 2024. </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September 2024 Securities Purchase Agreement</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September 15, 2024</w:t>
      </w:r>
      <w:r>
        <w:rPr>
          <w:rFonts w:ascii="Times New Roman;sans-serif" w:hAnsi="Times New Roman;sans-serif"/>
          <w:b w:val="false"/>
          <w:color w:val="000000"/>
          <w:sz w:val="20"/>
          <w:shd w:fill="FFFFFF" w:val="clear"/>
        </w:rPr>
        <w:t xml:space="preserve">, the Company entered into a Securities Purchase Agreement with an investor, pursuant to which the Company issued and sold to an investor in a private placement transaction (the “September Offering”), (i) pre-funded warrants to purchase </w:t>
      </w:r>
      <w:r>
        <w:rPr>
          <w:rFonts w:ascii="Times New Roman;sans-serif" w:hAnsi="Times New Roman;sans-serif"/>
          <w:b w:val="false"/>
          <w:color w:val="000000"/>
          <w:sz w:val="20"/>
        </w:rPr>
        <w:t>5,000,000</w:t>
      </w:r>
      <w:r>
        <w:rPr>
          <w:color w:val="000000"/>
          <w:shd w:fill="FFFFFF" w:val="clear"/>
        </w:rPr>
        <w:t xml:space="preserve"> </w:t>
      </w:r>
      <w:r>
        <w:rPr>
          <w:rFonts w:ascii="Times New Roman;sans-serif" w:hAnsi="Times New Roman;sans-serif"/>
          <w:b w:val="false"/>
          <w:color w:val="000000"/>
          <w:sz w:val="20"/>
          <w:shd w:fill="FFFFFF" w:val="clear"/>
        </w:rPr>
        <w:t xml:space="preserve">shares of the Company’s Class A common stock at a purchase price of </w:t>
      </w:r>
      <w:r>
        <w:rPr>
          <w:rFonts w:ascii="Times New Roman;sans-serif" w:hAnsi="Times New Roman;sans-serif"/>
          <w:b w:val="false"/>
          <w:color w:val="000000"/>
          <w:sz w:val="20"/>
        </w:rPr>
        <w:t>$0.55</w:t>
      </w:r>
      <w:r>
        <w:rPr>
          <w:color w:val="000000"/>
          <w:shd w:fill="FFFFFF" w:val="clear"/>
        </w:rPr>
        <w:t xml:space="preserve"> </w:t>
      </w:r>
      <w:r>
        <w:rPr>
          <w:rFonts w:ascii="Times New Roman;sans-serif" w:hAnsi="Times New Roman;sans-serif"/>
          <w:b w:val="false"/>
          <w:color w:val="000000"/>
          <w:sz w:val="20"/>
          <w:shd w:fill="FFFFFF" w:val="clear"/>
        </w:rPr>
        <w:t xml:space="preserve">per share (the “September Pre-Funded Warrants”), (ii) Class A warrants to purchase </w:t>
      </w:r>
      <w:r>
        <w:rPr>
          <w:rFonts w:ascii="Times New Roman;sans-serif" w:hAnsi="Times New Roman;sans-serif"/>
          <w:b w:val="false"/>
          <w:color w:val="000000"/>
          <w:sz w:val="20"/>
        </w:rPr>
        <w:t>10,000,000</w:t>
      </w:r>
      <w:r>
        <w:rPr>
          <w:color w:val="000000"/>
          <w:shd w:fill="FFFFFF" w:val="clear"/>
        </w:rPr>
        <w:t xml:space="preserve"> </w:t>
      </w:r>
      <w:r>
        <w:rPr>
          <w:rFonts w:ascii="Times New Roman;sans-serif" w:hAnsi="Times New Roman;sans-serif"/>
          <w:b w:val="false"/>
          <w:color w:val="000000"/>
          <w:sz w:val="20"/>
          <w:shd w:fill="FFFFFF" w:val="clear"/>
        </w:rPr>
        <w:t xml:space="preserve">shares of Class A common stock (the “Class A Warrants”), and (iii) Class B warrants to purchase </w:t>
      </w:r>
      <w:r>
        <w:rPr>
          <w:rFonts w:ascii="Times New Roman;sans-serif" w:hAnsi="Times New Roman;sans-serif"/>
          <w:b w:val="false"/>
          <w:color w:val="000000"/>
          <w:sz w:val="20"/>
        </w:rPr>
        <w:t>5,000,000</w:t>
      </w:r>
      <w:r>
        <w:rPr>
          <w:color w:val="000000"/>
          <w:shd w:fill="FFFFFF" w:val="clear"/>
        </w:rPr>
        <w:t xml:space="preserve"> </w:t>
      </w:r>
      <w:r>
        <w:rPr>
          <w:rFonts w:ascii="Times New Roman;sans-serif" w:hAnsi="Times New Roman;sans-serif"/>
          <w:b w:val="false"/>
          <w:color w:val="000000"/>
          <w:sz w:val="20"/>
          <w:shd w:fill="FFFFFF" w:val="clear"/>
        </w:rPr>
        <w:t>shares of Class A common stock (the “Class B Warrants” and, collectively with the Class A Warrants, the “September Warrants”).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 Company received aggregate gross proceeds of approximately </w:t>
      </w:r>
      <w:r>
        <w:rPr>
          <w:rFonts w:ascii="Times New Roman;sans-serif" w:hAnsi="Times New Roman;sans-serif"/>
          <w:b w:val="false"/>
          <w:color w:val="000000"/>
          <w:sz w:val="20"/>
        </w:rPr>
        <w:t>$2.75 million</w:t>
      </w:r>
      <w:r>
        <w:rPr>
          <w:rFonts w:ascii="Times New Roman;sans-serif" w:hAnsi="Times New Roman;sans-serif"/>
          <w:b w:val="false"/>
          <w:color w:val="000000"/>
          <w:sz w:val="20"/>
          <w:shd w:fill="FFFFFF" w:val="clear"/>
        </w:rPr>
        <w:t xml:space="preserve">, before deducting estimated placement agent commissions and expenses. The offering closed on </w:t>
      </w:r>
      <w:r>
        <w:rPr>
          <w:rFonts w:ascii="Times New Roman;sans-serif" w:hAnsi="Times New Roman;sans-serif"/>
          <w:b w:val="false"/>
          <w:color w:val="000000"/>
          <w:sz w:val="20"/>
        </w:rPr>
        <w:t>September 17, 2024</w:t>
      </w:r>
      <w:r>
        <w:rPr>
          <w:rFonts w:ascii="Times New Roman;sans-serif" w:hAnsi="Times New Roman;sans-serif"/>
          <w:b w:val="false"/>
          <w:color w:val="000000"/>
          <w:sz w:val="20"/>
          <w:shd w:fill="FFFFFF" w:val="clear"/>
        </w:rPr>
        <w:t>.</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 September Pre-Funded Warrants have an exercise price of </w:t>
      </w:r>
      <w:r>
        <w:rPr>
          <w:rFonts w:ascii="Times New Roman;sans-serif" w:hAnsi="Times New Roman;sans-serif"/>
          <w:b w:val="false"/>
          <w:color w:val="000000"/>
          <w:sz w:val="20"/>
        </w:rPr>
        <w:t>$0.00001</w:t>
      </w:r>
      <w:r>
        <w:rPr>
          <w:color w:val="000000"/>
          <w:shd w:fill="FFFFFF" w:val="clear"/>
        </w:rPr>
        <w:t xml:space="preserve"> </w:t>
      </w:r>
      <w:r>
        <w:rPr>
          <w:rFonts w:ascii="Times New Roman;sans-serif" w:hAnsi="Times New Roman;sans-serif"/>
          <w:b w:val="false"/>
          <w:color w:val="000000"/>
          <w:sz w:val="20"/>
          <w:shd w:fill="FFFFFF" w:val="clear"/>
        </w:rPr>
        <w:t>per share and are exercisable any time after issuance and will not expire until exercised.</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The September Warrants have an exercise price per share of Class A common stock equal to </w:t>
      </w:r>
      <w:r>
        <w:rPr>
          <w:rFonts w:ascii="Times New Roman;sans-serif" w:hAnsi="Times New Roman;sans-serif"/>
          <w:b w:val="false"/>
          <w:color w:val="000000"/>
          <w:sz w:val="20"/>
        </w:rPr>
        <w:t>$0.575</w:t>
      </w:r>
      <w:r>
        <w:rPr>
          <w:color w:val="000000"/>
          <w:shd w:fill="FFFFFF" w:val="clear"/>
        </w:rPr>
        <w:t xml:space="preserve"> </w:t>
      </w:r>
      <w:r>
        <w:rPr>
          <w:rFonts w:ascii="Times New Roman;sans-serif" w:hAnsi="Times New Roman;sans-serif"/>
          <w:b w:val="false"/>
          <w:color w:val="000000"/>
          <w:sz w:val="20"/>
          <w:shd w:fill="FFFFFF" w:val="clear"/>
        </w:rPr>
        <w:t xml:space="preserve">per share. The Class A Warrants will expire on </w:t>
      </w:r>
      <w:r>
        <w:rPr>
          <w:rFonts w:ascii="Times New Roman;sans-serif" w:hAnsi="Times New Roman;sans-serif"/>
          <w:b w:val="false"/>
          <w:color w:val="000000"/>
          <w:sz w:val="20"/>
        </w:rPr>
        <w:t>March 17, 2030</w:t>
      </w:r>
      <w:r>
        <w:rPr>
          <w:rFonts w:ascii="Times New Roman;sans-serif" w:hAnsi="Times New Roman;sans-serif"/>
          <w:b w:val="false"/>
          <w:color w:val="000000"/>
          <w:sz w:val="20"/>
          <w:shd w:fill="FFFFFF" w:val="clear"/>
        </w:rPr>
        <w:t xml:space="preserve">, and the Class B Warrants will expire on </w:t>
      </w:r>
      <w:r>
        <w:rPr>
          <w:rFonts w:ascii="Times New Roman;sans-serif" w:hAnsi="Times New Roman;sans-serif"/>
          <w:b w:val="false"/>
          <w:color w:val="000000"/>
          <w:sz w:val="20"/>
        </w:rPr>
        <w:t>March 17, 2026</w:t>
      </w:r>
      <w:r>
        <w:rPr>
          <w:rFonts w:ascii="Times New Roman;sans-serif" w:hAnsi="Times New Roman;sans-serif"/>
          <w:b w:val="false"/>
          <w:color w:val="000000"/>
          <w:sz w:val="20"/>
          <w:shd w:fill="FFFFFF" w:val="clear"/>
        </w:rPr>
        <w:t>. The exercise price and the number of shares of Class A common stock issuable upon exercise of the September Warrants is subject to appropriate adjustments in the event of certain stock dividends and distributions, stock splits, stock combinations, reclassifications or similar events affecting the Class A common stock. The investor may not exercise the September Warrants until 6 months after the original issuance date of the September Warrants.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In connection with the September Offering, the Company entered into a Placement Agency Agreement on </w:t>
      </w:r>
      <w:r>
        <w:rPr>
          <w:rFonts w:ascii="Times New Roman;sans-serif" w:hAnsi="Times New Roman;sans-serif"/>
          <w:b w:val="false"/>
          <w:color w:val="000000"/>
          <w:sz w:val="20"/>
        </w:rPr>
        <w:t>September 15, 2024</w:t>
      </w:r>
      <w:r>
        <w:rPr>
          <w:rFonts w:ascii="Times New Roman;sans-serif" w:hAnsi="Times New Roman;sans-serif"/>
          <w:b w:val="false"/>
          <w:color w:val="000000"/>
          <w:sz w:val="20"/>
          <w:shd w:fill="FFFFFF" w:val="clear"/>
        </w:rPr>
        <w:t xml:space="preserve">, with the agency which assisted with the transaction. The Company paid a cash placement agent commission equal to 7.0% of gross proceeds from the September Offering and issued warrants (the “Placement Agent Warrants”) to purchase </w:t>
      </w:r>
      <w:r>
        <w:rPr>
          <w:rFonts w:ascii="Times New Roman;sans-serif" w:hAnsi="Times New Roman;sans-serif"/>
          <w:b w:val="false"/>
          <w:color w:val="000000"/>
          <w:sz w:val="20"/>
        </w:rPr>
        <w:t>500,000</w:t>
      </w:r>
      <w:r>
        <w:rPr>
          <w:color w:val="000000"/>
          <w:shd w:fill="FFFFFF" w:val="clear"/>
        </w:rPr>
        <w:t xml:space="preserve"> </w:t>
      </w:r>
      <w:r>
        <w:rPr>
          <w:rFonts w:ascii="Times New Roman;sans-serif" w:hAnsi="Times New Roman;sans-serif"/>
          <w:b w:val="false"/>
          <w:color w:val="000000"/>
          <w:sz w:val="20"/>
          <w:shd w:fill="FFFFFF" w:val="clear"/>
        </w:rPr>
        <w:t xml:space="preserve">shares of Class A common stock at an exercise price of </w:t>
      </w:r>
      <w:r>
        <w:rPr>
          <w:rFonts w:ascii="Times New Roman;sans-serif" w:hAnsi="Times New Roman;sans-serif"/>
          <w:b w:val="false"/>
          <w:color w:val="000000"/>
          <w:sz w:val="20"/>
        </w:rPr>
        <w:t>$0.6325</w:t>
      </w:r>
      <w:r>
        <w:rPr>
          <w:rFonts w:ascii="Times New Roman;sans-serif" w:hAnsi="Times New Roman;sans-serif"/>
          <w:b w:val="false"/>
          <w:color w:val="000000"/>
          <w:sz w:val="20"/>
          <w:shd w:fill="FFFFFF" w:val="clear"/>
        </w:rPr>
        <w:t>, exercisable immediately, as compensation for services. One half of the Placement Agent Warrants have a term of 18 months from the date of issuance and the other half have a term of five years from the date of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June 6, 2024. This discussion and analysis should also be read together with our financial information for the period ended as of June 30, 2024.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June 6, 2024, and “Cautionary Statement Regarding Forward-Looking Statements” elsewhere in this Form 10-Q, our actual results may differ materially from those anticipated in these forward-looking statements.</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Momentus offers or plans to offer satellites, satellite buses, satellite technologies including solar arrays, and transportation and infrastructure services to help enable the commercialization of space for commercial companies and to support the missions of U.S. and friendly governments missions. Satellite operators are our target commercial customers. Momentus is also seeking business in support of U.S. Government missions for Departments and Agencies like NASA and the Department of Defense.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Products and services that we plan to provide include provision of satellites, satellite buses, satellite technologies including solar arrays, integration of payload instruments, “last mile” satellite transportation, payload-hosting, on-orbit satellite refueling, on-orbit inspection, on-orbit satellite maintenance, de-orbiting, debris removal, and other satellite-to-satellite service offerings.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Momentus’ founding in 2017, we have been working to develop, test and enhance our vehicles and supporting technologies, particularly our water plasma propulsion technology.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earth observation and data collection services, and other satellite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Beyond transportation, we anticipate that growth of the satellite constellations market may drive demand for our satellites, satellites buses, and technologies like solar arrays, hosted payload, on-orbit satellite refueling, on-orbit inspection, on-orbit satellite maintenance, de-orbiting, debris removal, and other satellite-to-satellite service offerings, if we are successful in executing on our business plan, including fully developing and validating our technology in space. Satellite constellations have relatively low lifespans and, in our view, will require maintenance, de-orbiting, and other general servicing with higher frequency.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Momentus has developed the M-1000 satellite bus that the Company is offering to both commercial and U.S. government customers. The market for satellite buses in this class is substantial and growing. The M-1000 satellite bus is based on the Vigoride OSV and has substantial commonality.</w:t>
      </w:r>
    </w:p>
    <w:p>
      <w:pPr>
        <w:pStyle w:val="TextBody"/>
        <w:bidi w:val="0"/>
        <w:spacing w:lineRule="auto" w:line="288" w:before="0" w:after="0"/>
        <w:jc w:val="both"/>
        <w:rPr/>
      </w:pPr>
      <w:r>
        <w:rPr>
          <w:rFonts w:ascii="Times New Roman;sans-serif" w:hAnsi="Times New Roman;sans-serif"/>
          <w:b w:val="false"/>
          <w:color w:val="000000"/>
          <w:sz w:val="20"/>
        </w:rPr>
        <w:t>Momentus has launched four missions to date, deployed 17 customer satellites, and provided hosted payload services. Three of these missions involved operation of the Vigoride OSV in orbit.</w:t>
      </w:r>
      <w:r>
        <w:rPr>
          <w:color w:val="000000"/>
        </w:rPr>
        <w:t xml:space="preserve"> </w:t>
      </w:r>
      <w:r>
        <w:rPr>
          <w:rFonts w:ascii="Times New Roman;sans-serif" w:hAnsi="Times New Roman;sans-serif"/>
          <w:b w:val="false"/>
          <w:color w:val="000000"/>
          <w:sz w:val="20"/>
        </w:rPr>
        <w:t>During these three Vigoride missions, the system and technology were tested repeatedly.</w:t>
      </w:r>
      <w:r>
        <w:rPr>
          <w:color w:val="000000"/>
        </w:rPr>
        <w:t xml:space="preserve"> </w:t>
      </w:r>
      <w:r>
        <w:rPr>
          <w:rFonts w:ascii="Times New Roman;sans-serif" w:hAnsi="Times New Roman;sans-serif"/>
          <w:b w:val="false"/>
          <w:color w:val="000000"/>
          <w:sz w:val="20"/>
        </w:rPr>
        <w:t>Improvements based on lessons learned during these missions were rapidly incorporated.</w:t>
      </w:r>
      <w:r>
        <w:rPr>
          <w:color w:val="000000"/>
        </w:rPr>
        <w:t xml:space="preserve"> </w:t>
      </w:r>
      <w:r>
        <w:rPr>
          <w:rFonts w:ascii="Times New Roman;sans-serif" w:hAnsi="Times New Roman;sans-serif"/>
          <w:b w:val="false"/>
          <w:color w:val="000000"/>
          <w:sz w:val="20"/>
        </w:rPr>
        <w:t>As a result of these three missions, the Vigoride OSV has been successfully demonstrated in space and accumulated significant flight heritage.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the Company recognized $1.2 million of revenue, primarily from the completion of performance obligations on engineering services performed for U.S. government as well as some forfeited customer deposits upon contract expiration and engineering project services.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have signed contracts with customers and have collected approximately $1.1 million in customer deposits, $0.6 million of which are recorded as non-current contract liabilities in our condensed consolidated balance sheets.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case-by-case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third-party launch costs. Development of the orbital service vehicles is part of the Company’s technology roadmap. Therefore, to date, the cost of these orbital service vehicles has been expensed as research and development costs as materials and services are received. The current design and technology allow for a single use of the orbital service vehicle.</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expenditures consist primarily of the cost of the following activities for developing existing and future technologies for our satellites, satellite technologies, and our Orbital Service Vehicles. Research and development activities include basic research, applied research, design, development, and related test program activities. Costs incurred for developing our technologies primarily include equipment, material, and labor hours (both internal and subcontractors). The Company also records launch costs related to the testing of its Vigoride vehicles as research and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expensed all research and development costs associated with developing and building our vehicles.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 </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warrants consists of changes in the estimated fair value of our warrant liability.</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by the Company on investment holdings in interest bearing bank accounts.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includes interest incurred by the Company related to our loan payables as well as the amortization of warrant discount and debt issuance costs.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primarily relates to non-recurring fees incurred in conjunction with the Term Loan financing, SEC settlement cost, and other immaterial items.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The period-to-period comparisons of financial results are not necessarily indicative of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Comparison of Financial Results for the Three Months Ended June 30, 2024 and 2023</w:t>
      </w:r>
    </w:p>
    <w:tbl>
      <w:tblPr>
        <w:tblW w:w="9190" w:type="dxa"/>
        <w:jc w:val="left"/>
        <w:tblInd w:w="0" w:type="dxa"/>
        <w:tblLayout w:type="fixed"/>
        <w:tblCellMar>
          <w:top w:w="28" w:type="dxa"/>
          <w:left w:w="28" w:type="dxa"/>
          <w:bottom w:w="28" w:type="dxa"/>
          <w:right w:w="28" w:type="dxa"/>
        </w:tblCellMar>
      </w:tblPr>
      <w:tblGrid>
        <w:gridCol w:w="1353"/>
        <w:gridCol w:w="1190"/>
        <w:gridCol w:w="1192"/>
        <w:gridCol w:w="225"/>
        <w:gridCol w:w="739"/>
        <w:gridCol w:w="116"/>
        <w:gridCol w:w="116"/>
        <w:gridCol w:w="116"/>
        <w:gridCol w:w="116"/>
        <w:gridCol w:w="225"/>
        <w:gridCol w:w="851"/>
        <w:gridCol w:w="116"/>
        <w:gridCol w:w="109"/>
        <w:gridCol w:w="109"/>
        <w:gridCol w:w="109"/>
        <w:gridCol w:w="211"/>
        <w:gridCol w:w="721"/>
        <w:gridCol w:w="109"/>
        <w:gridCol w:w="109"/>
        <w:gridCol w:w="109"/>
        <w:gridCol w:w="109"/>
        <w:gridCol w:w="262"/>
        <w:gridCol w:w="264"/>
        <w:gridCol w:w="61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(18,835)</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Service revenue</w:t>
      </w:r>
    </w:p>
    <w:p>
      <w:pPr>
        <w:pStyle w:val="TextBody"/>
        <w:bidi w:val="0"/>
        <w:spacing w:lineRule="auto" w:line="288" w:before="16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revenue recognized during the three months ended June 30, 2024 was primarily driven by engineering services in relation with fulfillment of performance obligations in SDA agreement. The Company recognized $1.2 million of revenue. </w:t>
      </w:r>
    </w:p>
    <w:p>
      <w:pPr>
        <w:pStyle w:val="TextBody"/>
        <w:bidi w:val="0"/>
        <w:spacing w:lineRule="auto" w:line="288" w:before="160" w:after="283"/>
        <w:jc w:val="both"/>
        <w:rPr/>
      </w:pPr>
      <w:r>
        <w:rPr>
          <w:rFonts w:ascii="Times New Roman;sans-serif" w:hAnsi="Times New Roman;sans-serif"/>
          <w:b w:val="false"/>
          <w:color w:val="000000"/>
          <w:sz w:val="20"/>
        </w:rPr>
        <w:t xml:space="preserve">During the </w:t>
      </w:r>
      <w:r>
        <w:rPr>
          <w:rFonts w:ascii="Times New Roman;sans-serif" w:hAnsi="Times New Roman;sans-serif"/>
          <w:b w:val="false"/>
          <w:color w:val="000000"/>
          <w:sz w:val="20"/>
          <w:shd w:fill="FFFFFF" w:val="clear"/>
        </w:rPr>
        <w:t>three</w:t>
      </w:r>
      <w:r>
        <w:rPr>
          <w:color w:val="000000"/>
        </w:rPr>
        <w:t xml:space="preserve"> </w:t>
      </w:r>
      <w:r>
        <w:rPr>
          <w:rFonts w:ascii="Times New Roman;sans-serif" w:hAnsi="Times New Roman;sans-serif"/>
          <w:b w:val="false"/>
          <w:color w:val="000000"/>
          <w:sz w:val="20"/>
        </w:rPr>
        <w:t>months ended June 30, 2023, the Company recognized $1.7 million of revenue, primarily from the completion of performance obligation in connection with the Vigoride 5 and Vigoride 6 missions as well as some forfeited customer deposits upon contract expiration.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associated with performing engineering service were expensed in research and development operating expenses during the three months ended June 30,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revenue during the three months ended June 30, 2023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from $10.2 million in the three months ended June 30, 2023 to $2.9 million in the three months ended June 30, 2024. The decrease was mostly headcount driven whereas payroll related cost went down by a $3.0 million including a decrease of $0.4 million in non-cash stock based compensation. Subcontractor costs and other overhead costs also decreased by $1.8 million and $1.4 million, respectively. Additionally, there was a $1.0 million decrease in spending on materials and a $0.1 million decrease in information technology and facilities expense.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jc w:val="both"/>
        <w:rPr/>
      </w:pPr>
      <w:r>
        <w:rPr>
          <w:rFonts w:ascii="Times New Roman;sans-serif" w:hAnsi="Times New Roman;sans-serif"/>
          <w:b w:val="false"/>
          <w:color w:val="000000"/>
          <w:sz w:val="20"/>
          <w:shd w:fill="FFFFFF" w:val="clear"/>
        </w:rPr>
        <w:t xml:space="preserve">Selling, general and administrative expenses </w:t>
      </w:r>
      <w:r>
        <w:rPr>
          <w:rFonts w:ascii="Times New Roman;sans-serif" w:hAnsi="Times New Roman;sans-serif"/>
          <w:b w:val="false"/>
          <w:color w:val="000000"/>
          <w:sz w:val="20"/>
        </w:rPr>
        <w:t>decreased from $10.0 million in the three months ended June 30, 2023 to $5.3 million in the three months ended June 30, 2024. Payroll costs decreased by $1.8 million inclusive of a decrease of $0.5 million in non-cash stock based compensation. NSA compliance spending decreased by $0.4 million and SEC and legal services expenses decreased by $1.6 million. Consulting and other professional services and other general corporate expenses decreased by $0.8 million and $0.1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pPr>
      <w:r>
        <w:rPr>
          <w:rFonts w:ascii="Times New Roman;sans-serif" w:hAnsi="Times New Roman;sans-serif"/>
          <w:b/>
          <w:i/>
          <w:color w:val="000000"/>
          <w:sz w:val="20"/>
          <w:shd w:fill="FFFFFF" w:val="clear"/>
        </w:rPr>
        <w:t>Change in fair value of w</w:t>
      </w:r>
      <w:r>
        <w:rPr>
          <w:rFonts w:ascii="Times New Roman;sans-serif" w:hAnsi="Times New Roman;sans-serif"/>
          <w:b/>
          <w:i/>
          <w:color w:val="000000"/>
          <w:sz w:val="20"/>
        </w:rPr>
        <w:t>arrant liability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both the three months ended June 30, 2024 and 2023, the decrease of $0.5 million in the calculated fair value of the Company’s outstanding warrants, which were assumed from the Business Combination, was primarily driven by the observable market price of the publicly listed warrants to purchase the Company’s stock under comparable terms. See Note 9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Realized loss on disposal of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 in the three months ended June 30, 2024 and 2023, was immaterial.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from $0.4 million for three months ended June 30, 2023 to $4 thousand for the three months ended June 30, 2024 as the Company invested less money market funds given liquidity constrains.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from $0.7 million of cash and amortization interest for the three months ended June 30, 2023 to $0 interest for the three months ended June 30, 2024 due to the application of the effective interest method which results in less cash and amortization interest as the Term Loan approaches maturity. See Note 8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during the three months ended June 30, 2024 and 2023, was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Comparison of Financial Results for the Six Months Ended June 30, 2024 and 2023</w:t>
      </w:r>
    </w:p>
    <w:tbl>
      <w:tblPr>
        <w:tblW w:w="9050" w:type="dxa"/>
        <w:jc w:val="left"/>
        <w:tblInd w:w="0" w:type="dxa"/>
        <w:tblLayout w:type="fixed"/>
        <w:tblCellMar>
          <w:top w:w="28" w:type="dxa"/>
          <w:left w:w="28" w:type="dxa"/>
          <w:bottom w:w="28" w:type="dxa"/>
          <w:right w:w="28" w:type="dxa"/>
        </w:tblCellMar>
      </w:tblPr>
      <w:tblGrid>
        <w:gridCol w:w="1353"/>
        <w:gridCol w:w="1190"/>
        <w:gridCol w:w="1192"/>
        <w:gridCol w:w="211"/>
        <w:gridCol w:w="796"/>
        <w:gridCol w:w="109"/>
        <w:gridCol w:w="109"/>
        <w:gridCol w:w="109"/>
        <w:gridCol w:w="109"/>
        <w:gridCol w:w="211"/>
        <w:gridCol w:w="796"/>
        <w:gridCol w:w="109"/>
        <w:gridCol w:w="109"/>
        <w:gridCol w:w="109"/>
        <w:gridCol w:w="109"/>
        <w:gridCol w:w="347"/>
        <w:gridCol w:w="448"/>
        <w:gridCol w:w="167"/>
        <w:gridCol w:w="109"/>
        <w:gridCol w:w="109"/>
        <w:gridCol w:w="109"/>
        <w:gridCol w:w="272"/>
        <w:gridCol w:w="254"/>
        <w:gridCol w:w="61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1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614" w:type="dxa"/>
            <w:tcBorders/>
            <w:shd w:fill="FFFFFF" w:val="clear"/>
            <w:tcMar>
              <w:top w:w="0" w:type="dxa"/>
              <w:left w:w="0" w:type="dxa"/>
              <w:bottom w:w="0" w:type="dxa"/>
              <w:right w:w="0" w:type="dxa"/>
            </w:tcMar>
            <w:vAlign w:val="center"/>
          </w:tcPr>
          <w:p>
            <w:pPr>
              <w:pStyle w:val="TableContents"/>
              <w:bidi w:val="0"/>
              <w:spacing w:lineRule="auto" w:line="276"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24,331 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Service revenue</w:t>
      </w:r>
    </w:p>
    <w:p>
      <w:pPr>
        <w:pStyle w:val="TextBody"/>
        <w:bidi w:val="0"/>
        <w:spacing w:lineRule="auto" w:line="288" w:before="160" w:after="283"/>
        <w:jc w:val="both"/>
        <w:rPr/>
      </w:pPr>
      <w:r>
        <w:rPr>
          <w:rFonts w:ascii="Times New Roman;sans-serif" w:hAnsi="Times New Roman;sans-serif"/>
          <w:b w:val="false"/>
          <w:color w:val="000000"/>
          <w:sz w:val="20"/>
        </w:rPr>
        <w:t>The revenue recognized during the six months ended June 30, 2024 was primarily driven by engineering services performed for Space Development Agency agreement resulting in revenue recognition as well as $1.7 million</w:t>
      </w:r>
      <w:r>
        <w:rPr>
          <w:color w:val="000000"/>
        </w:rPr>
        <w:t xml:space="preserve"> </w:t>
      </w:r>
      <w:r>
        <w:rPr>
          <w:rFonts w:ascii="Times New Roman;sans-serif" w:hAnsi="Times New Roman;sans-serif"/>
          <w:b w:val="false"/>
          <w:color w:val="000000"/>
          <w:sz w:val="20"/>
        </w:rPr>
        <w:t xml:space="preserve">of engineering services for the Space Development Agency.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revenue recognized during the six months ended June 30, 2023 was primarily driven by fulfillment of performance obligations for Vigoride 5 and Vigoride 6 customers, resulting in $1.3 million of revenue recognition. The remaining $0.4 million of revenue recognized was a combination of customer deposit forfeiture upon contract expiration and the launch of one customer payload through another supplier on the SpaceX Transporter 8 mission.</w:t>
      </w:r>
    </w:p>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associated with performing engineering service were expensed in research and development operating expenses during six months ended June 30,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revenue during the six months ended June 30, 2023 consists primarily of expenses associated with the cost of the orbital service vehicle and third-party launch costs. Until the orbital service vehicle design is completed and released for production, the cost of these orbital service vehicles is being expensed as research and development costs as materials and services are received. The current design and technology allow for a single use of the orbital service vehicle.</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decreased from $20.3 million in the six months ended June 30, 2023 to $5.5 million in the six months ended June 30, 2024. The decrease was primarily due to (i) a $6.1 million reduction in payroll costs due to decreased headcount and related decreases in signing bonuses (ii) a $3.9 million reduction on subcontractor cost, (iii) a $2.0 million reduction in spending on materials and components, (iv) decreases in launch costs of $1.9 million associated with impairment of our Space X and ABL deposits, and amortization of the Vigoride 5 and Vigoride 6 missions, (v) a $0.4 million reduction in allocated information technology and facilities expenses, and (vi) a $0.4 million decrease in other overhead costs.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from $20.3 million in the six months ended June 30, 2023 to $11.5 million in the six months ended June 30, 2024. The decrease is primarily due to (i) a $2.5 million decrease in payroll related expenses inclusive $0.2 million of stock based compensation. The decrease was primarily due to prior year one-time bonuses and executive departures temporarily replaced by consultants (ii) a $2.3 million decrease in legal services expenses followed by (iii) a $0.9 million decrease in NSA compliance spending and (iv) a $0.4 million decrease in SEC compliance spending as the Company’s activity related to the NSA and SEC topics discussed in Note 12 shifted from legal proceedings to compliance. (v) Non legal professional fees decreased by $2.0 million and other general corporate office expenses (including insurance costs) decreased by $0.8 million partially offset by a $0.1 million increase in IT overhead costs.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warrant liability</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decrease in the calculated fair value of the Company’s currently outstanding warrants, which were assumed from the Business Combination, was primarily driven by the observable market price of the publicly listed warrants to purchase the Company’s stock under comparable terms. See Note 9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Realized loss on disposal of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Realized loss on disposal of assets in the six months ended June 30, 2024 and 2023, was immaterial.</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from $0.9 million for six months ended June 30, 2023 to $22 thousand for the six months ended June 30, 2024 as the Company invested less in money market funds due to liquidity constrains.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from $1.7 million of cash and amortization interest for the six months ended June 30, 2023 to $0.1 million of cash and amortization interest for the six months ended June 30, 2024 due to the application of the effective interest method which results in less cash and amortization interest as the Term Loan approaches maturity. See Note 8 for additional information.</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60" w:after="283"/>
        <w:jc w:val="both"/>
        <w:rPr/>
      </w:pPr>
      <w:r>
        <w:rPr>
          <w:rFonts w:ascii="Times New Roman;sans-serif" w:hAnsi="Times New Roman;sans-serif"/>
          <w:b w:val="false"/>
          <w:color w:val="000000"/>
          <w:sz w:val="20"/>
        </w:rPr>
        <w:t>Other income increased from $20.0 thousand</w:t>
      </w:r>
      <w:r>
        <w:rPr>
          <w:color w:val="000000"/>
        </w:rPr>
        <w:t xml:space="preserve"> </w:t>
      </w:r>
      <w:r>
        <w:rPr>
          <w:rFonts w:ascii="Times New Roman;sans-serif" w:hAnsi="Times New Roman;sans-serif"/>
          <w:b w:val="false"/>
          <w:color w:val="000000"/>
          <w:sz w:val="20"/>
        </w:rPr>
        <w:t>for the six months ended June 30, 2023 to $0.1 million six months ended June 30, 2024. The increase was related to the release of interest accrued in relation to the loan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56"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continue as a going concern is dependent on the Company’s ability to successfully raise capital to fund its business operations and execute on its business plan. To date, the Company has not generated sufficient revenues to provide cash flows that enable the Company to finance its operations internally and the Company’s financial position and operating results raise substantial doubt about the Company’s ability to continue as a going concern. This is reflected by the Company’s incurred net losses of $15.3 million for the six months ended June 30, 2024 and had an accumulated deficit of $388.4 million as of June 30, 2024. Additionally, the Company used net cash of $6.4 million to fund its operating activities for the six months ended June 30, 2024, and had cash and cash equivalents of $0.9 million as of June 30, 2024.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preparation of the consolidated interim financial statements for the six months ended June 30, 2024, management conducted an evaluation and concluded that there were conditions and events, considered in the aggregate, which raised substantial doubt as to the Company’s ability to continue as a going concern within twelve months after the date of the issuance of such financial statements. The Company believes that its current level of cash and cash equivalents are not sufficient to fund commercial scale production and sale of its services and products. These conditions raise substantial doubt regarding its ability to continue as a going concern for a period of at least one year from the date of issuance of these consolidated interim financial statements. In order to proceed with the Company’s business plan and operating strategy, the Company will need to raise substantial additional capital to fund its operations. Until such time, if ever, the Company can generate revenues sufficient to achieve profitability, the Company expects to finance its operations through equity or debt financings, which may not be available to the Company on the timing needed or on terms that the Company deems to be favorable. In an effort to alleviate these conditions, the Company continues to seek and evaluate opportunities to access additional capital through all available means.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these uncertainties, and notwithstanding management’s plans and efforts to date, there is substantial doubt about the Company’s ability to continue as a going concern. If the Company is unable to raise substantial additional capital in the near term, the Company's operations and business plan will need to be scaled back or halted altogether. Additionally, if the Company is able to raise additional capital but that capital is insufficient to provide a bridge to full commercial production at a profit, the Company's operations could be severely curtailed or cease entirely and the Company may not realize any significant value from its assets.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interim financial statements have been prepared on a going concern basis of accounting. The accompanying consolidated interim financial statements do not reflect any adjustments that might result if the Company is unable to continue as a going concern.</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6646" w:type="dxa"/>
        <w:jc w:val="left"/>
        <w:tblInd w:w="0" w:type="dxa"/>
        <w:tblLayout w:type="fixed"/>
        <w:tblCellMar>
          <w:top w:w="28" w:type="dxa"/>
          <w:left w:w="28" w:type="dxa"/>
          <w:bottom w:w="28" w:type="dxa"/>
          <w:right w:w="28" w:type="dxa"/>
        </w:tblCellMar>
      </w:tblPr>
      <w:tblGrid>
        <w:gridCol w:w="1482"/>
        <w:gridCol w:w="1301"/>
        <w:gridCol w:w="1311"/>
        <w:gridCol w:w="196"/>
        <w:gridCol w:w="631"/>
        <w:gridCol w:w="109"/>
        <w:gridCol w:w="109"/>
        <w:gridCol w:w="109"/>
        <w:gridCol w:w="109"/>
        <w:gridCol w:w="196"/>
        <w:gridCol w:w="721"/>
        <w:gridCol w:w="109"/>
        <w:gridCol w:w="109"/>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six months ended June 30, 2024 was $6.4 million, driven primarily by headcount costs, research and development activities, legal expenses, and professional fees, as well as net cash changes in operating assets and liabilities.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Headcount related payroll costs, excluding stock-based compensation of $3.2 million, were $5.2 million. Professional fees of $3.4 million included $1.9 million in legal fees and $11.9 thousand of costs related to the SEC and NSA topics discussed in Note 12. Office overheads and other general corporate expenses were $3.1 million, which includes insurance costs of $1.0 million. Research and Development activity expenses, including materials, components, and subcontractor costs were $1.1 million. These cash outflows were partially offset by gross profit of $1.7 million primarily related to the fulfillment of performance obligations for Vigoride 5 and Vigoride 6 customers during the six months ended June 30, 2024. Additionally, the Company had a change in operating assets and liabilities of $4.7 million during the six months ended June 30, 2024.</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for the six months ended June 30, 2023 was $33.2 million, driven primarily by headcount costs, research and development activities, legal expenses, and professional fees, as well as net cash changes in operating assets and liabilities. Headcount related payroll costs, excluding accrued bonus of $1.7 million and stock-based compensation of $4.3 million, were $5.5 million. Research and development activity expenses, including materials, components, and subcontractor costs were $3.6 million. Professional fees of $4.9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$0.6 million of costs related to the SEC and NSA topics discussed in Note 12 and legal fees of $2.4 million. Office overheads, other general corporate expenses, and cash interest were $2.0 million, which includes insurance costs of $0.8 million. The Company also incurred launch costs of $0.5 million during the six months ended June 30, 2023, that were amortized in connection with its first launch. The Company additionally had change in cash from changes in operating assets and liabilities of $0.1 million.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$39.9 thousand and $14.7 thousand for the six months ended June 30, 2024 and 2023, respectively, which consisted of purchases of machinery and equipment and intangible assets and proceeds received on the sale of machinery and equipment.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was $5.2 million for the six months ended June 30, 2024, primarily due to gross proceeds of approximately $8.0 million received from the January Offering and March Offering, partially offset by principal repayments of $2.3 million under the Term Loan and $0.8 million in issuance costs related to common stock and related warrants.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$7.0 million for the six months ended June 30, 2023, primarily due to principal repayment under the Term Loan.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cash consumption to continue in connection with our ongoing activities.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Specifically, our operating expenses will continue as we:</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continue to refine and operate our corporate infrastructure, people, processes and systems;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pursue sales and marketing activities for our product and services;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pursue further research and development related to developing our satellites, satellite technology, and Orbital Service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seek regulatory approvals for operation of our satellites and vehicles;</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actively manage our workforce, including right sizing in personnel;</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 xml:space="preserve">maintain, expand and protect our intellectual property portfolio; </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comply with public company reporting requirements; and</w:t>
      </w:r>
    </w:p>
    <w:p>
      <w:pPr>
        <w:pStyle w:val="TextBody"/>
        <w:bidi w:val="0"/>
        <w:spacing w:lineRule="auto" w:line="288" w:before="80" w:after="80"/>
        <w:ind w:left="0" w:right="0" w:hanging="360"/>
        <w:jc w:val="both"/>
        <w:rPr/>
      </w:pPr>
      <w:r>
        <w:rPr>
          <w:color w:val="000000"/>
        </w:rPr>
        <w:t>•</w:t>
      </w:r>
      <w:r>
        <w:rPr>
          <w:rFonts w:ascii="Times New Roman;sans-serif" w:hAnsi="Times New Roman;sans-serif"/>
          <w:b w:val="false"/>
          <w:color w:val="000000"/>
          <w:sz w:val="20"/>
        </w:rPr>
        <w:t>defend against litigation.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bidi w:val="0"/>
        <w:spacing w:lineRule="auto" w:line="276" w:before="0" w:after="0"/>
        <w:jc w:val="left"/>
        <w:rPr/>
      </w:pPr>
      <w:r>
        <w:rPr>
          <w:rFonts w:ascii="Times New Roman;sans-serif" w:hAnsi="Times New Roman;sans-serif"/>
          <w:b w:val="false"/>
          <w:color w:val="000000"/>
          <w:sz w:val="20"/>
        </w:rPr>
        <w:t>Some of these risks and uncertainties are described in more detail under Part II, Item 1A: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in this Form 10-Q under the heading “</w:t>
      </w:r>
      <w:r>
        <w:rPr>
          <w:rFonts w:ascii="Times New Roman;sans-serif" w:hAnsi="Times New Roman;sans-serif"/>
          <w:b w:val="false"/>
          <w:i/>
          <w:color w:val="000000"/>
          <w:sz w:val="20"/>
        </w:rPr>
        <w:t>Risk Factors — We may not be 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Commitments and Contingencies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operating leases primarily for facilities (e.g., office buildings, warehouses and spaceport) under non-cancellable operating leases. We lease office space under a non-cancellable operating lease which expires February 2028. Refer to Note 6.</w:t>
      </w:r>
    </w:p>
    <w:p>
      <w:pPr>
        <w:pStyle w:val="TextBody"/>
        <w:bidi w:val="0"/>
        <w:spacing w:lineRule="auto" w:line="288" w:before="160" w:after="160"/>
        <w:jc w:val="both"/>
        <w:rPr/>
      </w:pPr>
      <w:r>
        <w:rPr>
          <w:rFonts w:ascii="Times New Roman;sans-serif" w:hAnsi="Times New Roman;sans-serif"/>
          <w:b w:val="false"/>
          <w:color w:val="000000"/>
          <w:sz w:val="20"/>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r>
        <w:rPr>
          <w:color w:val="000000"/>
        </w:rPr>
        <w:t xml:space="preserve"> </w:t>
      </w:r>
    </w:p>
    <w:p>
      <w:pPr>
        <w:pStyle w:val="TextBody"/>
        <w:bidi w:val="0"/>
        <w:spacing w:lineRule="auto" w:line="26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enter into agreements in the normal course of business with vendors for research and development services and outsourced services, which are generally cancellable upon written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engage in any off-balance sheet activities or have any arrangements or relationships with unconsolidated entities, such as variable interest, special purpose, and structured finance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interim financial statements, which have been prepared in accordance with GAAP. The preparation of our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consolidated interim financial statements included elsewhere in this Form 10-Q.</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single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consistently throughout the mission to its customers and has services available on a ‘stand ready’ basis until the mission reaches its conclusion.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pStyle w:val="TextBody"/>
        <w:bidi w:val="0"/>
        <w:spacing w:lineRule="auto" w:line="288" w:before="160" w:after="160"/>
        <w:jc w:val="both"/>
        <w:rPr/>
      </w:pPr>
      <w:r>
        <w:rPr>
          <w:rFonts w:ascii="Times New Roman;sans-serif" w:hAnsi="Times New Roman;sans-serif"/>
          <w:b w:val="false"/>
          <w:color w:val="000000"/>
          <w:sz w:val="20"/>
        </w:rPr>
        <w:t>We account for customer contracts in accordance with ASC Topic 606,</w:t>
      </w:r>
      <w:r>
        <w:rPr>
          <w:color w:val="000000"/>
        </w:rPr>
        <w:t xml:space="preserve">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which includes the following five-step model:</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satellite and cargo delivery services (transportation services) are considered a single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periods in which we recognize revenue, we will disclose the amounts of revenue recognized that was included as a contract liability balance at the beginning of the reporting period in accordance with ASC 606-10-50-8(b).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Loss Contingencies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Deferred Fulfillment and Prepaid Launch Costs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prepay for certain launch costs to third-party providers that will carry the orbital service vehicle to orbit. Prepaid costs allocated to the delivery of a customer’s payload are classified as deferred fulfillment costs and recognized as cost of revenue upon delivery of the customer’s payload. Prepaid costs allocated to our payload are classified as prepaid launch costs and are amortized to research and development expense upon the release of our payload. The allocation is determined based on the distribution between customer and our payload weight on each launch.</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Each non-refundable deposit is determined to be a contract liability upon cash collection. Prior to making this determination, we ensure that a valid contract is in place that meets the definition of the existence of a contract in accordance with ASC 606-10-25-1 and 2.</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various stock incentive plans under which incentive and non-qualified stock options and restricted stock awards are granted to employees, directors, and consultants. All stock-based payments to employees, including grants of employee stock options are recognized in the consolidated interim financial statements based on their respective grant date fair values.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using a fair value-based method for costs related to all stock-based payments. We estimate the fair value of stock-based payments on the date of grant using the Black-Scholes-Merton option pricing model.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consolidated interim financial statements is based on awards that are expected to vest. We account for forfeitures as they occur.</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Estimating the fair value of equity awards as of the grant date using valuation models, such as the Black-Scholes-Merton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pStyle w:val="TextBody"/>
        <w:bidi w:val="0"/>
        <w:spacing w:lineRule="auto" w:line="288" w:before="160" w:after="160"/>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 of Contents</w:t>
        </w:r>
      </w:hyperlink>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ASC Topic 740-10 requires companies to determine whether it is “more likely than not” that a tax position will be sustained upon examination by the appropriate taxing authorities before any tax benefit can be recorded in the consolidated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refer to Note 2 in the notes to our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a variety of market and other risks, including the effects of changes in interest rates, and inflation, as well as risks to the availability of funding sources, hazard events, and specific asset risks.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market risk inherent in our financial instruments and our financial position represents the potential loss arising from adverse changes in interest rates. As of June 30, 2024, we had cash and cash equivalents of $0.9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market value of our cash and cash equivalents.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foreign currency transactions for the three and six months ended June 30, 2024. Currently, a significant portion of our cash receipts and expenses are generated in U.S.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16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provide reasonable assurance that the information that we are required to disclose in the reports we file or submit under the Exchange Act is recorded, processed, summarized and reported within the time periods specified in the SEC’s rules and forms, and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and Chief Financial Officer, has evaluated the effectiveness of our disclosure controls and procedures (as defined in Rules 13a-15(e) and 15d-15(e) under the Exchange Act) as of June 30, 2024. Based on this evaluation, our Chief Executive Officer and Chief Financial Officer concluded that, as of such date, our disclosure controls and procedures were effective at the reasonable assurance level.</w:t>
      </w:r>
    </w:p>
    <w:p>
      <w:pPr>
        <w:pStyle w:val="TextBody"/>
        <w:bidi w:val="0"/>
        <w:spacing w:lineRule="auto" w:line="288" w:before="16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during the fiscal quarter ended June 30, 2024 which were identified in connection with management’s evaluation required by paragraph (d) of Rules 13a-15 and 15d-15 under the Exchange Act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60" w:after="283"/>
        <w:jc w:val="both"/>
        <w:rPr/>
      </w:pPr>
      <w:r>
        <w:rPr>
          <w:rFonts w:ascii="Times New Roman;sans-serif" w:hAnsi="Times New Roman;sans-serif"/>
          <w:b w:val="false"/>
          <w:color w:val="000000"/>
          <w:sz w:val="20"/>
        </w:rPr>
        <w:t>See the disclosures under the caption “</w:t>
      </w:r>
      <w:r>
        <w:rPr>
          <w:rFonts w:ascii="Times New Roman;sans-serif" w:hAnsi="Times New Roman;sans-serif"/>
          <w:b w:val="false"/>
          <w:i/>
          <w:color w:val="000000"/>
          <w:sz w:val="20"/>
        </w:rPr>
        <w:t>Legal Proceedings</w:t>
      </w:r>
      <w:r>
        <w:rPr>
          <w:color w:val="000000"/>
        </w:rPr>
        <w:t xml:space="preserve">” </w:t>
      </w:r>
      <w:r>
        <w:rPr>
          <w:rFonts w:ascii="Times New Roman;sans-serif" w:hAnsi="Times New Roman;sans-serif"/>
          <w:b w:val="false"/>
          <w:color w:val="000000"/>
          <w:sz w:val="20"/>
        </w:rPr>
        <w:t>in Note 12 in the notes to our consolidated interim financial statements included elsewhere in this Form 10-Q for disclosures related to our legal proceedings, which disclosures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60" w:after="160"/>
        <w:jc w:val="both"/>
        <w:rPr/>
      </w:pPr>
      <w:r>
        <w:rPr>
          <w:rFonts w:ascii="Times New Roman;sans-serif" w:hAnsi="Times New Roman;sans-serif"/>
          <w:b w:val="false"/>
          <w:color w:val="000000"/>
          <w:sz w:val="20"/>
        </w:rPr>
        <w:t>In addition to the other information set forth in this report, you should carefully consider the risk factors discussed in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most recent Annual Report on Form 10-K filed by the Company on June 6, 2024, which could materially affect our business, financial condition or future results. The risks described below and in our Annual Report on Form 10-K filed by the Company on June 6, 2024, are not the only risks facing our Company. Additional risks and uncertainties not currently known to us or that we currently deem immaterial also may materially adversely affect our business, financial condition, operating results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6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Rule 10b5-1 Trading Plans</w:t>
      </w:r>
    </w:p>
    <w:p>
      <w:pPr>
        <w:pStyle w:val="TextBody"/>
        <w:bidi w:val="0"/>
        <w:spacing w:lineRule="auto" w:line="276"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adoption or termination of contracts, instructions or written plans for the purchase and sale of the Company’s securities by our Section 16 officers and directors for the three months ended March 31, 2024, each of which would be intended to satisfy the affirmative defense conditions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tbl>
      <w:tblPr>
        <w:tblW w:w="10205" w:type="dxa"/>
        <w:jc w:val="left"/>
        <w:tblInd w:w="0" w:type="dxa"/>
        <w:tblLayout w:type="fixed"/>
        <w:tblCellMar>
          <w:top w:w="28" w:type="dxa"/>
          <w:left w:w="28" w:type="dxa"/>
          <w:bottom w:w="28" w:type="dxa"/>
          <w:right w:w="28" w:type="dxa"/>
        </w:tblCellMar>
      </w:tblPr>
      <w:tblGrid>
        <w:gridCol w:w="329"/>
        <w:gridCol w:w="289"/>
        <w:gridCol w:w="291"/>
        <w:gridCol w:w="109"/>
        <w:gridCol w:w="109"/>
        <w:gridCol w:w="109"/>
        <w:gridCol w:w="2952"/>
        <w:gridCol w:w="2653"/>
        <w:gridCol w:w="2662"/>
        <w:gridCol w:w="109"/>
        <w:gridCol w:w="109"/>
        <w:gridCol w:w="109"/>
        <w:gridCol w:w="109"/>
        <w:gridCol w:w="109"/>
        <w:gridCol w:w="157"/>
      </w:tblGrid>
      <w:tr>
        <w:trPr/>
        <w:tc>
          <w:tcPr>
            <w:tcW w:w="3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Agreement and Plan of Merger, dated as of October 7, 2020, by and among Stable Road Acquisition Corp., Project Marvel First Merger Sub, Inc., Project Marvel Second Merger Sub, LLC, and Momentus Inc. (incorporated by reference to Exhibit 10.2 to the Company’s Current Report on Form 8-K filed on October 7,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0"/>
                <w:u w:val="single"/>
                <w:b w:val="false"/>
                <w:rFonts w:ascii="Times New Roman;sans-serif" w:hAnsi="Times New Roman;sans-serif"/>
                <w:color w:val="0000FF"/>
              </w:rPr>
              <w:instrText xml:space="preserve"> HYPERLINK "https://www.sec.gov/Archives/edgar/data/1781162/000121390021013894/fs42021a2_stableroadacq.htm" \l "T110"</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Amendment No. 1 to Agreement and Plan of Merger, dated March 5, 2021, by and among Stable Road Acquisition Corp., Project Marvel First Merger Sub, Inc., Project Marvel Second Merger Sub, LLC, and Momentus Inc. (incorporated by reference to Exhibit 2.2 to the Company’s Registration Statement on Form S-4 (Registration No. 333-249787) filed on March 8, 2021).</w:t>
            </w:r>
            <w:r>
              <w:rPr>
                <w:rStyle w:val="InternetLink"/>
                <w:sz w:val="20"/>
                <w:u w:val="single"/>
                <w:b w:val="false"/>
                <w:rFonts w:ascii="Times New Roman;sans-serif" w:hAnsi="Times New Roman;sans-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Amendment No. 2 to Agreement and Plan of Merger, dated as of April 6, 2021, by and among Stable Road Acquisition Corp., Project Marvel First Merger Sub, Inc., Project Marvel Second Merger Sub, LLC, and Momentus Inc. (incorporated by reference to Exhibit 2.3 to the Company’s Registration Statement on Form S-4 (Registration No. 333-249787) filed on June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Amendment No. 3 to Agreement and Plan of Merger, dated as of June 29, 2021, by and among Stable Road Acquisition Corp., Project Marvel First Merger Sub, Inc., Project Marvel Second Merger Sub, LLC, and Momentus Inc. (incorporated by reference to Exhibit 2.4 to the Company’s Registration Statement on Form S-4 (Registration No. 333-249787) filed on June 29,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bookmarkStart w:id="0" w:name="i7daf14930618479689867d405728b3d8_5-2-1-"/>
              <w:bookmarkEnd w:id="0"/>
              <w:r>
                <w:rPr>
                  <w:rStyle w:val="InternetLink"/>
                  <w:rFonts w:ascii="Times New Roman;sans-serif" w:hAnsi="Times New Roman;sans-serif"/>
                  <w:b w:val="false"/>
                  <w:color w:val="0000FF"/>
                  <w:sz w:val="20"/>
                  <w:u w:val="single"/>
                </w:rPr>
                <w:t>Form of Pre-Funded Warrant (incorporated by reference to Exhibit 4.1 to the Company's Current Report on Form 8-K, filed on January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w:t>
            </w:r>
            <w:hyperlink r:id="rId6">
              <w:r>
                <w:rPr>
                  <w:rStyle w:val="InternetLink"/>
                  <w:rFonts w:ascii="Times New Roman;sans-serif" w:hAnsi="Times New Roman;sans-serif"/>
                  <w:b w:val="false"/>
                  <w:color w:val="0000FF"/>
                  <w:sz w:val="20"/>
                  <w:u w:val="single"/>
                </w:rPr>
                <w:t>orm of Warrant (incorporated by reference to Exhibit 4.2 to the Company's Current Report on Form 8-K, filed on January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FF"/>
                  <w:sz w:val="20"/>
                  <w:u w:val="single"/>
                </w:rPr>
                <w:t>Form of Warrant (incorporated by reference to Exhibit 4.2 to the Company’s Current Report on Form 8-K, filed on March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ans-serif" w:hAnsi="Times New Roman;sans-serif"/>
                  <w:b w:val="false"/>
                  <w:color w:val="0000FF"/>
                  <w:sz w:val="20"/>
                  <w:u w:val="single"/>
                </w:rPr>
                <w:t>Form of Securities Purchase Agreement (incorporated by reference to Exhibit 10.1 to the Company's Current Report on Form 8-K, filed on January 16,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ans-serif" w:hAnsi="Times New Roman;sans-serif"/>
                  <w:b w:val="false"/>
                  <w:color w:val="0000FF"/>
                  <w:sz w:val="20"/>
                  <w:u w:val="single"/>
                </w:rPr>
                <w:t>Form of Securities Purchase Agreement (incorporated by reference to Exhibit 10.1 to the Company’s Current Report on Form 8-K, filed on March 7, 2024).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0630-ex311xce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40630-ex312xcfo.htm">
              <w:r>
                <w:rPr>
                  <w:rStyle w:val="InternetLink"/>
                  <w:rFonts w:ascii="Times New Roman;sans-serif" w:hAnsi="Times New Roman;sans-serif"/>
                  <w:b w:val="false"/>
                  <w:color w:val="0000FF"/>
                  <w:sz w:val="20"/>
                  <w:u w:val="single"/>
                </w:rPr>
                <w:t>Certification Pursuant to Rules 13a-14(a) and 15d-14(a) Under The Securities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20240630-ex321xce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20240630-ex322xcfo.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__________</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Filed herewith</w:t>
      </w:r>
    </w:p>
    <w:p>
      <w:pPr>
        <w:pStyle w:val="TextBody"/>
        <w:bidi w:val="0"/>
        <w:spacing w:lineRule="auto" w:line="288" w:before="0" w:after="0"/>
        <w:ind w:left="0" w:right="0" w:hanging="360"/>
        <w:jc w:val="left"/>
        <w:rPr/>
      </w:pPr>
      <w:r>
        <w:rPr>
          <w:rFonts w:ascii="Arial;sans-serif" w:hAnsi="Arial;sans-serif"/>
          <w:b w:val="false"/>
          <w:color w:val="000000"/>
          <w:sz w:val="24"/>
        </w:rPr>
        <w:t>**     </w:t>
      </w:r>
      <w:r>
        <w:rPr>
          <w:rFonts w:ascii="Times New Roman;sans-serif" w:hAnsi="Times New Roman;sans-serif"/>
          <w:b w:val="false"/>
          <w:color w:val="000000"/>
          <w:sz w:val="20"/>
        </w:rPr>
        <w:t>Furnished herewith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Certain of the exhibits and schedules to this Exhibit List have been omitted in accordance with Regulation S-K Item 601(a)(5). The Registrant agrees to furnish a copy of all omitted exhibits and schedules to the SEC upon its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4e72f3852be4c91946ba70ac7b62b8d_100">
        <w:r>
          <w:rPr>
            <w:rStyle w:val="InternetLink"/>
            <w:rFonts w:ascii="Times New Roman;sans-serif" w:hAnsi="Times New Roman;sans-serif"/>
            <w:b w:val="false"/>
            <w:color w:val="3051F2"/>
            <w:sz w:val="20"/>
            <w:u w:val="single"/>
          </w:rPr>
          <w:t>Tables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Act of 1934, the Registrant has duly caused this report to be signed on its behalf by the undersigned thereunto duly authorized. </w:t>
      </w:r>
    </w:p>
    <w:tbl>
      <w:tblPr>
        <w:tblW w:w="6821" w:type="dxa"/>
        <w:jc w:val="left"/>
        <w:tblInd w:w="0" w:type="dxa"/>
        <w:tblLayout w:type="fixed"/>
        <w:tblCellMar>
          <w:top w:w="28" w:type="dxa"/>
          <w:left w:w="28" w:type="dxa"/>
          <w:bottom w:w="28" w:type="dxa"/>
          <w:right w:w="28" w:type="dxa"/>
        </w:tblCellMar>
      </w:tblPr>
      <w:tblGrid>
        <w:gridCol w:w="726"/>
        <w:gridCol w:w="640"/>
        <w:gridCol w:w="643"/>
        <w:gridCol w:w="233"/>
        <w:gridCol w:w="197"/>
        <w:gridCol w:w="200"/>
        <w:gridCol w:w="139"/>
        <w:gridCol w:w="139"/>
        <w:gridCol w:w="139"/>
        <w:gridCol w:w="1102"/>
        <w:gridCol w:w="1102"/>
        <w:gridCol w:w="15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68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MOMENTUS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15, 2024</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Rood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Rood</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15, 2024</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Lon Ensler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 Ensler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br/>
              <w:t>(Principal Financial and Accounting Officer)</w:t>
            </w:r>
          </w:p>
        </w:tc>
      </w:tr>
    </w:tbl>
    <w:p>
      <w:pPr>
        <w:pStyle w:val="TextBody"/>
        <w:bidi w:val="0"/>
        <w:spacing w:before="6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John Rood, certify that: </w:t>
      </w:r>
    </w:p>
    <w:p>
      <w:pPr>
        <w:pStyle w:val="TextBody"/>
        <w:bidi w:val="0"/>
        <w:spacing w:before="0" w:after="0"/>
        <w:jc w:val="left"/>
        <w:rPr/>
      </w:pPr>
      <w:r>
        <w:rPr/>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199" w:type="dxa"/>
        <w:jc w:val="center"/>
        <w:tblInd w:w="0" w:type="dxa"/>
        <w:tblLayout w:type="fixed"/>
        <w:tblCellMar>
          <w:top w:w="28" w:type="dxa"/>
          <w:left w:w="28" w:type="dxa"/>
          <w:bottom w:w="28" w:type="dxa"/>
          <w:right w:w="28" w:type="dxa"/>
        </w:tblCellMar>
      </w:tblPr>
      <w:tblGrid>
        <w:gridCol w:w="238"/>
        <w:gridCol w:w="210"/>
        <w:gridCol w:w="212"/>
        <w:gridCol w:w="504"/>
        <w:gridCol w:w="504"/>
        <w:gridCol w:w="506"/>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C.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15,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EXCHANGE ACT RULES 13a-14(a) OR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Lon Ensler, certify that: </w:t>
      </w:r>
    </w:p>
    <w:p>
      <w:pPr>
        <w:pStyle w:val="TextBody"/>
        <w:bidi w:val="0"/>
        <w:spacing w:before="0" w:after="0"/>
        <w:jc w:val="left"/>
        <w:rPr/>
      </w:pPr>
      <w:r>
        <w:rPr/>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Momentus Inc.;</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5770" w:type="dxa"/>
        <w:jc w:val="center"/>
        <w:tblInd w:w="0" w:type="dxa"/>
        <w:tblLayout w:type="fixed"/>
        <w:tblCellMar>
          <w:top w:w="28" w:type="dxa"/>
          <w:left w:w="28" w:type="dxa"/>
          <w:bottom w:w="28" w:type="dxa"/>
          <w:right w:w="28" w:type="dxa"/>
        </w:tblCellMar>
      </w:tblPr>
      <w:tblGrid>
        <w:gridCol w:w="238"/>
        <w:gridCol w:w="210"/>
        <w:gridCol w:w="212"/>
        <w:gridCol w:w="504"/>
        <w:gridCol w:w="504"/>
        <w:gridCol w:w="506"/>
        <w:gridCol w:w="208"/>
        <w:gridCol w:w="208"/>
        <w:gridCol w:w="213"/>
        <w:gridCol w:w="109"/>
        <w:gridCol w:w="109"/>
        <w:gridCol w:w="109"/>
        <w:gridCol w:w="770"/>
        <w:gridCol w:w="770"/>
        <w:gridCol w:w="110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/s/Lon Ensler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 Ensler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15,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Momentus Inc., a Delaware corporation (the “Company”), on Form 10-Q for the quarter ended June 30, 2024,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99"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208"/>
        <w:gridCol w:w="208"/>
        <w:gridCol w:w="213"/>
        <w:gridCol w:w="109"/>
        <w:gridCol w:w="109"/>
        <w:gridCol w:w="109"/>
        <w:gridCol w:w="606"/>
        <w:gridCol w:w="606"/>
        <w:gridCol w:w="85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/s/John C. Rood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C. Rood</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15,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Momentus Inc., a Delaware corporation (the “Company”), on Form 10-Q for the year ended June 30, 2024, as filed with the Securities and Exchange Commission on the date hereof (the “Form 10-Q”), I, Lon Ensler, Interim Chief Financial Officer of the Company, certify, pursuant to 18 U.S.C. section 1350, as adopted pursuant section 906 of the Sarbanes-Oxley Act of 2002, that to the best of my knowledge:</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(i)the Form 10-Q fully complies with the requirements of section 13(a) or section 15(d) of the Securities Exchange Act of 1934, as amended; and</w:t>
      </w:r>
    </w:p>
    <w:p>
      <w:pPr>
        <w:pStyle w:val="TextBody"/>
        <w:bidi w:val="0"/>
        <w:spacing w:lineRule="auto" w:line="288" w:before="1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(ii)the information contained in the Form 10-Q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770" w:type="dxa"/>
        <w:jc w:val="left"/>
        <w:tblInd w:w="0" w:type="dxa"/>
        <w:tblLayout w:type="fixed"/>
        <w:tblCellMar>
          <w:top w:w="28" w:type="dxa"/>
          <w:left w:w="28" w:type="dxa"/>
          <w:bottom w:w="28" w:type="dxa"/>
          <w:right w:w="28" w:type="dxa"/>
        </w:tblCellMar>
      </w:tblPr>
      <w:tblGrid>
        <w:gridCol w:w="238"/>
        <w:gridCol w:w="210"/>
        <w:gridCol w:w="212"/>
        <w:gridCol w:w="504"/>
        <w:gridCol w:w="504"/>
        <w:gridCol w:w="506"/>
        <w:gridCol w:w="208"/>
        <w:gridCol w:w="208"/>
        <w:gridCol w:w="213"/>
        <w:gridCol w:w="109"/>
        <w:gridCol w:w="109"/>
        <w:gridCol w:w="109"/>
        <w:gridCol w:w="770"/>
        <w:gridCol w:w="770"/>
        <w:gridCol w:w="110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/s/Lon Ensler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 Ensler</w:t>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15, 2024</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1162/000121390020030403/ea127854ex2-1_stableroad.htm" TargetMode="External"/><Relationship Id="rId3" Type="http://schemas.openxmlformats.org/officeDocument/2006/relationships/hyperlink" Target="https://www.sec.gov/Archives/edgar/data/1781162/000121390021020806/ea139255ex2-1_stableroad.htm" TargetMode="External"/><Relationship Id="rId4" Type="http://schemas.openxmlformats.org/officeDocument/2006/relationships/hyperlink" Target="https://www.sec.gov/Archives/edgar/data/1781162/000121390021034706/ea143483ex2-1_stableroad.htm" TargetMode="External"/><Relationship Id="rId5" Type="http://schemas.openxmlformats.org/officeDocument/2006/relationships/hyperlink" Target="https://www.sec.gov/Archives/edgar/data/1781162/000114036124002389/ef20018925_ex4-1.htm" TargetMode="External"/><Relationship Id="rId6" Type="http://schemas.openxmlformats.org/officeDocument/2006/relationships/hyperlink" Target="https://www.sec.gov/Archives/edgar/data/1781162/000114036124002389/ef20018925_ex4-2.htm" TargetMode="External"/><Relationship Id="rId7" Type="http://schemas.openxmlformats.org/officeDocument/2006/relationships/hyperlink" Target="https://www.sec.gov/Archives/edgar/data/1781162/000114036124011869/ny20023473x2_ex4-2.htm" TargetMode="External"/><Relationship Id="rId8" Type="http://schemas.openxmlformats.org/officeDocument/2006/relationships/hyperlink" Target="https://www.sec.gov/Archives/edgar/data/1781162/000114036124002389/ef20018925_ex10-1.htm" TargetMode="External"/><Relationship Id="rId9" Type="http://schemas.openxmlformats.org/officeDocument/2006/relationships/hyperlink" Target="https://www.sec.gov/Archives/edgar/data/1781162/000114036124011869/ny20023473x2_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29638</Words>
  <Characters>162923</Characters>
  <CharactersWithSpaces>191233</CharactersWithSpaces>
  <Paragraphs>2133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