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5" w:lineRule="exact"/>
        <w:rPr>
          <w:sz w:val="24"/>
          <w:szCs w:val="24"/>
          <w:color w:val="auto"/>
        </w:rPr>
      </w:pPr>
    </w:p>
    <w:p>
      <w:pPr>
        <w:ind w:left="620" w:hanging="601"/>
        <w:spacing w:after="0"/>
        <w:tabs>
          <w:tab w:leader="none" w:pos="62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94"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380" w:right="3480" w:hanging="361"/>
        <w:spacing w:after="0" w:line="395" w:lineRule="auto"/>
        <w:tabs>
          <w:tab w:leader="none" w:pos="60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001-39128</w:t>
      </w:r>
    </w:p>
    <w:p>
      <w:pPr>
        <w:spacing w:after="0" w:line="174"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Momentus Inc.</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300" w:top="214" w:right="299" w:bottom="1440" w:gutter="0" w:footer="0" w:header="0"/>
        </w:sectPr>
      </w:pPr>
    </w:p>
    <w:p>
      <w:pPr>
        <w:spacing w:after="0" w:line="26" w:lineRule="exact"/>
        <w:rPr>
          <w:sz w:val="24"/>
          <w:szCs w:val="24"/>
          <w:color w:val="auto"/>
        </w:rPr>
      </w:pPr>
    </w:p>
    <w:p>
      <w:pPr>
        <w:jc w:val="center"/>
        <w:ind w:right="1440"/>
        <w:spacing w:after="0"/>
        <w:rPr>
          <w:sz w:val="20"/>
          <w:szCs w:val="20"/>
          <w:color w:val="auto"/>
        </w:rPr>
      </w:pPr>
      <w:r>
        <w:rPr>
          <w:rFonts w:ascii="Arial" w:cs="Arial" w:eastAsia="Arial" w:hAnsi="Arial"/>
          <w:sz w:val="14"/>
          <w:szCs w:val="14"/>
          <w:b w:val="1"/>
          <w:bCs w:val="1"/>
          <w:color w:val="auto"/>
        </w:rPr>
        <w:t>Delaware</w:t>
      </w:r>
    </w:p>
    <w:p>
      <w:pPr>
        <w:spacing w:after="0" w:line="45" w:lineRule="exact"/>
        <w:rPr>
          <w:sz w:val="24"/>
          <w:szCs w:val="24"/>
          <w:color w:val="auto"/>
        </w:rPr>
      </w:pPr>
    </w:p>
    <w:p>
      <w:pPr>
        <w:jc w:val="center"/>
        <w:ind w:right="14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79"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auto"/>
        </w:rPr>
        <w:t>3901 N. First Street</w:t>
      </w:r>
    </w:p>
    <w:p>
      <w:pPr>
        <w:spacing w:after="0" w:line="14" w:lineRule="exact"/>
        <w:rPr>
          <w:sz w:val="24"/>
          <w:szCs w:val="24"/>
          <w:color w:val="auto"/>
        </w:rPr>
      </w:pPr>
    </w:p>
    <w:p>
      <w:pPr>
        <w:ind w:left="2220"/>
        <w:spacing w:after="0"/>
        <w:rPr>
          <w:sz w:val="20"/>
          <w:szCs w:val="20"/>
          <w:color w:val="auto"/>
        </w:rPr>
      </w:pPr>
      <w:r>
        <w:rPr>
          <w:rFonts w:ascii="Arial" w:cs="Arial" w:eastAsia="Arial" w:hAnsi="Arial"/>
          <w:sz w:val="14"/>
          <w:szCs w:val="14"/>
          <w:b w:val="1"/>
          <w:bCs w:val="1"/>
          <w:color w:val="auto"/>
        </w:rPr>
        <w:t>San Jose, California</w:t>
      </w:r>
    </w:p>
    <w:p>
      <w:pPr>
        <w:spacing w:after="0" w:line="29"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(Address of Principal Executive Offices)</w:t>
      </w:r>
    </w:p>
    <w:p>
      <w:pPr>
        <w:spacing w:after="0" w:line="249" w:lineRule="exact"/>
        <w:rPr>
          <w:sz w:val="24"/>
          <w:szCs w:val="24"/>
          <w:color w:val="auto"/>
        </w:rPr>
      </w:pPr>
    </w:p>
    <w:p>
      <w:pPr>
        <w:jc w:val="center"/>
        <w:ind w:left="4200"/>
        <w:spacing w:after="0"/>
        <w:rPr>
          <w:sz w:val="20"/>
          <w:szCs w:val="20"/>
          <w:color w:val="auto"/>
        </w:rPr>
      </w:pPr>
      <w:r>
        <w:rPr>
          <w:rFonts w:ascii="Arial" w:cs="Arial" w:eastAsia="Arial" w:hAnsi="Arial"/>
          <w:sz w:val="14"/>
          <w:szCs w:val="14"/>
          <w:b w:val="1"/>
          <w:bCs w:val="1"/>
          <w:color w:val="auto"/>
        </w:rPr>
        <w:t>(650) 564-7820</w:t>
      </w:r>
    </w:p>
    <w:p>
      <w:pPr>
        <w:spacing w:after="0" w:line="23" w:lineRule="exact"/>
        <w:rPr>
          <w:sz w:val="24"/>
          <w:szCs w:val="24"/>
          <w:color w:val="auto"/>
        </w:rPr>
      </w:pPr>
    </w:p>
    <w:p>
      <w:pPr>
        <w:jc w:val="center"/>
        <w:ind w:left="4200"/>
        <w:spacing w:after="0"/>
        <w:rPr>
          <w:sz w:val="20"/>
          <w:szCs w:val="20"/>
          <w:color w:val="auto"/>
        </w:rPr>
      </w:pPr>
      <w:r>
        <w:rPr>
          <w:rFonts w:ascii="Arial" w:cs="Arial" w:eastAsia="Arial" w:hAnsi="Arial"/>
          <w:sz w:val="12"/>
          <w:szCs w:val="12"/>
          <w:color w:val="auto"/>
        </w:rPr>
        <w:t>Registrant's telephone number, including area code</w:t>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84-1905538</w:t>
      </w:r>
    </w:p>
    <w:p>
      <w:pPr>
        <w:spacing w:after="0" w:line="45" w:lineRule="exact"/>
        <w:rPr>
          <w:sz w:val="24"/>
          <w:szCs w:val="24"/>
          <w:color w:val="auto"/>
        </w:rPr>
      </w:pPr>
    </w:p>
    <w:p>
      <w:pPr>
        <w:jc w:val="center"/>
        <w:ind w:right="1800"/>
        <w:spacing w:after="0"/>
        <w:rPr>
          <w:sz w:val="20"/>
          <w:szCs w:val="20"/>
          <w:color w:val="auto"/>
        </w:rPr>
      </w:pPr>
      <w:r>
        <w:rPr>
          <w:rFonts w:ascii="Arial" w:cs="Arial" w:eastAsia="Arial" w:hAnsi="Arial"/>
          <w:sz w:val="13"/>
          <w:szCs w:val="13"/>
          <w:color w:val="auto"/>
        </w:rPr>
        <w:t>(I.R.S. Employer Identification No.)</w:t>
      </w:r>
    </w:p>
    <w:p>
      <w:pPr>
        <w:spacing w:after="0" w:line="165"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95134</w:t>
      </w:r>
    </w:p>
    <w:p>
      <w:pPr>
        <w:spacing w:after="0" w:line="129" w:lineRule="exact"/>
        <w:rPr>
          <w:sz w:val="24"/>
          <w:szCs w:val="24"/>
          <w:color w:val="auto"/>
        </w:rPr>
      </w:pPr>
    </w:p>
    <w:p>
      <w:pPr>
        <w:jc w:val="center"/>
        <w:ind w:right="1800"/>
        <w:spacing w:after="0"/>
        <w:rPr>
          <w:sz w:val="20"/>
          <w:szCs w:val="20"/>
          <w:color w:val="auto"/>
        </w:rPr>
      </w:pPr>
      <w:r>
        <w:rPr>
          <w:rFonts w:ascii="Arial" w:cs="Arial" w:eastAsia="Arial" w:hAnsi="Arial"/>
          <w:sz w:val="14"/>
          <w:szCs w:val="14"/>
          <w:color w:val="auto"/>
        </w:rPr>
        <w:t>(Zip Code)</w:t>
      </w:r>
    </w:p>
    <w:p>
      <w:pPr>
        <w:spacing w:after="0" w:line="1123" w:lineRule="exact"/>
        <w:rPr>
          <w:sz w:val="24"/>
          <w:szCs w:val="24"/>
          <w:color w:val="auto"/>
        </w:rPr>
      </w:pPr>
    </w:p>
    <w:p>
      <w:pPr>
        <w:sectPr>
          <w:pgSz w:w="11900" w:h="16838" w:orient="portrait"/>
          <w:cols w:equalWidth="0" w:num="2">
            <w:col w:w="7080" w:space="360"/>
            <w:col w:w="3860"/>
          </w:cols>
          <w:pgMar w:left="300" w:top="214" w:right="299" w:bottom="1440" w:gutter="0" w:footer="0" w:header="0"/>
          <w:type w:val="continuous"/>
        </w:sectPr>
      </w:pPr>
    </w:p>
    <w:tbl>
      <w:tblPr>
        <w:tblLayout w:type="fixed"/>
        <w:tblInd w:w="10" w:type="dxa"/>
        <w:tblCellMar>
          <w:top w:w="0" w:type="dxa"/>
          <w:left w:w="0" w:type="dxa"/>
          <w:bottom w:w="0" w:type="dxa"/>
          <w:right w:w="0" w:type="dxa"/>
        </w:tblCellMar>
      </w:tblPr>
      <w:tr>
        <w:trPr>
          <w:trHeight w:val="207"/>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192"/>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MNTS</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The Nasdaq Capital Market LLC</w:t>
            </w:r>
          </w:p>
        </w:tc>
      </w:tr>
      <w:tr>
        <w:trPr>
          <w:trHeight w:val="192"/>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MNTSW</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The Nasdaq Capital Market LLC</w:t>
            </w:r>
          </w:p>
        </w:tc>
      </w:tr>
    </w:tbl>
    <w:p>
      <w:pPr>
        <w:spacing w:after="0" w:line="148" w:lineRule="exact"/>
        <w:rPr>
          <w:sz w:val="24"/>
          <w:szCs w:val="24"/>
          <w:color w:val="auto"/>
        </w:rPr>
      </w:pPr>
    </w:p>
    <w:p>
      <w:pPr>
        <w:jc w:val="both"/>
        <w:ind w:right="20"/>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7" w:lineRule="exact"/>
        <w:rPr>
          <w:sz w:val="24"/>
          <w:szCs w:val="24"/>
          <w:color w:val="auto"/>
        </w:rPr>
      </w:pPr>
    </w:p>
    <w:p>
      <w:pPr>
        <w:jc w:val="both"/>
        <w:ind w:right="20"/>
        <w:spacing w:after="0" w:line="321"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4" w:lineRule="exact"/>
        <w:rPr>
          <w:sz w:val="24"/>
          <w:szCs w:val="24"/>
          <w:color w:val="auto"/>
        </w:rPr>
      </w:pPr>
    </w:p>
    <w:p>
      <w:pPr>
        <w:jc w:val="both"/>
        <w:ind w:right="20"/>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22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1000"/>
              <w:spacing w:after="0"/>
              <w:rPr>
                <w:sz w:val="20"/>
                <w:szCs w:val="20"/>
                <w:color w:val="auto"/>
              </w:rPr>
            </w:pPr>
            <w:r>
              <w:rPr>
                <w:rFonts w:ascii="Arial" w:cs="Arial" w:eastAsia="Arial" w:hAnsi="Arial"/>
                <w:sz w:val="14"/>
                <w:szCs w:val="14"/>
                <w:color w:val="auto"/>
              </w:rPr>
              <w:t>o</w:t>
            </w:r>
          </w:p>
        </w:tc>
        <w:tc>
          <w:tcPr>
            <w:tcW w:w="3580" w:type="dxa"/>
            <w:vAlign w:val="bottom"/>
          </w:tcPr>
          <w:p>
            <w:pPr>
              <w:ind w:left="1180"/>
              <w:spacing w:after="0"/>
              <w:rPr>
                <w:sz w:val="20"/>
                <w:szCs w:val="20"/>
                <w:color w:val="auto"/>
              </w:rPr>
            </w:pPr>
            <w:r>
              <w:rPr>
                <w:rFonts w:ascii="Arial" w:cs="Arial" w:eastAsia="Arial" w:hAnsi="Arial"/>
                <w:sz w:val="14"/>
                <w:szCs w:val="14"/>
                <w:color w:val="auto"/>
              </w:rPr>
              <w:t>Accelerated filer</w:t>
            </w:r>
          </w:p>
        </w:tc>
        <w:tc>
          <w:tcPr>
            <w:tcW w:w="3220" w:type="dxa"/>
            <w:vAlign w:val="bottom"/>
          </w:tcPr>
          <w:p>
            <w:pPr>
              <w:ind w:left="860"/>
              <w:spacing w:after="0"/>
              <w:rPr>
                <w:sz w:val="20"/>
                <w:szCs w:val="20"/>
                <w:color w:val="auto"/>
              </w:rPr>
            </w:pPr>
            <w:r>
              <w:rPr>
                <w:rFonts w:ascii="Arial" w:cs="Arial" w:eastAsia="Arial" w:hAnsi="Arial"/>
                <w:sz w:val="14"/>
                <w:szCs w:val="14"/>
                <w:color w:val="auto"/>
              </w:rPr>
              <w:t>o</w:t>
            </w:r>
          </w:p>
        </w:tc>
      </w:tr>
      <w:tr>
        <w:trPr>
          <w:trHeight w:val="202"/>
        </w:trPr>
        <w:tc>
          <w:tcPr>
            <w:tcW w:w="22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1000"/>
              <w:spacing w:after="0"/>
              <w:rPr>
                <w:sz w:val="20"/>
                <w:szCs w:val="20"/>
                <w:color w:val="auto"/>
              </w:rPr>
            </w:pPr>
            <w:r>
              <w:rPr>
                <w:rFonts w:ascii="Arial" w:cs="Arial" w:eastAsia="Arial" w:hAnsi="Arial"/>
                <w:sz w:val="14"/>
                <w:szCs w:val="14"/>
                <w:color w:val="auto"/>
              </w:rPr>
              <w:t>x</w:t>
            </w:r>
          </w:p>
        </w:tc>
        <w:tc>
          <w:tcPr>
            <w:tcW w:w="3580" w:type="dxa"/>
            <w:vAlign w:val="bottom"/>
          </w:tcPr>
          <w:p>
            <w:pPr>
              <w:ind w:left="1180"/>
              <w:spacing w:after="0"/>
              <w:rPr>
                <w:sz w:val="20"/>
                <w:szCs w:val="20"/>
                <w:color w:val="auto"/>
              </w:rPr>
            </w:pPr>
            <w:r>
              <w:rPr>
                <w:rFonts w:ascii="Arial" w:cs="Arial" w:eastAsia="Arial" w:hAnsi="Arial"/>
                <w:sz w:val="14"/>
                <w:szCs w:val="14"/>
                <w:color w:val="auto"/>
              </w:rPr>
              <w:t>Smaller reporting company</w:t>
            </w:r>
          </w:p>
        </w:tc>
        <w:tc>
          <w:tcPr>
            <w:tcW w:w="3220" w:type="dxa"/>
            <w:vAlign w:val="bottom"/>
          </w:tcPr>
          <w:p>
            <w:pPr>
              <w:ind w:left="860"/>
              <w:spacing w:after="0"/>
              <w:rPr>
                <w:sz w:val="20"/>
                <w:szCs w:val="20"/>
                <w:color w:val="auto"/>
              </w:rPr>
            </w:pPr>
            <w:r>
              <w:rPr>
                <w:rFonts w:ascii="Arial" w:cs="Arial" w:eastAsia="Arial" w:hAnsi="Arial"/>
                <w:sz w:val="14"/>
                <w:szCs w:val="14"/>
                <w:color w:val="auto"/>
              </w:rPr>
              <w:t>x</w:t>
            </w:r>
          </w:p>
        </w:tc>
      </w:tr>
      <w:tr>
        <w:trPr>
          <w:trHeight w:val="202"/>
        </w:trPr>
        <w:tc>
          <w:tcPr>
            <w:tcW w:w="2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580" w:type="dxa"/>
            <w:vAlign w:val="bottom"/>
          </w:tcPr>
          <w:p>
            <w:pPr>
              <w:ind w:left="1180"/>
              <w:spacing w:after="0"/>
              <w:rPr>
                <w:sz w:val="20"/>
                <w:szCs w:val="20"/>
                <w:color w:val="auto"/>
              </w:rPr>
            </w:pPr>
            <w:r>
              <w:rPr>
                <w:rFonts w:ascii="Arial" w:cs="Arial" w:eastAsia="Arial" w:hAnsi="Arial"/>
                <w:sz w:val="14"/>
                <w:szCs w:val="14"/>
                <w:color w:val="auto"/>
              </w:rPr>
              <w:t>Emerging growth company</w:t>
            </w:r>
          </w:p>
        </w:tc>
        <w:tc>
          <w:tcPr>
            <w:tcW w:w="3220" w:type="dxa"/>
            <w:vAlign w:val="bottom"/>
          </w:tcPr>
          <w:p>
            <w:pPr>
              <w:ind w:left="860"/>
              <w:spacing w:after="0"/>
              <w:rPr>
                <w:sz w:val="20"/>
                <w:szCs w:val="20"/>
                <w:color w:val="auto"/>
              </w:rPr>
            </w:pPr>
            <w:r>
              <w:rPr>
                <w:rFonts w:ascii="Arial" w:cs="Arial" w:eastAsia="Arial" w:hAnsi="Arial"/>
                <w:sz w:val="14"/>
                <w:szCs w:val="14"/>
                <w:color w:val="auto"/>
              </w:rPr>
              <w:t>x</w:t>
            </w:r>
          </w:p>
        </w:tc>
      </w:tr>
      <w:tr>
        <w:trPr>
          <w:trHeight w:val="584"/>
        </w:trPr>
        <w:tc>
          <w:tcPr>
            <w:tcW w:w="2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580" w:type="dxa"/>
            <w:vAlign w:val="bottom"/>
          </w:tcPr>
          <w:p>
            <w:pPr>
              <w:jc w:val="right"/>
              <w:ind w:right="2309"/>
              <w:spacing w:after="0"/>
              <w:rPr>
                <w:sz w:val="20"/>
                <w:szCs w:val="20"/>
                <w:color w:val="auto"/>
              </w:rPr>
            </w:pPr>
            <w:r>
              <w:rPr>
                <w:rFonts w:ascii="Arial" w:cs="Arial" w:eastAsia="Arial" w:hAnsi="Arial"/>
                <w:sz w:val="14"/>
                <w:szCs w:val="14"/>
                <w:color w:val="auto"/>
              </w:rPr>
              <w:t>1</w:t>
            </w:r>
          </w:p>
        </w:tc>
        <w:tc>
          <w:tcPr>
            <w:tcW w:w="3220" w:type="dxa"/>
            <w:vAlign w:val="bottom"/>
          </w:tcPr>
          <w:p>
            <w:pPr>
              <w:spacing w:after="0"/>
              <w:rPr>
                <w:sz w:val="24"/>
                <w:szCs w:val="24"/>
                <w:color w:val="auto"/>
              </w:rPr>
            </w:pPr>
          </w:p>
        </w:tc>
      </w:tr>
      <w:tr>
        <w:trPr>
          <w:trHeight w:val="87"/>
        </w:trPr>
        <w:tc>
          <w:tcPr>
            <w:tcW w:w="228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214" w:right="299" w:bottom="1440" w:gutter="0" w:footer="0" w:header="0"/>
          <w:type w:val="continuous"/>
        </w:sectPr>
      </w:pPr>
    </w:p>
    <w:bookmarkStart w:id="1" w:name="page2"/>
    <w:bookmarkEnd w:id="1"/>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  No x</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outstanding 81,755,715 shares of common stock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360" w:type="dxa"/>
            <w:vAlign w:val="bottom"/>
            <w:gridSpan w:val="2"/>
          </w:tcPr>
          <w:p>
            <w:pPr>
              <w:spacing w:after="0"/>
              <w:rPr>
                <w:rFonts w:ascii="Arial" w:cs="Arial" w:eastAsia="Arial" w:hAnsi="Arial"/>
                <w:sz w:val="14"/>
                <w:szCs w:val="14"/>
                <w:color w:val="3051F2"/>
              </w:rPr>
            </w:pPr>
            <w:hyperlink w:anchor="page2">
              <w:r>
                <w:rPr>
                  <w:rFonts w:ascii="Arial" w:cs="Arial" w:eastAsia="Arial" w:hAnsi="Arial"/>
                  <w:sz w:val="14"/>
                  <w:szCs w:val="14"/>
                  <w:color w:val="3051F2"/>
                </w:rPr>
                <w:t>Tables of Contents</w:t>
              </w:r>
            </w:hyperlink>
          </w:p>
        </w:tc>
        <w:tc>
          <w:tcPr>
            <w:tcW w:w="920" w:type="dxa"/>
            <w:vAlign w:val="bottom"/>
          </w:tcPr>
          <w:p>
            <w:pPr>
              <w:spacing w:after="0"/>
              <w:rPr>
                <w:sz w:val="14"/>
                <w:szCs w:val="14"/>
                <w:color w:val="auto"/>
              </w:rPr>
            </w:pPr>
          </w:p>
        </w:tc>
      </w:tr>
      <w:tr>
        <w:trPr>
          <w:trHeight w:val="521"/>
        </w:trPr>
        <w:tc>
          <w:tcPr>
            <w:tcW w:w="1060" w:type="dxa"/>
            <w:vAlign w:val="bottom"/>
            <w:tcBorders>
              <w:top w:val="single" w:sz="8" w:color="3051F2"/>
            </w:tcBorders>
          </w:tcPr>
          <w:p>
            <w:pPr>
              <w:spacing w:after="0"/>
              <w:rPr>
                <w:sz w:val="24"/>
                <w:szCs w:val="24"/>
                <w:color w:val="auto"/>
              </w:rPr>
            </w:pPr>
          </w:p>
        </w:tc>
        <w:tc>
          <w:tcPr>
            <w:tcW w:w="9300" w:type="dxa"/>
            <w:vAlign w:val="bottom"/>
          </w:tcPr>
          <w:p>
            <w:pPr>
              <w:ind w:left="3820"/>
              <w:spacing w:after="0"/>
              <w:rPr>
                <w:sz w:val="20"/>
                <w:szCs w:val="20"/>
                <w:color w:val="auto"/>
              </w:rPr>
            </w:pPr>
            <w:r>
              <w:rPr>
                <w:rFonts w:ascii="Arial" w:cs="Arial" w:eastAsia="Arial" w:hAnsi="Arial"/>
                <w:sz w:val="14"/>
                <w:szCs w:val="14"/>
                <w:b w:val="1"/>
                <w:bCs w:val="1"/>
                <w:color w:val="auto"/>
              </w:rPr>
              <w:t>TABLE OF CONTENTS</w:t>
            </w:r>
          </w:p>
        </w:tc>
        <w:tc>
          <w:tcPr>
            <w:tcW w:w="920" w:type="dxa"/>
            <w:vAlign w:val="bottom"/>
          </w:tcPr>
          <w:p>
            <w:pPr>
              <w:spacing w:after="0"/>
              <w:rPr>
                <w:sz w:val="24"/>
                <w:szCs w:val="24"/>
                <w:color w:val="auto"/>
              </w:rPr>
            </w:pPr>
          </w:p>
        </w:tc>
      </w:tr>
      <w:tr>
        <w:trPr>
          <w:trHeight w:val="202"/>
        </w:trPr>
        <w:tc>
          <w:tcPr>
            <w:tcW w:w="1060" w:type="dxa"/>
            <w:vAlign w:val="bottom"/>
            <w:tcBorders>
              <w:bottom w:val="single" w:sz="8" w:color="CCEEFF"/>
            </w:tcBorders>
          </w:tcPr>
          <w:p>
            <w:pPr>
              <w:spacing w:after="0"/>
              <w:rPr>
                <w:sz w:val="17"/>
                <w:szCs w:val="17"/>
                <w:color w:val="auto"/>
              </w:rPr>
            </w:pPr>
          </w:p>
        </w:tc>
        <w:tc>
          <w:tcPr>
            <w:tcW w:w="93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Page</w:t>
            </w:r>
          </w:p>
        </w:tc>
      </w:tr>
      <w:tr>
        <w:trPr>
          <w:trHeight w:val="171"/>
        </w:trPr>
        <w:tc>
          <w:tcPr>
            <w:tcW w:w="10360" w:type="dxa"/>
            <w:vAlign w:val="bottom"/>
            <w:gridSpan w:val="2"/>
            <w:shd w:val="clear" w:color="auto" w:fill="CCEEFF"/>
          </w:tcPr>
          <w:p>
            <w:pPr>
              <w:ind w:left="20"/>
              <w:spacing w:after="0"/>
              <w:rPr>
                <w:rFonts w:ascii="Arial" w:cs="Arial" w:eastAsia="Arial" w:hAnsi="Arial"/>
                <w:sz w:val="14"/>
                <w:szCs w:val="14"/>
                <w:color w:val="auto"/>
              </w:rPr>
            </w:pPr>
            <w:hyperlink w:anchor="page4">
              <w:r>
                <w:rPr>
                  <w:rFonts w:ascii="Arial" w:cs="Arial" w:eastAsia="Arial" w:hAnsi="Arial"/>
                  <w:sz w:val="14"/>
                  <w:szCs w:val="14"/>
                  <w:color w:val="auto"/>
                </w:rPr>
                <w:t>Part I - Financial Information</w:t>
              </w:r>
            </w:hyperlink>
          </w:p>
        </w:tc>
        <w:tc>
          <w:tcPr>
            <w:tcW w:w="920" w:type="dxa"/>
            <w:vAlign w:val="bottom"/>
            <w:shd w:val="clear" w:color="auto" w:fill="CCEEFF"/>
          </w:tcPr>
          <w:p>
            <w:pPr>
              <w:jc w:val="center"/>
              <w:spacing w:after="0"/>
              <w:rPr>
                <w:rFonts w:ascii="Arial" w:cs="Arial" w:eastAsia="Arial" w:hAnsi="Arial"/>
                <w:sz w:val="14"/>
                <w:szCs w:val="14"/>
                <w:color w:val="auto"/>
              </w:rPr>
            </w:pPr>
            <w:hyperlink w:anchor="page4">
              <w:r>
                <w:rPr>
                  <w:rFonts w:ascii="Arial" w:cs="Arial" w:eastAsia="Arial" w:hAnsi="Arial"/>
                  <w:sz w:val="14"/>
                  <w:szCs w:val="14"/>
                  <w:color w:val="auto"/>
                </w:rPr>
                <w:t>5</w:t>
              </w:r>
            </w:hyperlink>
          </w:p>
        </w:tc>
      </w:tr>
      <w:tr>
        <w:trPr>
          <w:trHeight w:val="180"/>
        </w:trPr>
        <w:tc>
          <w:tcPr>
            <w:tcW w:w="10360" w:type="dxa"/>
            <w:vAlign w:val="bottom"/>
            <w:gridSpan w:val="2"/>
          </w:tcPr>
          <w:p>
            <w:pPr>
              <w:ind w:left="180"/>
              <w:spacing w:after="0"/>
              <w:rPr>
                <w:rFonts w:ascii="Arial" w:cs="Arial" w:eastAsia="Arial" w:hAnsi="Arial"/>
                <w:sz w:val="14"/>
                <w:szCs w:val="14"/>
                <w:color w:val="auto"/>
              </w:rPr>
            </w:pPr>
            <w:hyperlink w:anchor="page5">
              <w:r>
                <w:rPr>
                  <w:rFonts w:ascii="Arial" w:cs="Arial" w:eastAsia="Arial" w:hAnsi="Arial"/>
                  <w:sz w:val="14"/>
                  <w:szCs w:val="14"/>
                  <w:color w:val="auto"/>
                </w:rPr>
                <w:t>Item 1. Unaudited Financial Statements</w:t>
              </w:r>
            </w:hyperlink>
          </w:p>
        </w:tc>
        <w:tc>
          <w:tcPr>
            <w:tcW w:w="920" w:type="dxa"/>
            <w:vAlign w:val="bottom"/>
          </w:tcPr>
          <w:p>
            <w:pPr>
              <w:jc w:val="center"/>
              <w:spacing w:after="0"/>
              <w:rPr>
                <w:rFonts w:ascii="Arial" w:cs="Arial" w:eastAsia="Arial" w:hAnsi="Arial"/>
                <w:sz w:val="14"/>
                <w:szCs w:val="14"/>
                <w:color w:val="auto"/>
              </w:rPr>
            </w:pPr>
            <w:hyperlink w:anchor="page5">
              <w:r>
                <w:rPr>
                  <w:rFonts w:ascii="Arial" w:cs="Arial" w:eastAsia="Arial" w:hAnsi="Arial"/>
                  <w:sz w:val="14"/>
                  <w:szCs w:val="14"/>
                  <w:color w:val="auto"/>
                </w:rPr>
                <w:t>5</w:t>
              </w:r>
            </w:hyperlink>
          </w:p>
        </w:tc>
      </w:tr>
      <w:tr>
        <w:trPr>
          <w:trHeight w:val="181"/>
        </w:trPr>
        <w:tc>
          <w:tcPr>
            <w:tcW w:w="10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Condensed Consolidated Balance Sheets</w:t>
            </w:r>
          </w:p>
        </w:tc>
        <w:tc>
          <w:tcPr>
            <w:tcW w:w="920" w:type="dxa"/>
            <w:vAlign w:val="bottom"/>
            <w:shd w:val="clear" w:color="auto" w:fill="CCEEFF"/>
          </w:tcPr>
          <w:p>
            <w:pPr>
              <w:jc w:val="center"/>
              <w:spacing w:after="0"/>
              <w:rPr>
                <w:rFonts w:ascii="Arial" w:cs="Arial" w:eastAsia="Arial" w:hAnsi="Arial"/>
                <w:sz w:val="14"/>
                <w:szCs w:val="14"/>
                <w:color w:val="auto"/>
              </w:rPr>
            </w:pPr>
            <w:hyperlink w:anchor="page5">
              <w:r>
                <w:rPr>
                  <w:rFonts w:ascii="Arial" w:cs="Arial" w:eastAsia="Arial" w:hAnsi="Arial"/>
                  <w:sz w:val="14"/>
                  <w:szCs w:val="14"/>
                  <w:color w:val="auto"/>
                </w:rPr>
                <w:t>5</w:t>
              </w:r>
            </w:hyperlink>
          </w:p>
        </w:tc>
      </w:tr>
      <w:tr>
        <w:trPr>
          <w:trHeight w:val="180"/>
        </w:trPr>
        <w:tc>
          <w:tcPr>
            <w:tcW w:w="10360" w:type="dxa"/>
            <w:vAlign w:val="bottom"/>
            <w:gridSpan w:val="2"/>
          </w:tcPr>
          <w:p>
            <w:pPr>
              <w:ind w:left="280"/>
              <w:spacing w:after="0"/>
              <w:rPr>
                <w:sz w:val="20"/>
                <w:szCs w:val="20"/>
                <w:color w:val="auto"/>
              </w:rPr>
            </w:pPr>
            <w:r>
              <w:rPr>
                <w:rFonts w:ascii="Arial" w:cs="Arial" w:eastAsia="Arial" w:hAnsi="Arial"/>
                <w:sz w:val="14"/>
                <w:szCs w:val="14"/>
                <w:color w:val="auto"/>
              </w:rPr>
              <w:t>Condensed Consolidated Statements of Operations</w:t>
            </w:r>
          </w:p>
        </w:tc>
        <w:tc>
          <w:tcPr>
            <w:tcW w:w="920" w:type="dxa"/>
            <w:vAlign w:val="bottom"/>
          </w:tcPr>
          <w:p>
            <w:pPr>
              <w:jc w:val="center"/>
              <w:spacing w:after="0"/>
              <w:rPr>
                <w:rFonts w:ascii="Arial" w:cs="Arial" w:eastAsia="Arial" w:hAnsi="Arial"/>
                <w:sz w:val="14"/>
                <w:szCs w:val="14"/>
                <w:color w:val="auto"/>
              </w:rPr>
            </w:pPr>
            <w:hyperlink w:anchor="page5">
              <w:r>
                <w:rPr>
                  <w:rFonts w:ascii="Arial" w:cs="Arial" w:eastAsia="Arial" w:hAnsi="Arial"/>
                  <w:sz w:val="14"/>
                  <w:szCs w:val="14"/>
                  <w:color w:val="auto"/>
                </w:rPr>
                <w:t>6</w:t>
              </w:r>
            </w:hyperlink>
          </w:p>
        </w:tc>
      </w:tr>
      <w:tr>
        <w:trPr>
          <w:trHeight w:val="181"/>
        </w:trPr>
        <w:tc>
          <w:tcPr>
            <w:tcW w:w="10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Condensed Consolidated Statements of Stockholders’ Equity (Deficit)</w:t>
            </w:r>
          </w:p>
        </w:tc>
        <w:tc>
          <w:tcPr>
            <w:tcW w:w="920" w:type="dxa"/>
            <w:vAlign w:val="bottom"/>
            <w:shd w:val="clear" w:color="auto" w:fill="CCEEFF"/>
          </w:tcPr>
          <w:p>
            <w:pPr>
              <w:jc w:val="center"/>
              <w:spacing w:after="0"/>
              <w:rPr>
                <w:rFonts w:ascii="Arial" w:cs="Arial" w:eastAsia="Arial" w:hAnsi="Arial"/>
                <w:sz w:val="14"/>
                <w:szCs w:val="14"/>
                <w:color w:val="auto"/>
              </w:rPr>
            </w:pPr>
            <w:hyperlink w:anchor="page6">
              <w:r>
                <w:rPr>
                  <w:rFonts w:ascii="Arial" w:cs="Arial" w:eastAsia="Arial" w:hAnsi="Arial"/>
                  <w:sz w:val="14"/>
                  <w:szCs w:val="14"/>
                  <w:color w:val="auto"/>
                </w:rPr>
                <w:t>7</w:t>
              </w:r>
            </w:hyperlink>
          </w:p>
        </w:tc>
      </w:tr>
      <w:tr>
        <w:trPr>
          <w:trHeight w:val="180"/>
        </w:trPr>
        <w:tc>
          <w:tcPr>
            <w:tcW w:w="10360" w:type="dxa"/>
            <w:vAlign w:val="bottom"/>
            <w:gridSpan w:val="2"/>
          </w:tcPr>
          <w:p>
            <w:pPr>
              <w:ind w:left="280"/>
              <w:spacing w:after="0"/>
              <w:rPr>
                <w:sz w:val="20"/>
                <w:szCs w:val="20"/>
                <w:color w:val="auto"/>
              </w:rPr>
            </w:pPr>
            <w:r>
              <w:rPr>
                <w:rFonts w:ascii="Arial" w:cs="Arial" w:eastAsia="Arial" w:hAnsi="Arial"/>
                <w:sz w:val="14"/>
                <w:szCs w:val="14"/>
                <w:color w:val="auto"/>
              </w:rPr>
              <w:t>Condensed Consolidated Statements of Cash Flows</w:t>
            </w:r>
          </w:p>
        </w:tc>
        <w:tc>
          <w:tcPr>
            <w:tcW w:w="920" w:type="dxa"/>
            <w:vAlign w:val="bottom"/>
          </w:tcPr>
          <w:p>
            <w:pPr>
              <w:jc w:val="center"/>
              <w:spacing w:after="0"/>
              <w:rPr>
                <w:rFonts w:ascii="Arial" w:cs="Arial" w:eastAsia="Arial" w:hAnsi="Arial"/>
                <w:sz w:val="14"/>
                <w:szCs w:val="14"/>
                <w:color w:val="auto"/>
              </w:rPr>
            </w:pPr>
            <w:hyperlink w:anchor="page7">
              <w:r>
                <w:rPr>
                  <w:rFonts w:ascii="Arial" w:cs="Arial" w:eastAsia="Arial" w:hAnsi="Arial"/>
                  <w:sz w:val="14"/>
                  <w:szCs w:val="14"/>
                  <w:color w:val="auto"/>
                </w:rPr>
                <w:t>8</w:t>
              </w:r>
            </w:hyperlink>
          </w:p>
        </w:tc>
      </w:tr>
      <w:tr>
        <w:trPr>
          <w:trHeight w:val="181"/>
        </w:trPr>
        <w:tc>
          <w:tcPr>
            <w:tcW w:w="10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Notes to the Condensed Consolidated Financial Statements</w:t>
            </w:r>
          </w:p>
        </w:tc>
        <w:tc>
          <w:tcPr>
            <w:tcW w:w="920" w:type="dxa"/>
            <w:vAlign w:val="bottom"/>
            <w:shd w:val="clear" w:color="auto" w:fill="CCEEFF"/>
          </w:tcPr>
          <w:p>
            <w:pPr>
              <w:jc w:val="center"/>
              <w:spacing w:after="0"/>
              <w:rPr>
                <w:rFonts w:ascii="Arial" w:cs="Arial" w:eastAsia="Arial" w:hAnsi="Arial"/>
                <w:sz w:val="14"/>
                <w:szCs w:val="14"/>
                <w:color w:val="auto"/>
              </w:rPr>
            </w:pPr>
            <w:hyperlink w:anchor="page8">
              <w:r>
                <w:rPr>
                  <w:rFonts w:ascii="Arial" w:cs="Arial" w:eastAsia="Arial" w:hAnsi="Arial"/>
                  <w:sz w:val="14"/>
                  <w:szCs w:val="14"/>
                  <w:color w:val="auto"/>
                </w:rPr>
                <w:t>9</w:t>
              </w:r>
            </w:hyperlink>
          </w:p>
        </w:tc>
      </w:tr>
      <w:tr>
        <w:trPr>
          <w:trHeight w:val="180"/>
        </w:trPr>
        <w:tc>
          <w:tcPr>
            <w:tcW w:w="10360" w:type="dxa"/>
            <w:vAlign w:val="bottom"/>
            <w:gridSpan w:val="2"/>
          </w:tcPr>
          <w:p>
            <w:pPr>
              <w:ind w:left="180"/>
              <w:spacing w:after="0"/>
              <w:rPr>
                <w:rFonts w:ascii="Arial" w:cs="Arial" w:eastAsia="Arial" w:hAnsi="Arial"/>
                <w:sz w:val="14"/>
                <w:szCs w:val="14"/>
                <w:color w:val="auto"/>
              </w:rPr>
            </w:pPr>
            <w:hyperlink w:anchor="page31">
              <w:r>
                <w:rPr>
                  <w:rFonts w:ascii="Arial" w:cs="Arial" w:eastAsia="Arial" w:hAnsi="Arial"/>
                  <w:sz w:val="14"/>
                  <w:szCs w:val="14"/>
                  <w:color w:val="auto"/>
                </w:rPr>
                <w:t>Item 2. Management's Discussion and Analysis of Financial Condition and Results of Operations</w:t>
              </w:r>
            </w:hyperlink>
          </w:p>
        </w:tc>
        <w:tc>
          <w:tcPr>
            <w:tcW w:w="920" w:type="dxa"/>
            <w:vAlign w:val="bottom"/>
          </w:tcPr>
          <w:p>
            <w:pPr>
              <w:jc w:val="center"/>
              <w:spacing w:after="0"/>
              <w:rPr>
                <w:rFonts w:ascii="Arial" w:cs="Arial" w:eastAsia="Arial" w:hAnsi="Arial"/>
                <w:sz w:val="14"/>
                <w:szCs w:val="14"/>
                <w:color w:val="auto"/>
                <w:w w:val="89"/>
              </w:rPr>
            </w:pPr>
            <w:hyperlink w:anchor="page31">
              <w:r>
                <w:rPr>
                  <w:rFonts w:ascii="Arial" w:cs="Arial" w:eastAsia="Arial" w:hAnsi="Arial"/>
                  <w:sz w:val="14"/>
                  <w:szCs w:val="14"/>
                  <w:color w:val="auto"/>
                  <w:w w:val="89"/>
                </w:rPr>
                <w:t>32</w:t>
              </w:r>
            </w:hyperlink>
          </w:p>
        </w:tc>
      </w:tr>
      <w:tr>
        <w:trPr>
          <w:trHeight w:val="181"/>
        </w:trPr>
        <w:tc>
          <w:tcPr>
            <w:tcW w:w="10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47">
              <w:r>
                <w:rPr>
                  <w:rFonts w:ascii="Arial" w:cs="Arial" w:eastAsia="Arial" w:hAnsi="Arial"/>
                  <w:sz w:val="14"/>
                  <w:szCs w:val="14"/>
                  <w:color w:val="auto"/>
                  <w:w w:val="89"/>
                </w:rPr>
                <w:t>47</w:t>
              </w:r>
            </w:hyperlink>
          </w:p>
        </w:tc>
      </w:tr>
      <w:tr>
        <w:trPr>
          <w:trHeight w:val="180"/>
        </w:trPr>
        <w:tc>
          <w:tcPr>
            <w:tcW w:w="10360" w:type="dxa"/>
            <w:vAlign w:val="bottom"/>
            <w:gridSpan w:val="2"/>
          </w:tcPr>
          <w:p>
            <w:pPr>
              <w:ind w:left="180"/>
              <w:spacing w:after="0"/>
              <w:rPr>
                <w:rFonts w:ascii="Arial" w:cs="Arial" w:eastAsia="Arial" w:hAnsi="Arial"/>
                <w:sz w:val="14"/>
                <w:szCs w:val="14"/>
                <w:color w:val="auto"/>
              </w:rPr>
            </w:pPr>
            <w:hyperlink w:anchor="page48">
              <w:r>
                <w:rPr>
                  <w:rFonts w:ascii="Arial" w:cs="Arial" w:eastAsia="Arial" w:hAnsi="Arial"/>
                  <w:sz w:val="14"/>
                  <w:szCs w:val="14"/>
                  <w:color w:val="auto"/>
                </w:rPr>
                <w:t>Item 4. Controls and Procedures</w:t>
              </w:r>
            </w:hyperlink>
          </w:p>
        </w:tc>
        <w:tc>
          <w:tcPr>
            <w:tcW w:w="920" w:type="dxa"/>
            <w:vAlign w:val="bottom"/>
          </w:tcPr>
          <w:p>
            <w:pPr>
              <w:jc w:val="center"/>
              <w:spacing w:after="0"/>
              <w:rPr>
                <w:rFonts w:ascii="Arial" w:cs="Arial" w:eastAsia="Arial" w:hAnsi="Arial"/>
                <w:sz w:val="14"/>
                <w:szCs w:val="14"/>
                <w:color w:val="auto"/>
                <w:w w:val="89"/>
              </w:rPr>
            </w:pPr>
            <w:hyperlink w:anchor="page48">
              <w:r>
                <w:rPr>
                  <w:rFonts w:ascii="Arial" w:cs="Arial" w:eastAsia="Arial" w:hAnsi="Arial"/>
                  <w:sz w:val="14"/>
                  <w:szCs w:val="14"/>
                  <w:color w:val="auto"/>
                  <w:w w:val="89"/>
                </w:rPr>
                <w:t>48</w:t>
              </w:r>
            </w:hyperlink>
          </w:p>
        </w:tc>
      </w:tr>
      <w:tr>
        <w:trPr>
          <w:trHeight w:val="181"/>
        </w:trPr>
        <w:tc>
          <w:tcPr>
            <w:tcW w:w="10360" w:type="dxa"/>
            <w:vAlign w:val="bottom"/>
            <w:gridSpan w:val="2"/>
            <w:shd w:val="clear" w:color="auto" w:fill="CCEEFF"/>
          </w:tcPr>
          <w:p>
            <w:pPr>
              <w:ind w:left="20"/>
              <w:spacing w:after="0"/>
              <w:rPr>
                <w:rFonts w:ascii="Arial" w:cs="Arial" w:eastAsia="Arial" w:hAnsi="Arial"/>
                <w:sz w:val="14"/>
                <w:szCs w:val="14"/>
                <w:color w:val="auto"/>
              </w:rPr>
            </w:pPr>
            <w:hyperlink w:anchor="page48">
              <w:r>
                <w:rPr>
                  <w:rFonts w:ascii="Arial" w:cs="Arial" w:eastAsia="Arial" w:hAnsi="Arial"/>
                  <w:sz w:val="14"/>
                  <w:szCs w:val="14"/>
                  <w:color w:val="auto"/>
                </w:rPr>
                <w:t>Part II - Other Information</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48">
              <w:r>
                <w:rPr>
                  <w:rFonts w:ascii="Arial" w:cs="Arial" w:eastAsia="Arial" w:hAnsi="Arial"/>
                  <w:sz w:val="14"/>
                  <w:szCs w:val="14"/>
                  <w:color w:val="auto"/>
                  <w:w w:val="89"/>
                </w:rPr>
                <w:t>49</w:t>
              </w:r>
            </w:hyperlink>
          </w:p>
        </w:tc>
      </w:tr>
      <w:tr>
        <w:trPr>
          <w:trHeight w:val="180"/>
        </w:trPr>
        <w:tc>
          <w:tcPr>
            <w:tcW w:w="10360" w:type="dxa"/>
            <w:vAlign w:val="bottom"/>
            <w:gridSpan w:val="2"/>
          </w:tcPr>
          <w:p>
            <w:pPr>
              <w:ind w:left="180"/>
              <w:spacing w:after="0"/>
              <w:rPr>
                <w:rFonts w:ascii="Arial" w:cs="Arial" w:eastAsia="Arial" w:hAnsi="Arial"/>
                <w:sz w:val="14"/>
                <w:szCs w:val="14"/>
                <w:color w:val="auto"/>
              </w:rPr>
            </w:pPr>
            <w:hyperlink w:anchor="page49">
              <w:r>
                <w:rPr>
                  <w:rFonts w:ascii="Arial" w:cs="Arial" w:eastAsia="Arial" w:hAnsi="Arial"/>
                  <w:sz w:val="14"/>
                  <w:szCs w:val="14"/>
                  <w:color w:val="auto"/>
                </w:rPr>
                <w:t>Item 1. Legal Proceedings</w:t>
              </w:r>
            </w:hyperlink>
          </w:p>
        </w:tc>
        <w:tc>
          <w:tcPr>
            <w:tcW w:w="920" w:type="dxa"/>
            <w:vAlign w:val="bottom"/>
          </w:tcPr>
          <w:p>
            <w:pPr>
              <w:jc w:val="center"/>
              <w:spacing w:after="0"/>
              <w:rPr>
                <w:rFonts w:ascii="Arial" w:cs="Arial" w:eastAsia="Arial" w:hAnsi="Arial"/>
                <w:sz w:val="14"/>
                <w:szCs w:val="14"/>
                <w:color w:val="auto"/>
                <w:w w:val="89"/>
              </w:rPr>
            </w:pPr>
            <w:hyperlink w:anchor="page49">
              <w:r>
                <w:rPr>
                  <w:rFonts w:ascii="Arial" w:cs="Arial" w:eastAsia="Arial" w:hAnsi="Arial"/>
                  <w:sz w:val="14"/>
                  <w:szCs w:val="14"/>
                  <w:color w:val="auto"/>
                  <w:w w:val="89"/>
                </w:rPr>
                <w:t>49</w:t>
              </w:r>
            </w:hyperlink>
          </w:p>
        </w:tc>
      </w:tr>
      <w:tr>
        <w:trPr>
          <w:trHeight w:val="181"/>
        </w:trPr>
        <w:tc>
          <w:tcPr>
            <w:tcW w:w="10360" w:type="dxa"/>
            <w:vAlign w:val="bottom"/>
            <w:gridSpan w:val="2"/>
            <w:shd w:val="clear" w:color="auto" w:fill="CCEEFF"/>
          </w:tcPr>
          <w:p>
            <w:pPr>
              <w:ind w:left="180"/>
              <w:spacing w:after="0"/>
              <w:rPr>
                <w:rFonts w:ascii="Arial" w:cs="Arial" w:eastAsia="Arial" w:hAnsi="Arial"/>
                <w:sz w:val="14"/>
                <w:szCs w:val="14"/>
                <w:color w:val="auto"/>
              </w:rPr>
            </w:pPr>
            <w:hyperlink w:anchor="page49">
              <w:r>
                <w:rPr>
                  <w:rFonts w:ascii="Arial" w:cs="Arial" w:eastAsia="Arial" w:hAnsi="Arial"/>
                  <w:sz w:val="14"/>
                  <w:szCs w:val="14"/>
                  <w:color w:val="auto"/>
                </w:rPr>
                <w:t>Item 1A. Risk Factors</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49">
              <w:r>
                <w:rPr>
                  <w:rFonts w:ascii="Arial" w:cs="Arial" w:eastAsia="Arial" w:hAnsi="Arial"/>
                  <w:sz w:val="14"/>
                  <w:szCs w:val="14"/>
                  <w:color w:val="auto"/>
                  <w:w w:val="89"/>
                </w:rPr>
                <w:t>49</w:t>
              </w:r>
            </w:hyperlink>
          </w:p>
        </w:tc>
      </w:tr>
      <w:tr>
        <w:trPr>
          <w:trHeight w:val="180"/>
        </w:trPr>
        <w:tc>
          <w:tcPr>
            <w:tcW w:w="10360" w:type="dxa"/>
            <w:vAlign w:val="bottom"/>
            <w:gridSpan w:val="2"/>
          </w:tcPr>
          <w:p>
            <w:pPr>
              <w:ind w:left="180"/>
              <w:spacing w:after="0"/>
              <w:rPr>
                <w:rFonts w:ascii="Arial" w:cs="Arial" w:eastAsia="Arial" w:hAnsi="Arial"/>
                <w:sz w:val="14"/>
                <w:szCs w:val="14"/>
                <w:color w:val="auto"/>
              </w:rPr>
            </w:pPr>
            <w:hyperlink w:anchor="page49">
              <w:r>
                <w:rPr>
                  <w:rFonts w:ascii="Arial" w:cs="Arial" w:eastAsia="Arial" w:hAnsi="Arial"/>
                  <w:sz w:val="14"/>
                  <w:szCs w:val="14"/>
                  <w:color w:val="auto"/>
                </w:rPr>
                <w:t>Item 2. Unregistered Sales of Equity Securities and Use of Proceeds</w:t>
              </w:r>
            </w:hyperlink>
          </w:p>
        </w:tc>
        <w:tc>
          <w:tcPr>
            <w:tcW w:w="920" w:type="dxa"/>
            <w:vAlign w:val="bottom"/>
          </w:tcPr>
          <w:p>
            <w:pPr>
              <w:jc w:val="center"/>
              <w:spacing w:after="0"/>
              <w:rPr>
                <w:rFonts w:ascii="Arial" w:cs="Arial" w:eastAsia="Arial" w:hAnsi="Arial"/>
                <w:sz w:val="14"/>
                <w:szCs w:val="14"/>
                <w:color w:val="auto"/>
                <w:w w:val="89"/>
              </w:rPr>
            </w:pPr>
            <w:hyperlink w:anchor="page49">
              <w:r>
                <w:rPr>
                  <w:rFonts w:ascii="Arial" w:cs="Arial" w:eastAsia="Arial" w:hAnsi="Arial"/>
                  <w:sz w:val="14"/>
                  <w:szCs w:val="14"/>
                  <w:color w:val="auto"/>
                  <w:w w:val="89"/>
                </w:rPr>
                <w:t>49</w:t>
              </w:r>
            </w:hyperlink>
          </w:p>
        </w:tc>
      </w:tr>
      <w:tr>
        <w:trPr>
          <w:trHeight w:val="181"/>
        </w:trPr>
        <w:tc>
          <w:tcPr>
            <w:tcW w:w="10360" w:type="dxa"/>
            <w:vAlign w:val="bottom"/>
            <w:gridSpan w:val="2"/>
            <w:shd w:val="clear" w:color="auto" w:fill="CCEEFF"/>
          </w:tcPr>
          <w:p>
            <w:pPr>
              <w:ind w:left="180"/>
              <w:spacing w:after="0"/>
              <w:rPr>
                <w:rFonts w:ascii="Arial" w:cs="Arial" w:eastAsia="Arial" w:hAnsi="Arial"/>
                <w:sz w:val="14"/>
                <w:szCs w:val="14"/>
                <w:color w:val="auto"/>
              </w:rPr>
            </w:pPr>
            <w:hyperlink w:anchor="page49">
              <w:r>
                <w:rPr>
                  <w:rFonts w:ascii="Arial" w:cs="Arial" w:eastAsia="Arial" w:hAnsi="Arial"/>
                  <w:sz w:val="14"/>
                  <w:szCs w:val="14"/>
                  <w:color w:val="auto"/>
                </w:rPr>
                <w:t>Item 3. Defaults Upon Senior Securities</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49">
              <w:r>
                <w:rPr>
                  <w:rFonts w:ascii="Arial" w:cs="Arial" w:eastAsia="Arial" w:hAnsi="Arial"/>
                  <w:sz w:val="14"/>
                  <w:szCs w:val="14"/>
                  <w:color w:val="auto"/>
                  <w:w w:val="89"/>
                </w:rPr>
                <w:t>49</w:t>
              </w:r>
            </w:hyperlink>
          </w:p>
        </w:tc>
      </w:tr>
      <w:tr>
        <w:trPr>
          <w:trHeight w:val="180"/>
        </w:trPr>
        <w:tc>
          <w:tcPr>
            <w:tcW w:w="10360" w:type="dxa"/>
            <w:vAlign w:val="bottom"/>
            <w:gridSpan w:val="2"/>
          </w:tcPr>
          <w:p>
            <w:pPr>
              <w:ind w:left="180"/>
              <w:spacing w:after="0"/>
              <w:rPr>
                <w:rFonts w:ascii="Arial" w:cs="Arial" w:eastAsia="Arial" w:hAnsi="Arial"/>
                <w:sz w:val="14"/>
                <w:szCs w:val="14"/>
                <w:color w:val="auto"/>
              </w:rPr>
            </w:pPr>
            <w:hyperlink w:anchor="page49">
              <w:r>
                <w:rPr>
                  <w:rFonts w:ascii="Arial" w:cs="Arial" w:eastAsia="Arial" w:hAnsi="Arial"/>
                  <w:sz w:val="14"/>
                  <w:szCs w:val="14"/>
                  <w:color w:val="auto"/>
                </w:rPr>
                <w:t>Item 4. Mine Safety Disclosures</w:t>
              </w:r>
            </w:hyperlink>
          </w:p>
        </w:tc>
        <w:tc>
          <w:tcPr>
            <w:tcW w:w="920" w:type="dxa"/>
            <w:vAlign w:val="bottom"/>
          </w:tcPr>
          <w:p>
            <w:pPr>
              <w:jc w:val="center"/>
              <w:spacing w:after="0"/>
              <w:rPr>
                <w:rFonts w:ascii="Arial" w:cs="Arial" w:eastAsia="Arial" w:hAnsi="Arial"/>
                <w:sz w:val="14"/>
                <w:szCs w:val="14"/>
                <w:color w:val="auto"/>
                <w:w w:val="89"/>
              </w:rPr>
            </w:pPr>
            <w:hyperlink w:anchor="page49">
              <w:r>
                <w:rPr>
                  <w:rFonts w:ascii="Arial" w:cs="Arial" w:eastAsia="Arial" w:hAnsi="Arial"/>
                  <w:sz w:val="14"/>
                  <w:szCs w:val="14"/>
                  <w:color w:val="auto"/>
                  <w:w w:val="89"/>
                </w:rPr>
                <w:t>49</w:t>
              </w:r>
            </w:hyperlink>
          </w:p>
        </w:tc>
      </w:tr>
      <w:tr>
        <w:trPr>
          <w:trHeight w:val="181"/>
        </w:trPr>
        <w:tc>
          <w:tcPr>
            <w:tcW w:w="10360" w:type="dxa"/>
            <w:vAlign w:val="bottom"/>
            <w:gridSpan w:val="2"/>
            <w:shd w:val="clear" w:color="auto" w:fill="CCEEFF"/>
          </w:tcPr>
          <w:p>
            <w:pPr>
              <w:ind w:left="180"/>
              <w:spacing w:after="0"/>
              <w:rPr>
                <w:rFonts w:ascii="Arial" w:cs="Arial" w:eastAsia="Arial" w:hAnsi="Arial"/>
                <w:sz w:val="14"/>
                <w:szCs w:val="14"/>
                <w:color w:val="auto"/>
              </w:rPr>
            </w:pPr>
            <w:hyperlink w:anchor="page49">
              <w:r>
                <w:rPr>
                  <w:rFonts w:ascii="Arial" w:cs="Arial" w:eastAsia="Arial" w:hAnsi="Arial"/>
                  <w:sz w:val="14"/>
                  <w:szCs w:val="14"/>
                  <w:color w:val="auto"/>
                </w:rPr>
                <w:t>Item 5. Other Information</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49">
              <w:r>
                <w:rPr>
                  <w:rFonts w:ascii="Arial" w:cs="Arial" w:eastAsia="Arial" w:hAnsi="Arial"/>
                  <w:sz w:val="14"/>
                  <w:szCs w:val="14"/>
                  <w:color w:val="auto"/>
                  <w:w w:val="89"/>
                </w:rPr>
                <w:t>49</w:t>
              </w:r>
            </w:hyperlink>
          </w:p>
        </w:tc>
      </w:tr>
      <w:tr>
        <w:trPr>
          <w:trHeight w:val="180"/>
        </w:trPr>
        <w:tc>
          <w:tcPr>
            <w:tcW w:w="10360" w:type="dxa"/>
            <w:vAlign w:val="bottom"/>
            <w:gridSpan w:val="2"/>
          </w:tcPr>
          <w:p>
            <w:pPr>
              <w:ind w:left="180"/>
              <w:spacing w:after="0"/>
              <w:rPr>
                <w:rFonts w:ascii="Arial" w:cs="Arial" w:eastAsia="Arial" w:hAnsi="Arial"/>
                <w:sz w:val="14"/>
                <w:szCs w:val="14"/>
                <w:color w:val="auto"/>
              </w:rPr>
            </w:pPr>
            <w:hyperlink w:anchor="page49">
              <w:r>
                <w:rPr>
                  <w:rFonts w:ascii="Arial" w:cs="Arial" w:eastAsia="Arial" w:hAnsi="Arial"/>
                  <w:sz w:val="14"/>
                  <w:szCs w:val="14"/>
                  <w:color w:val="auto"/>
                </w:rPr>
                <w:t>Item 6. Exhibits</w:t>
              </w:r>
            </w:hyperlink>
          </w:p>
        </w:tc>
        <w:tc>
          <w:tcPr>
            <w:tcW w:w="920" w:type="dxa"/>
            <w:vAlign w:val="bottom"/>
          </w:tcPr>
          <w:p>
            <w:pPr>
              <w:jc w:val="center"/>
              <w:spacing w:after="0"/>
              <w:rPr>
                <w:rFonts w:ascii="Arial" w:cs="Arial" w:eastAsia="Arial" w:hAnsi="Arial"/>
                <w:sz w:val="14"/>
                <w:szCs w:val="14"/>
                <w:color w:val="auto"/>
                <w:w w:val="89"/>
              </w:rPr>
            </w:pPr>
            <w:hyperlink w:anchor="page49">
              <w:r>
                <w:rPr>
                  <w:rFonts w:ascii="Arial" w:cs="Arial" w:eastAsia="Arial" w:hAnsi="Arial"/>
                  <w:sz w:val="14"/>
                  <w:szCs w:val="14"/>
                  <w:color w:val="auto"/>
                  <w:w w:val="89"/>
                </w:rPr>
                <w:t>50</w:t>
              </w:r>
            </w:hyperlink>
          </w:p>
        </w:tc>
      </w:tr>
      <w:tr>
        <w:trPr>
          <w:trHeight w:val="181"/>
        </w:trPr>
        <w:tc>
          <w:tcPr>
            <w:tcW w:w="10360" w:type="dxa"/>
            <w:vAlign w:val="bottom"/>
            <w:gridSpan w:val="2"/>
            <w:shd w:val="clear" w:color="auto" w:fill="CCEEFF"/>
          </w:tcPr>
          <w:p>
            <w:pPr>
              <w:ind w:left="20"/>
              <w:spacing w:after="0"/>
              <w:rPr>
                <w:rFonts w:ascii="Arial" w:cs="Arial" w:eastAsia="Arial" w:hAnsi="Arial"/>
                <w:sz w:val="14"/>
                <w:szCs w:val="14"/>
                <w:color w:val="auto"/>
              </w:rPr>
            </w:pPr>
            <w:hyperlink w:anchor="page50">
              <w:r>
                <w:rPr>
                  <w:rFonts w:ascii="Arial" w:cs="Arial" w:eastAsia="Arial" w:hAnsi="Arial"/>
                  <w:sz w:val="14"/>
                  <w:szCs w:val="14"/>
                  <w:color w:val="auto"/>
                </w:rPr>
                <w:t>Signatures</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50">
              <w:r>
                <w:rPr>
                  <w:rFonts w:ascii="Arial" w:cs="Arial" w:eastAsia="Arial" w:hAnsi="Arial"/>
                  <w:sz w:val="14"/>
                  <w:szCs w:val="14"/>
                  <w:color w:val="auto"/>
                  <w:w w:val="89"/>
                </w:rPr>
                <w:t>51</w:t>
              </w:r>
            </w:hyperlink>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9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effects of the COVID-19 pandemic on the Company’s business; the Company’s ability to comply with the terms of its National Security Agreement (the “NSA”) and any related compliance measures instituted by the director who was approved by the Committee on Foreign Investment in the United States (“CFIUS”) Monitoring Agencies (the “Security Director”); the possibility that the Company may be adversely affected by other economic, business, and/or competitive factors; and/or other risks and uncertainties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 w:name="page4"/>
    <w:bookmarkEnd w:id="3"/>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described under Part II, Item 1A: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may not be exhaustive.</w:t>
      </w:r>
    </w:p>
    <w:p>
      <w:pPr>
        <w:spacing w:after="0" w:line="6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160" w:type="dxa"/>
            <w:vAlign w:val="bottom"/>
          </w:tcPr>
          <w:p>
            <w:pPr>
              <w:jc w:val="center"/>
              <w:ind w:left="456"/>
              <w:spacing w:after="0"/>
              <w:rPr>
                <w:sz w:val="20"/>
                <w:szCs w:val="20"/>
                <w:color w:val="auto"/>
              </w:rPr>
            </w:pPr>
            <w:r>
              <w:rPr>
                <w:rFonts w:ascii="Arial" w:cs="Arial" w:eastAsia="Arial" w:hAnsi="Arial"/>
                <w:sz w:val="13"/>
                <w:szCs w:val="13"/>
                <w:b w:val="1"/>
                <w:bCs w:val="1"/>
                <w:color w:val="auto"/>
                <w:w w:val="93"/>
              </w:rPr>
              <w:t>March 31,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39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14"/>
                <w:szCs w:val="14"/>
                <w:color w:val="auto"/>
              </w:rPr>
            </w:pPr>
          </w:p>
        </w:tc>
        <w:tc>
          <w:tcPr>
            <w:tcW w:w="1160" w:type="dxa"/>
            <w:vAlign w:val="bottom"/>
            <w:tcBorders>
              <w:bottom w:val="single" w:sz="8" w:color="auto"/>
            </w:tcBorders>
          </w:tcPr>
          <w:p>
            <w:pPr>
              <w:jc w:val="center"/>
              <w:ind w:left="476"/>
              <w:spacing w:after="0"/>
              <w:rPr>
                <w:sz w:val="20"/>
                <w:szCs w:val="20"/>
                <w:color w:val="auto"/>
              </w:rPr>
            </w:pPr>
            <w:r>
              <w:rPr>
                <w:rFonts w:ascii="Arial" w:cs="Arial" w:eastAsia="Arial" w:hAnsi="Arial"/>
                <w:sz w:val="13"/>
                <w:szCs w:val="13"/>
                <w:b w:val="1"/>
                <w:bCs w:val="1"/>
                <w:color w:val="auto"/>
                <w:w w:val="89"/>
              </w:rPr>
              <w:t>2022</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7840" w:type="dxa"/>
            <w:vAlign w:val="bottom"/>
          </w:tcPr>
          <w:p>
            <w:pPr>
              <w:spacing w:after="0"/>
              <w:rPr>
                <w:sz w:val="13"/>
                <w:szCs w:val="13"/>
                <w:color w:val="auto"/>
              </w:rPr>
            </w:pPr>
          </w:p>
        </w:tc>
        <w:tc>
          <w:tcPr>
            <w:tcW w:w="1160" w:type="dxa"/>
            <w:vAlign w:val="bottom"/>
          </w:tcPr>
          <w:p>
            <w:pPr>
              <w:jc w:val="center"/>
              <w:ind w:left="456"/>
              <w:spacing w:after="0"/>
              <w:rPr>
                <w:sz w:val="20"/>
                <w:szCs w:val="20"/>
                <w:color w:val="auto"/>
              </w:rPr>
            </w:pPr>
            <w:r>
              <w:rPr>
                <w:rFonts w:ascii="Arial" w:cs="Arial" w:eastAsia="Arial" w:hAnsi="Arial"/>
                <w:sz w:val="13"/>
                <w:szCs w:val="13"/>
                <w:i w:val="1"/>
                <w:iCs w:val="1"/>
                <w:color w:val="auto"/>
                <w:w w:val="91"/>
              </w:rPr>
              <w:t>(unaudited)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135,602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160,036</w:t>
            </w:r>
          </w:p>
        </w:tc>
        <w:tc>
          <w:tcPr>
            <w:tcW w:w="0" w:type="dxa"/>
            <w:vAlign w:val="bottom"/>
          </w:tcPr>
          <w:p>
            <w:pPr>
              <w:spacing w:after="0"/>
              <w:rPr>
                <w:sz w:val="1"/>
                <w:szCs w:val="1"/>
                <w:color w:val="auto"/>
              </w:rPr>
            </w:pP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Restricted cash, current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Prepaids and other current assets</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9,431</w:t>
            </w:r>
          </w:p>
        </w:tc>
        <w:tc>
          <w:tcPr>
            <w:tcW w:w="0" w:type="dxa"/>
            <w:vAlign w:val="bottom"/>
          </w:tcPr>
          <w:p>
            <w:pPr>
              <w:spacing w:after="0"/>
              <w:rPr>
                <w:sz w:val="1"/>
                <w:szCs w:val="1"/>
                <w:color w:val="auto"/>
              </w:rPr>
            </w:pPr>
          </w:p>
        </w:tc>
      </w:tr>
      <w:tr>
        <w:trPr>
          <w:trHeight w:val="158"/>
        </w:trPr>
        <w:tc>
          <w:tcPr>
            <w:tcW w:w="7840" w:type="dxa"/>
            <w:vAlign w:val="bottom"/>
          </w:tcPr>
          <w:p>
            <w:pPr>
              <w:ind w:left="280"/>
              <w:spacing w:after="0"/>
              <w:rPr>
                <w:sz w:val="20"/>
                <w:szCs w:val="20"/>
                <w:color w:val="auto"/>
              </w:rPr>
            </w:pPr>
            <w:r>
              <w:rPr>
                <w:rFonts w:ascii="Arial" w:cs="Arial" w:eastAsia="Arial" w:hAnsi="Arial"/>
                <w:sz w:val="13"/>
                <w:szCs w:val="13"/>
                <w:color w:val="auto"/>
              </w:rPr>
              <w:t>Total current assets</w:t>
            </w: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143,686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169,664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machinery and equipment, net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4,829</w:t>
            </w:r>
          </w:p>
        </w:tc>
        <w:tc>
          <w:tcPr>
            <w:tcW w:w="0" w:type="dxa"/>
            <w:vAlign w:val="bottom"/>
          </w:tcPr>
          <w:p>
            <w:pPr>
              <w:spacing w:after="0"/>
              <w:rPr>
                <w:sz w:val="1"/>
                <w:szCs w:val="1"/>
                <w:color w:val="auto"/>
              </w:rPr>
            </w:pP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Intangible assets, net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right of use asset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7,604</w:t>
            </w:r>
          </w:p>
        </w:tc>
        <w:tc>
          <w:tcPr>
            <w:tcW w:w="0" w:type="dxa"/>
            <w:vAlign w:val="bottom"/>
          </w:tcPr>
          <w:p>
            <w:pPr>
              <w:spacing w:after="0"/>
              <w:rPr>
                <w:sz w:val="1"/>
                <w:szCs w:val="1"/>
                <w:color w:val="auto"/>
              </w:rPr>
            </w:pP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Restricted cash, non-current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70"/>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assets</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3,065</w:t>
            </w:r>
          </w:p>
        </w:tc>
        <w:tc>
          <w:tcPr>
            <w:tcW w:w="0" w:type="dxa"/>
            <w:vAlign w:val="bottom"/>
          </w:tcPr>
          <w:p>
            <w:pPr>
              <w:spacing w:after="0"/>
              <w:rPr>
                <w:sz w:val="1"/>
                <w:szCs w:val="1"/>
                <w:color w:val="auto"/>
              </w:rPr>
            </w:pPr>
          </w:p>
        </w:tc>
      </w:tr>
      <w:tr>
        <w:trPr>
          <w:trHeight w:val="163"/>
        </w:trPr>
        <w:tc>
          <w:tcPr>
            <w:tcW w:w="7840" w:type="dxa"/>
            <w:vAlign w:val="bottom"/>
          </w:tcPr>
          <w:p>
            <w:pPr>
              <w:ind w:left="400"/>
              <w:spacing w:after="0"/>
              <w:rPr>
                <w:sz w:val="20"/>
                <w:szCs w:val="20"/>
                <w:color w:val="auto"/>
              </w:rPr>
            </w:pPr>
            <w:r>
              <w:rPr>
                <w:rFonts w:ascii="Arial" w:cs="Arial" w:eastAsia="Arial" w:hAnsi="Arial"/>
                <w:sz w:val="13"/>
                <w:szCs w:val="13"/>
                <w:color w:val="auto"/>
              </w:rPr>
              <w:t>Total assets</w:t>
            </w:r>
          </w:p>
        </w:tc>
        <w:tc>
          <w:tcPr>
            <w:tcW w:w="116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162,424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185,825</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8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w:t>
            </w:r>
          </w:p>
        </w:tc>
        <w:tc>
          <w:tcPr>
            <w:tcW w:w="0" w:type="dxa"/>
            <w:vAlign w:val="bottom"/>
          </w:tcPr>
          <w:p>
            <w:pPr>
              <w:spacing w:after="0"/>
              <w:rPr>
                <w:sz w:val="1"/>
                <w:szCs w:val="1"/>
                <w:color w:val="auto"/>
              </w:rPr>
            </w:pP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9,568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9,785</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 payable, current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20,907</w:t>
            </w:r>
          </w:p>
        </w:tc>
        <w:tc>
          <w:tcPr>
            <w:tcW w:w="0" w:type="dxa"/>
            <w:vAlign w:val="bottom"/>
          </w:tcPr>
          <w:p>
            <w:pPr>
              <w:spacing w:after="0"/>
              <w:rPr>
                <w:sz w:val="1"/>
                <w:szCs w:val="1"/>
                <w:color w:val="auto"/>
              </w:rPr>
            </w:pP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Operating lease liability, current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1,189</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 repurchase liability, current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liabilities</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5,075</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34,522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38,867</w:t>
            </w:r>
          </w:p>
        </w:tc>
        <w:tc>
          <w:tcPr>
            <w:tcW w:w="0" w:type="dxa"/>
            <w:vAlign w:val="bottom"/>
          </w:tcPr>
          <w:p>
            <w:pPr>
              <w:spacing w:after="0"/>
              <w:rPr>
                <w:sz w:val="1"/>
                <w:szCs w:val="1"/>
                <w:color w:val="auto"/>
              </w:rPr>
            </w:pP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Contract liabilities, non-current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1,654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1,554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 Payable, non-current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Warrant liability</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6,200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5,749</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lease liability, non-current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7,284</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non-current liabilities</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non-current liabilities</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26,647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15,070</w:t>
            </w:r>
          </w:p>
        </w:tc>
        <w:tc>
          <w:tcPr>
            <w:tcW w:w="0" w:type="dxa"/>
            <w:vAlign w:val="bottom"/>
          </w:tcPr>
          <w:p>
            <w:pPr>
              <w:spacing w:after="0"/>
              <w:rPr>
                <w:sz w:val="1"/>
                <w:szCs w:val="1"/>
                <w:color w:val="auto"/>
              </w:rPr>
            </w:pPr>
          </w:p>
        </w:tc>
      </w:tr>
      <w:tr>
        <w:trPr>
          <w:trHeight w:val="158"/>
        </w:trPr>
        <w:tc>
          <w:tcPr>
            <w:tcW w:w="7840" w:type="dxa"/>
            <w:vAlign w:val="bottom"/>
          </w:tcPr>
          <w:p>
            <w:pPr>
              <w:ind w:left="360"/>
              <w:spacing w:after="0"/>
              <w:rPr>
                <w:sz w:val="20"/>
                <w:szCs w:val="20"/>
                <w:color w:val="auto"/>
              </w:rPr>
            </w:pPr>
            <w:r>
              <w:rPr>
                <w:rFonts w:ascii="Arial" w:cs="Arial" w:eastAsia="Arial" w:hAnsi="Arial"/>
                <w:sz w:val="13"/>
                <w:szCs w:val="13"/>
                <w:color w:val="auto"/>
              </w:rPr>
              <w:t>Total liabilities</w:t>
            </w: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61,169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53,937</w:t>
            </w: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Commitments and Contingencies (Note 12</w:t>
            </w:r>
            <w:r>
              <w:rPr>
                <w:rFonts w:ascii="Arial" w:cs="Arial" w:eastAsia="Arial" w:hAnsi="Arial"/>
                <w:sz w:val="14"/>
                <w:szCs w:val="14"/>
                <w:color w:val="auto"/>
              </w:rPr>
              <w:t>)</w:t>
            </w: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84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w w:val="88"/>
              </w:rPr>
              <w:t>Common stock, $0.00001 par value; 250,000,000 shares authorized and 81,755,715 issued and outstanding as of March 31, 2022; 142,804,498 shares</w:t>
            </w:r>
          </w:p>
        </w:tc>
        <w:tc>
          <w:tcPr>
            <w:tcW w:w="11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authorized and 81,211,781 issued and outstanding as of December 31, 2021</w:t>
            </w:r>
          </w:p>
        </w:tc>
        <w:tc>
          <w:tcPr>
            <w:tcW w:w="1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336,771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340,570</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(235,517)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(208,683)</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stockholders’ equity</w:t>
            </w: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101,255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131,888</w:t>
            </w:r>
          </w:p>
        </w:tc>
        <w:tc>
          <w:tcPr>
            <w:tcW w:w="0" w:type="dxa"/>
            <w:vAlign w:val="bottom"/>
          </w:tcPr>
          <w:p>
            <w:pPr>
              <w:spacing w:after="0"/>
              <w:rPr>
                <w:sz w:val="1"/>
                <w:szCs w:val="1"/>
                <w:color w:val="auto"/>
              </w:rPr>
            </w:pPr>
          </w:p>
        </w:tc>
      </w:tr>
      <w:tr>
        <w:trPr>
          <w:trHeight w:val="188"/>
        </w:trPr>
        <w:tc>
          <w:tcPr>
            <w:tcW w:w="78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Total liabilities and stockholders’ equity</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162,424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185,825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balance sheet at December 31, 2021 has been derived from the audited financial statements at that date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120" w:type="dxa"/>
            <w:vAlign w:val="bottom"/>
            <w:gridSpan w:val="2"/>
          </w:tcPr>
          <w:p>
            <w:pPr>
              <w:spacing w:after="0"/>
              <w:rPr>
                <w:rFonts w:ascii="Arial" w:cs="Arial" w:eastAsia="Arial" w:hAnsi="Arial"/>
                <w:sz w:val="14"/>
                <w:szCs w:val="14"/>
                <w:color w:val="3051F2"/>
              </w:rPr>
            </w:pPr>
            <w:hyperlink w:anchor="page2">
              <w:r>
                <w:rPr>
                  <w:rFonts w:ascii="Arial" w:cs="Arial" w:eastAsia="Arial" w:hAnsi="Arial"/>
                  <w:sz w:val="14"/>
                  <w:szCs w:val="14"/>
                  <w:color w:val="3051F2"/>
                </w:rPr>
                <w:t>Tables of Contents</w:t>
              </w:r>
            </w:hyperlink>
          </w:p>
        </w:tc>
        <w:tc>
          <w:tcPr>
            <w:tcW w:w="4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6"/>
        </w:trPr>
        <w:tc>
          <w:tcPr>
            <w:tcW w:w="1060" w:type="dxa"/>
            <w:vAlign w:val="bottom"/>
            <w:tcBorders>
              <w:top w:val="single" w:sz="8" w:color="3051F2"/>
            </w:tcBorders>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jc w:val="center"/>
              <w:ind w:right="569"/>
              <w:spacing w:after="0"/>
              <w:rPr>
                <w:sz w:val="20"/>
                <w:szCs w:val="20"/>
                <w:color w:val="auto"/>
              </w:rPr>
            </w:pPr>
            <w:r>
              <w:rPr>
                <w:rFonts w:ascii="Arial" w:cs="Arial" w:eastAsia="Arial" w:hAnsi="Arial"/>
                <w:sz w:val="14"/>
                <w:szCs w:val="14"/>
                <w:b w:val="1"/>
                <w:bCs w:val="1"/>
                <w:color w:val="auto"/>
              </w:rPr>
              <w:t>MOMENTUS INC.</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59"/>
        </w:trPr>
        <w:tc>
          <w:tcPr>
            <w:tcW w:w="1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700" w:type="dxa"/>
            <w:vAlign w:val="bottom"/>
            <w:gridSpan w:val="2"/>
          </w:tcPr>
          <w:p>
            <w:pPr>
              <w:jc w:val="center"/>
              <w:ind w:right="589"/>
              <w:spacing w:after="0" w:line="159" w:lineRule="exact"/>
              <w:rPr>
                <w:sz w:val="20"/>
                <w:szCs w:val="20"/>
                <w:color w:val="auto"/>
              </w:rPr>
            </w:pPr>
            <w:r>
              <w:rPr>
                <w:rFonts w:ascii="Arial" w:cs="Arial" w:eastAsia="Arial" w:hAnsi="Arial"/>
                <w:sz w:val="14"/>
                <w:szCs w:val="14"/>
                <w:b w:val="1"/>
                <w:bCs w:val="1"/>
                <w:color w:val="auto"/>
              </w:rPr>
              <w:t>CONDENSED CONSOLIDATED STATEMENTS OF OPERATIONS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3"/>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700" w:type="dxa"/>
            <w:vAlign w:val="bottom"/>
            <w:gridSpan w:val="2"/>
          </w:tcPr>
          <w:p>
            <w:pPr>
              <w:jc w:val="center"/>
              <w:ind w:right="589"/>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1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700" w:type="dxa"/>
            <w:vAlign w:val="bottom"/>
            <w:gridSpan w:val="2"/>
          </w:tcPr>
          <w:p>
            <w:pPr>
              <w:jc w:val="center"/>
              <w:ind w:right="569"/>
              <w:spacing w:after="0"/>
              <w:rPr>
                <w:sz w:val="20"/>
                <w:szCs w:val="20"/>
                <w:color w:val="auto"/>
              </w:rPr>
            </w:pPr>
            <w:r>
              <w:rPr>
                <w:rFonts w:ascii="Arial" w:cs="Arial" w:eastAsia="Arial" w:hAnsi="Arial"/>
                <w:sz w:val="14"/>
                <w:szCs w:val="14"/>
                <w:i w:val="1"/>
                <w:iCs w:val="1"/>
                <w:color w:val="auto"/>
                <w:w w:val="90"/>
              </w:rPr>
              <w:t>(in thousands, except per share data)</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6"/>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20" w:type="dxa"/>
            <w:vAlign w:val="bottom"/>
          </w:tcPr>
          <w:p>
            <w:pPr>
              <w:spacing w:after="0"/>
              <w:rPr>
                <w:sz w:val="24"/>
                <w:szCs w:val="24"/>
                <w:color w:val="auto"/>
              </w:rPr>
            </w:pPr>
          </w:p>
        </w:tc>
      </w:tr>
      <w:tr>
        <w:trPr>
          <w:trHeight w:val="180"/>
        </w:trPr>
        <w:tc>
          <w:tcPr>
            <w:tcW w:w="1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171"/>
        </w:trPr>
        <w:tc>
          <w:tcPr>
            <w:tcW w:w="106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w w:val="96"/>
              </w:rPr>
              <w:t>2021</w:t>
            </w:r>
          </w:p>
        </w:tc>
      </w:tr>
      <w:tr>
        <w:trPr>
          <w:trHeight w:val="171"/>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47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180"/>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71"/>
        </w:trPr>
        <w:tc>
          <w:tcPr>
            <w:tcW w:w="31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Gross margin</w:t>
            </w:r>
          </w:p>
        </w:tc>
        <w:tc>
          <w:tcPr>
            <w:tcW w:w="47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80"/>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expenses</w:t>
            </w:r>
          </w:p>
        </w:tc>
        <w:tc>
          <w:tcPr>
            <w:tcW w:w="4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9,906</w:t>
            </w:r>
          </w:p>
        </w:tc>
      </w:tr>
      <w:tr>
        <w:trPr>
          <w:trHeight w:val="180"/>
        </w:trPr>
        <w:tc>
          <w:tcPr>
            <w:tcW w:w="3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47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14,853</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14,005</w:t>
            </w:r>
          </w:p>
        </w:tc>
      </w:tr>
      <w:tr>
        <w:trPr>
          <w:trHeight w:val="171"/>
        </w:trPr>
        <w:tc>
          <w:tcPr>
            <w:tcW w:w="3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operating expenses</w:t>
            </w:r>
          </w:p>
        </w:tc>
        <w:tc>
          <w:tcPr>
            <w:tcW w:w="47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24,824</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23,911</w:t>
            </w:r>
          </w:p>
        </w:tc>
      </w:tr>
      <w:tr>
        <w:trPr>
          <w:trHeight w:val="171"/>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Loss from operations</w:t>
            </w:r>
          </w:p>
        </w:tc>
        <w:tc>
          <w:tcPr>
            <w:tcW w:w="47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(24,824)</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(23,829)</w:t>
            </w:r>
          </w:p>
        </w:tc>
      </w:tr>
      <w:tr>
        <w:trPr>
          <w:trHeight w:val="150"/>
        </w:trPr>
        <w:tc>
          <w:tcPr>
            <w:tcW w:w="10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47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Decrease in fair value of SAFE notes</w:t>
            </w:r>
          </w:p>
        </w:tc>
        <w:tc>
          <w:tcPr>
            <w:tcW w:w="4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81,564</w:t>
            </w:r>
          </w:p>
        </w:tc>
      </w:tr>
      <w:tr>
        <w:trPr>
          <w:trHeight w:val="180"/>
        </w:trPr>
        <w:tc>
          <w:tcPr>
            <w:tcW w:w="3120" w:type="dxa"/>
            <w:vAlign w:val="bottom"/>
            <w:gridSpan w:val="2"/>
          </w:tcPr>
          <w:p>
            <w:pPr>
              <w:ind w:left="220"/>
              <w:spacing w:after="0"/>
              <w:rPr>
                <w:sz w:val="20"/>
                <w:szCs w:val="20"/>
                <w:color w:val="auto"/>
              </w:rPr>
            </w:pPr>
            <w:r>
              <w:rPr>
                <w:rFonts w:ascii="Arial" w:cs="Arial" w:eastAsia="Arial" w:hAnsi="Arial"/>
                <w:sz w:val="14"/>
                <w:szCs w:val="14"/>
                <w:color w:val="auto"/>
              </w:rPr>
              <w:t>Decrease (increase) in fair value of warrants</w:t>
            </w: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8,083</w:t>
            </w:r>
          </w:p>
        </w:tc>
      </w:tr>
      <w:tr>
        <w:trPr>
          <w:trHeight w:val="181"/>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Realized loss on disposal of asset</w:t>
            </w:r>
          </w:p>
        </w:tc>
        <w:tc>
          <w:tcPr>
            <w:tcW w:w="4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120" w:type="dxa"/>
            <w:vAlign w:val="bottom"/>
            <w:gridSpan w:val="2"/>
          </w:tcPr>
          <w:p>
            <w:pPr>
              <w:ind w:left="220"/>
              <w:spacing w:after="0"/>
              <w:rPr>
                <w:sz w:val="20"/>
                <w:szCs w:val="20"/>
                <w:color w:val="auto"/>
              </w:rPr>
            </w:pPr>
            <w:r>
              <w:rPr>
                <w:rFonts w:ascii="Arial" w:cs="Arial" w:eastAsia="Arial" w:hAnsi="Arial"/>
                <w:sz w:val="14"/>
                <w:szCs w:val="14"/>
                <w:color w:val="auto"/>
              </w:rPr>
              <w:t>Interest income</w:t>
            </w: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1"/>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4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w:t>
            </w:r>
          </w:p>
        </w:tc>
      </w:tr>
      <w:tr>
        <w:trPr>
          <w:trHeight w:val="180"/>
        </w:trPr>
        <w:tc>
          <w:tcPr>
            <w:tcW w:w="3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income (expense)</w:t>
            </w:r>
          </w:p>
        </w:tc>
        <w:tc>
          <w:tcPr>
            <w:tcW w:w="47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r>
      <w:tr>
        <w:trPr>
          <w:trHeight w:val="171"/>
        </w:trPr>
        <w:tc>
          <w:tcPr>
            <w:tcW w:w="3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other income (expense)</w:t>
            </w:r>
          </w:p>
        </w:tc>
        <w:tc>
          <w:tcPr>
            <w:tcW w:w="47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88,500</w:t>
            </w:r>
          </w:p>
        </w:tc>
      </w:tr>
      <w:tr>
        <w:trPr>
          <w:trHeight w:val="17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4720" w:type="dxa"/>
            <w:vAlign w:val="bottom"/>
          </w:tcPr>
          <w:p>
            <w:pPr>
              <w:spacing w:after="0"/>
              <w:rPr>
                <w:sz w:val="14"/>
                <w:szCs w:val="14"/>
                <w:color w:val="auto"/>
              </w:rPr>
            </w:pPr>
          </w:p>
        </w:tc>
        <w:tc>
          <w:tcPr>
            <w:tcW w:w="98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(26,834)</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64,671</w:t>
            </w:r>
          </w:p>
        </w:tc>
      </w:tr>
      <w:tr>
        <w:trPr>
          <w:trHeight w:val="20"/>
        </w:trPr>
        <w:tc>
          <w:tcPr>
            <w:tcW w:w="10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per share, basic</w:t>
            </w:r>
          </w:p>
        </w:tc>
        <w:tc>
          <w:tcPr>
            <w:tcW w:w="47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80"/>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Net income (loss) per share, diluted</w:t>
            </w:r>
          </w:p>
        </w:tc>
        <w:tc>
          <w:tcPr>
            <w:tcW w:w="5700" w:type="dxa"/>
            <w:vAlign w:val="bottom"/>
            <w:gridSpan w:val="2"/>
          </w:tcPr>
          <w:p>
            <w:pPr>
              <w:jc w:val="right"/>
              <w:ind w:right="80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(0.34)</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(0.28)</w:t>
            </w:r>
          </w:p>
        </w:tc>
      </w:tr>
      <w:tr>
        <w:trPr>
          <w:trHeight w:val="181"/>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basic</w:t>
            </w:r>
          </w:p>
        </w:tc>
        <w:tc>
          <w:tcPr>
            <w:tcW w:w="4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79,958,383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62,733,080</w:t>
            </w:r>
          </w:p>
        </w:tc>
      </w:tr>
      <w:tr>
        <w:trPr>
          <w:trHeight w:val="180"/>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Weighted average shares outstanding, diluted</w:t>
            </w: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88"/>
              </w:rPr>
              <w:t>79,958,383</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87,684,818</w:t>
            </w: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 w:name="page7"/>
    <w:bookmarkEnd w:id="6"/>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200" w:lineRule="exact"/>
        <w:rPr>
          <w:sz w:val="20"/>
          <w:szCs w:val="20"/>
          <w:color w:val="auto"/>
        </w:rPr>
      </w:pPr>
    </w:p>
    <w:p>
      <w:pPr>
        <w:spacing w:after="0" w:line="31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right"/>
        <w:ind w:right="2720"/>
        <w:spacing w:after="0"/>
        <w:rPr>
          <w:sz w:val="20"/>
          <w:szCs w:val="20"/>
          <w:color w:val="auto"/>
        </w:rPr>
      </w:pPr>
      <w:r>
        <w:rPr>
          <w:rFonts w:ascii="Arial" w:cs="Arial" w:eastAsia="Arial" w:hAnsi="Arial"/>
          <w:sz w:val="14"/>
          <w:szCs w:val="14"/>
          <w:b w:val="1"/>
          <w:bCs w:val="1"/>
          <w:color w:val="auto"/>
        </w:rPr>
        <w:t>CONDENSED CONSOLIDATED STATEMENTS OF STOCKHOLDERS’ EQUITY (DEFICIT)</w:t>
      </w:r>
    </w:p>
    <w:p>
      <w:pPr>
        <w:jc w:val="center"/>
        <w:spacing w:after="0" w:line="237"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i w:val="1"/>
          <w:iCs w:val="1"/>
          <w:color w:val="auto"/>
        </w:rPr>
        <w:t>(in thousands, except share data)</w:t>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0"/>
          <w:szCs w:val="10"/>
          <w:color w:val="auto"/>
        </w:rPr>
        <w:t>Balance, December 31, 2021</w:t>
      </w:r>
    </w:p>
    <w:p>
      <w:pPr>
        <w:spacing w:after="0" w:line="23" w:lineRule="exact"/>
        <w:rPr>
          <w:sz w:val="20"/>
          <w:szCs w:val="20"/>
          <w:color w:val="auto"/>
        </w:rPr>
      </w:pPr>
    </w:p>
    <w:p>
      <w:pPr>
        <w:ind w:left="280" w:hanging="126"/>
        <w:spacing w:after="0" w:line="347" w:lineRule="auto"/>
        <w:rPr>
          <w:sz w:val="20"/>
          <w:szCs w:val="20"/>
          <w:color w:val="auto"/>
        </w:rPr>
      </w:pPr>
      <w:r>
        <w:rPr>
          <w:rFonts w:ascii="Arial" w:cs="Arial" w:eastAsia="Arial" w:hAnsi="Arial"/>
          <w:sz w:val="7"/>
          <w:szCs w:val="7"/>
          <w:color w:val="auto"/>
        </w:rPr>
        <w:t>Issuance of common stock upon exercise of stock options</w:t>
      </w:r>
    </w:p>
    <w:p>
      <w:pPr>
        <w:spacing w:after="0" w:line="1" w:lineRule="exact"/>
        <w:rPr>
          <w:sz w:val="20"/>
          <w:szCs w:val="20"/>
          <w:color w:val="auto"/>
        </w:rPr>
      </w:pPr>
    </w:p>
    <w:p>
      <w:pPr>
        <w:ind w:left="280" w:hanging="126"/>
        <w:spacing w:after="0" w:line="229" w:lineRule="auto"/>
        <w:rPr>
          <w:sz w:val="20"/>
          <w:szCs w:val="20"/>
          <w:color w:val="auto"/>
        </w:rPr>
      </w:pPr>
      <w:r>
        <w:rPr>
          <w:rFonts w:ascii="Arial" w:cs="Arial" w:eastAsia="Arial" w:hAnsi="Arial"/>
          <w:sz w:val="10"/>
          <w:szCs w:val="10"/>
          <w:color w:val="auto"/>
        </w:rPr>
        <w:t>Issuance of common stock upon vesting of RSUs</w:t>
      </w:r>
    </w:p>
    <w:p>
      <w:pPr>
        <w:spacing w:after="0" w:line="14" w:lineRule="exact"/>
        <w:rPr>
          <w:sz w:val="20"/>
          <w:szCs w:val="20"/>
          <w:color w:val="auto"/>
        </w:rPr>
      </w:pPr>
    </w:p>
    <w:p>
      <w:pPr>
        <w:ind w:left="280" w:right="200" w:hanging="126"/>
        <w:spacing w:after="0" w:line="245" w:lineRule="auto"/>
        <w:rPr>
          <w:sz w:val="20"/>
          <w:szCs w:val="20"/>
          <w:color w:val="auto"/>
        </w:rPr>
      </w:pPr>
      <w:r>
        <w:rPr>
          <w:rFonts w:ascii="Arial" w:cs="Arial" w:eastAsia="Arial" w:hAnsi="Arial"/>
          <w:sz w:val="9"/>
          <w:szCs w:val="9"/>
          <w:color w:val="auto"/>
        </w:rPr>
        <w:t>Share repurchase related to Section 16 Officer tax coverage exchange</w:t>
      </w:r>
    </w:p>
    <w:p>
      <w:pPr>
        <w:spacing w:after="0" w:line="12" w:lineRule="exact"/>
        <w:rPr>
          <w:sz w:val="20"/>
          <w:szCs w:val="20"/>
          <w:color w:val="auto"/>
        </w:rPr>
      </w:pPr>
    </w:p>
    <w:p>
      <w:pPr>
        <w:ind w:left="280" w:right="160" w:hanging="126"/>
        <w:spacing w:after="0" w:line="347" w:lineRule="auto"/>
        <w:rPr>
          <w:sz w:val="20"/>
          <w:szCs w:val="20"/>
          <w:color w:val="auto"/>
        </w:rPr>
      </w:pPr>
      <w:r>
        <w:rPr>
          <w:rFonts w:ascii="Arial" w:cs="Arial" w:eastAsia="Arial" w:hAnsi="Arial"/>
          <w:sz w:val="7"/>
          <w:szCs w:val="7"/>
          <w:color w:val="auto"/>
        </w:rPr>
        <w:t>Stock-based compensation – Stock options and RSAs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0"/>
          <w:szCs w:val="10"/>
          <w:color w:val="auto"/>
        </w:rPr>
        <w:t>Share repurchase</w:t>
      </w:r>
    </w:p>
    <w:p>
      <w:pPr>
        <w:spacing w:after="0" w:line="23" w:lineRule="exact"/>
        <w:rPr>
          <w:sz w:val="20"/>
          <w:szCs w:val="20"/>
          <w:color w:val="auto"/>
        </w:rPr>
      </w:pPr>
    </w:p>
    <w:p>
      <w:pPr>
        <w:ind w:left="280" w:right="60" w:hanging="126"/>
        <w:spacing w:after="0" w:line="229" w:lineRule="auto"/>
        <w:rPr>
          <w:sz w:val="20"/>
          <w:szCs w:val="20"/>
          <w:color w:val="auto"/>
        </w:rPr>
      </w:pPr>
      <w:r>
        <w:rPr>
          <w:rFonts w:ascii="Arial" w:cs="Arial" w:eastAsia="Arial" w:hAnsi="Arial"/>
          <w:sz w:val="10"/>
          <w:szCs w:val="10"/>
          <w:color w:val="auto"/>
        </w:rPr>
        <w:t>Shares issued upon exercise of Warrant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0"/>
          <w:szCs w:val="10"/>
          <w:color w:val="auto"/>
        </w:rPr>
        <w:t>Net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0"/>
          <w:szCs w:val="10"/>
          <w:color w:val="auto"/>
        </w:rPr>
        <w:t>March 31, 2022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0"/>
          <w:szCs w:val="10"/>
          <w:color w:val="auto"/>
        </w:rPr>
        <w:t>Balance, December 31, 2020</w:t>
      </w:r>
    </w:p>
    <w:p>
      <w:pPr>
        <w:spacing w:after="0" w:line="34" w:lineRule="exact"/>
        <w:rPr>
          <w:sz w:val="20"/>
          <w:szCs w:val="20"/>
          <w:color w:val="auto"/>
        </w:rPr>
      </w:pPr>
    </w:p>
    <w:p>
      <w:pPr>
        <w:ind w:left="160" w:right="380" w:hanging="126"/>
        <w:spacing w:after="0" w:line="229" w:lineRule="auto"/>
        <w:rPr>
          <w:sz w:val="20"/>
          <w:szCs w:val="20"/>
          <w:color w:val="auto"/>
        </w:rPr>
      </w:pPr>
      <w:r>
        <w:rPr>
          <w:rFonts w:ascii="Arial" w:cs="Arial" w:eastAsia="Arial" w:hAnsi="Arial"/>
          <w:sz w:val="10"/>
          <w:szCs w:val="10"/>
          <w:color w:val="auto"/>
        </w:rPr>
        <w:t>Retroactive application of recapitalization</w:t>
      </w:r>
    </w:p>
    <w:p>
      <w:pPr>
        <w:spacing w:after="0" w:line="14" w:lineRule="exact"/>
        <w:rPr>
          <w:sz w:val="20"/>
          <w:szCs w:val="20"/>
          <w:color w:val="auto"/>
        </w:rPr>
      </w:pPr>
    </w:p>
    <w:p>
      <w:pPr>
        <w:ind w:left="160" w:right="140" w:hanging="126"/>
        <w:spacing w:after="0" w:line="229" w:lineRule="auto"/>
        <w:rPr>
          <w:sz w:val="20"/>
          <w:szCs w:val="20"/>
          <w:color w:val="auto"/>
        </w:rPr>
      </w:pPr>
      <w:r>
        <w:rPr>
          <w:rFonts w:ascii="Arial" w:cs="Arial" w:eastAsia="Arial" w:hAnsi="Arial"/>
          <w:sz w:val="10"/>
          <w:szCs w:val="10"/>
          <w:color w:val="auto"/>
        </w:rPr>
        <w:t>Balance, December 31, 2020, as adjusted</w:t>
      </w:r>
    </w:p>
    <w:p>
      <w:pPr>
        <w:spacing w:after="0" w:line="14" w:lineRule="exact"/>
        <w:rPr>
          <w:sz w:val="20"/>
          <w:szCs w:val="20"/>
          <w:color w:val="auto"/>
        </w:rPr>
      </w:pPr>
    </w:p>
    <w:p>
      <w:pPr>
        <w:ind w:left="280" w:hanging="126"/>
        <w:spacing w:after="0" w:line="347" w:lineRule="auto"/>
        <w:rPr>
          <w:sz w:val="20"/>
          <w:szCs w:val="20"/>
          <w:color w:val="auto"/>
        </w:rPr>
      </w:pPr>
      <w:r>
        <w:rPr>
          <w:rFonts w:ascii="Arial" w:cs="Arial" w:eastAsia="Arial" w:hAnsi="Arial"/>
          <w:sz w:val="7"/>
          <w:szCs w:val="7"/>
          <w:color w:val="auto"/>
        </w:rPr>
        <w:t>Issuance of common stock upon exercise of stock options</w:t>
      </w:r>
    </w:p>
    <w:p>
      <w:pPr>
        <w:spacing w:after="0" w:line="1" w:lineRule="exact"/>
        <w:rPr>
          <w:sz w:val="20"/>
          <w:szCs w:val="20"/>
          <w:color w:val="auto"/>
        </w:rPr>
      </w:pPr>
    </w:p>
    <w:p>
      <w:pPr>
        <w:ind w:left="280" w:right="160" w:hanging="126"/>
        <w:spacing w:after="0" w:line="347" w:lineRule="auto"/>
        <w:rPr>
          <w:sz w:val="20"/>
          <w:szCs w:val="20"/>
          <w:color w:val="auto"/>
        </w:rPr>
      </w:pPr>
      <w:r>
        <w:rPr>
          <w:rFonts w:ascii="Arial" w:cs="Arial" w:eastAsia="Arial" w:hAnsi="Arial"/>
          <w:sz w:val="7"/>
          <w:szCs w:val="7"/>
          <w:color w:val="auto"/>
        </w:rPr>
        <w:t>Stock-based compensation – Stock options and RSAs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0"/>
          <w:szCs w:val="10"/>
          <w:color w:val="auto"/>
        </w:rPr>
        <w:t>Net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0"/>
          <w:szCs w:val="10"/>
          <w:color w:val="auto"/>
        </w:rPr>
        <w:t>March 31, 2021</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6"/>
          </w:tcPr>
          <w:p>
            <w:pPr>
              <w:ind w:left="180"/>
              <w:spacing w:after="0"/>
              <w:rPr>
                <w:sz w:val="20"/>
                <w:szCs w:val="20"/>
                <w:color w:val="auto"/>
              </w:rPr>
            </w:pPr>
            <w:r>
              <w:rPr>
                <w:rFonts w:ascii="Arial" w:cs="Arial" w:eastAsia="Arial" w:hAnsi="Arial"/>
                <w:sz w:val="10"/>
                <w:szCs w:val="10"/>
                <w:b w:val="1"/>
                <w:bCs w:val="1"/>
                <w:color w:val="auto"/>
                <w:w w:val="94"/>
              </w:rPr>
              <w:t>Common stock –</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6"/>
          </w:tcPr>
          <w:p>
            <w:pPr>
              <w:ind w:left="160"/>
              <w:spacing w:after="0"/>
              <w:rPr>
                <w:sz w:val="20"/>
                <w:szCs w:val="20"/>
                <w:color w:val="auto"/>
              </w:rPr>
            </w:pPr>
            <w:r>
              <w:rPr>
                <w:rFonts w:ascii="Arial" w:cs="Arial" w:eastAsia="Arial" w:hAnsi="Arial"/>
                <w:sz w:val="10"/>
                <w:szCs w:val="10"/>
                <w:b w:val="1"/>
                <w:bCs w:val="1"/>
                <w:color w:val="auto"/>
                <w:w w:val="94"/>
              </w:rPr>
              <w:t>Common stock –</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8"/>
          </w:tcPr>
          <w:p>
            <w:pPr>
              <w:jc w:val="center"/>
              <w:ind w:right="120"/>
              <w:spacing w:after="0"/>
              <w:rPr>
                <w:sz w:val="20"/>
                <w:szCs w:val="20"/>
                <w:color w:val="auto"/>
              </w:rPr>
            </w:pPr>
            <w:r>
              <w:rPr>
                <w:rFonts w:ascii="Arial" w:cs="Arial" w:eastAsia="Arial" w:hAnsi="Arial"/>
                <w:sz w:val="10"/>
                <w:szCs w:val="10"/>
                <w:b w:val="1"/>
                <w:bCs w:val="1"/>
                <w:color w:val="auto"/>
                <w:w w:val="86"/>
              </w:rPr>
              <w:t>Common stock –</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jc w:val="center"/>
              <w:ind w:right="32"/>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40" w:type="dxa"/>
            <w:vAlign w:val="bottom"/>
            <w:gridSpan w:val="6"/>
            <w:vMerge w:val="restart"/>
          </w:tcPr>
          <w:p>
            <w:pPr>
              <w:ind w:left="240"/>
              <w:spacing w:after="0"/>
              <w:rPr>
                <w:sz w:val="20"/>
                <w:szCs w:val="20"/>
                <w:color w:val="auto"/>
              </w:rPr>
            </w:pPr>
            <w:r>
              <w:rPr>
                <w:rFonts w:ascii="Arial" w:cs="Arial" w:eastAsia="Arial" w:hAnsi="Arial"/>
                <w:sz w:val="10"/>
                <w:szCs w:val="10"/>
                <w:b w:val="1"/>
                <w:bCs w:val="1"/>
                <w:color w:val="auto"/>
              </w:rPr>
              <w:t>Preferred stock</w:t>
            </w:r>
          </w:p>
        </w:tc>
        <w:tc>
          <w:tcPr>
            <w:tcW w:w="60" w:type="dxa"/>
            <w:vAlign w:val="bottom"/>
            <w:gridSpan w:val="2"/>
            <w:vMerge w:val="restart"/>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gridSpan w:val="5"/>
            <w:vMerge w:val="restart"/>
          </w:tcPr>
          <w:p>
            <w:pPr>
              <w:ind w:left="160"/>
              <w:spacing w:after="0"/>
              <w:rPr>
                <w:sz w:val="20"/>
                <w:szCs w:val="20"/>
                <w:color w:val="auto"/>
              </w:rPr>
            </w:pPr>
            <w:r>
              <w:rPr>
                <w:rFonts w:ascii="Arial" w:cs="Arial" w:eastAsia="Arial" w:hAnsi="Arial"/>
                <w:sz w:val="10"/>
                <w:szCs w:val="10"/>
                <w:b w:val="1"/>
                <w:bCs w:val="1"/>
                <w:color w:val="auto"/>
                <w:w w:val="90"/>
              </w:rPr>
              <w:t>FF Preferred stock</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6"/>
            <w:vMerge w:val="restart"/>
          </w:tcPr>
          <w:p>
            <w:pPr>
              <w:ind w:left="380"/>
              <w:spacing w:after="0"/>
              <w:rPr>
                <w:sz w:val="20"/>
                <w:szCs w:val="20"/>
                <w:color w:val="auto"/>
              </w:rPr>
            </w:pPr>
            <w:r>
              <w:rPr>
                <w:rFonts w:ascii="Arial" w:cs="Arial" w:eastAsia="Arial" w:hAnsi="Arial"/>
                <w:sz w:val="10"/>
                <w:szCs w:val="10"/>
                <w:b w:val="1"/>
                <w:bCs w:val="1"/>
                <w:color w:val="auto"/>
              </w:rPr>
              <w:t>Class A</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6"/>
            <w:vMerge w:val="restart"/>
          </w:tcPr>
          <w:p>
            <w:pPr>
              <w:ind w:left="380"/>
              <w:spacing w:after="0"/>
              <w:rPr>
                <w:sz w:val="20"/>
                <w:szCs w:val="20"/>
                <w:color w:val="auto"/>
              </w:rPr>
            </w:pPr>
            <w:r>
              <w:rPr>
                <w:rFonts w:ascii="Arial" w:cs="Arial" w:eastAsia="Arial" w:hAnsi="Arial"/>
                <w:sz w:val="10"/>
                <w:szCs w:val="10"/>
                <w:b w:val="1"/>
                <w:bCs w:val="1"/>
                <w:color w:val="auto"/>
              </w:rPr>
              <w:t>Class B</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gridSpan w:val="5"/>
            <w:vMerge w:val="restart"/>
          </w:tcPr>
          <w:p>
            <w:pPr>
              <w:ind w:left="220"/>
              <w:spacing w:after="0"/>
              <w:rPr>
                <w:sz w:val="20"/>
                <w:szCs w:val="20"/>
                <w:color w:val="auto"/>
              </w:rPr>
            </w:pPr>
            <w:r>
              <w:rPr>
                <w:rFonts w:ascii="Arial" w:cs="Arial" w:eastAsia="Arial" w:hAnsi="Arial"/>
                <w:sz w:val="10"/>
                <w:szCs w:val="10"/>
                <w:b w:val="1"/>
                <w:bCs w:val="1"/>
                <w:color w:val="auto"/>
                <w:w w:val="96"/>
              </w:rPr>
              <w:t>Treasury Stock</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6"/>
            <w:vMerge w:val="restart"/>
          </w:tcPr>
          <w:p>
            <w:pPr>
              <w:jc w:val="center"/>
              <w:spacing w:after="0"/>
              <w:rPr>
                <w:sz w:val="20"/>
                <w:szCs w:val="20"/>
                <w:color w:val="auto"/>
              </w:rPr>
            </w:pPr>
            <w:r>
              <w:rPr>
                <w:rFonts w:ascii="Arial" w:cs="Arial" w:eastAsia="Arial" w:hAnsi="Arial"/>
                <w:sz w:val="10"/>
                <w:szCs w:val="10"/>
                <w:b w:val="1"/>
                <w:bCs w:val="1"/>
                <w:color w:val="auto"/>
                <w:w w:val="87"/>
              </w:rPr>
              <w:t>Class A</w:t>
            </w:r>
          </w:p>
        </w:tc>
        <w:tc>
          <w:tcPr>
            <w:tcW w:w="80" w:type="dxa"/>
            <w:vAlign w:val="bottom"/>
            <w:gridSpan w:val="2"/>
            <w:vMerge w:val="restart"/>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40" w:type="dxa"/>
            <w:vAlign w:val="bottom"/>
            <w:tcBorders>
              <w:bottom w:val="single" w:sz="8" w:color="auto"/>
            </w:tcBorders>
            <w:gridSpan w:val="6"/>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5"/>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6"/>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6"/>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5"/>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gridSpan w:val="6"/>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4"/>
          </w:tcPr>
          <w:p>
            <w:pPr>
              <w:jc w:val="center"/>
              <w:ind w:right="100"/>
              <w:spacing w:after="0" w:line="65" w:lineRule="exact"/>
              <w:rPr>
                <w:sz w:val="20"/>
                <w:szCs w:val="20"/>
                <w:color w:val="auto"/>
              </w:rPr>
            </w:pPr>
            <w:r>
              <w:rPr>
                <w:rFonts w:ascii="Arial" w:cs="Arial" w:eastAsia="Arial" w:hAnsi="Arial"/>
                <w:sz w:val="7"/>
                <w:szCs w:val="7"/>
                <w:b w:val="1"/>
                <w:bCs w:val="1"/>
                <w:color w:val="auto"/>
              </w:rPr>
              <w:t>Additional paid</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tcPr>
          <w:p>
            <w:pPr>
              <w:jc w:val="center"/>
              <w:ind w:right="180"/>
              <w:spacing w:after="0" w:line="65" w:lineRule="exact"/>
              <w:rPr>
                <w:sz w:val="20"/>
                <w:szCs w:val="20"/>
                <w:color w:val="auto"/>
              </w:rPr>
            </w:pPr>
            <w:r>
              <w:rPr>
                <w:rFonts w:ascii="Arial" w:cs="Arial" w:eastAsia="Arial" w:hAnsi="Arial"/>
                <w:sz w:val="7"/>
                <w:szCs w:val="7"/>
                <w:b w:val="1"/>
                <w:bCs w:val="1"/>
                <w:color w:val="auto"/>
              </w:rPr>
              <w:t>Accumulated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jc w:val="center"/>
              <w:ind w:right="52"/>
              <w:spacing w:after="0" w:line="65"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20" w:type="dxa"/>
            <w:vAlign w:val="bottom"/>
            <w:gridSpan w:val="3"/>
          </w:tcPr>
          <w:p>
            <w:pPr>
              <w:ind w:left="14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2"/>
                <w:szCs w:val="12"/>
                <w:color w:val="auto"/>
              </w:rPr>
            </w:pPr>
          </w:p>
        </w:tc>
        <w:tc>
          <w:tcPr>
            <w:tcW w:w="620" w:type="dxa"/>
            <w:vAlign w:val="bottom"/>
            <w:gridSpan w:val="3"/>
          </w:tcPr>
          <w:p>
            <w:pPr>
              <w:ind w:left="12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2"/>
                <w:szCs w:val="12"/>
                <w:color w:val="auto"/>
              </w:rPr>
            </w:pPr>
          </w:p>
        </w:tc>
        <w:tc>
          <w:tcPr>
            <w:tcW w:w="540" w:type="dxa"/>
            <w:vAlign w:val="bottom"/>
            <w:gridSpan w:val="4"/>
          </w:tcPr>
          <w:p>
            <w:pPr>
              <w:ind w:left="6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20" w:type="dxa"/>
            <w:vAlign w:val="bottom"/>
            <w:gridSpan w:val="3"/>
          </w:tcPr>
          <w:p>
            <w:pPr>
              <w:ind w:left="12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4"/>
          </w:tcPr>
          <w:p>
            <w:pPr>
              <w:ind w:left="2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600" w:type="dxa"/>
            <w:vAlign w:val="bottom"/>
            <w:gridSpan w:val="3"/>
          </w:tcPr>
          <w:p>
            <w:pPr>
              <w:ind w:left="10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tcPr>
          <w:p>
            <w:pPr>
              <w:ind w:left="2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0" w:type="dxa"/>
            <w:vAlign w:val="bottom"/>
            <w:gridSpan w:val="3"/>
          </w:tcPr>
          <w:p>
            <w:pPr>
              <w:ind w:left="10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2"/>
                <w:szCs w:val="12"/>
                <w:color w:val="auto"/>
              </w:rPr>
            </w:pPr>
          </w:p>
        </w:tc>
        <w:tc>
          <w:tcPr>
            <w:tcW w:w="560" w:type="dxa"/>
            <w:vAlign w:val="bottom"/>
            <w:gridSpan w:val="4"/>
          </w:tcPr>
          <w:p>
            <w:pPr>
              <w:ind w:left="60"/>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2"/>
                <w:szCs w:val="12"/>
                <w:color w:val="auto"/>
              </w:rPr>
            </w:pPr>
          </w:p>
        </w:tc>
        <w:tc>
          <w:tcPr>
            <w:tcW w:w="620" w:type="dxa"/>
            <w:vAlign w:val="bottom"/>
            <w:gridSpan w:val="3"/>
          </w:tcPr>
          <w:p>
            <w:pPr>
              <w:ind w:left="12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2"/>
              </w:rPr>
              <w:t>in 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32"/>
              <w:spacing w:after="0"/>
              <w:rPr>
                <w:sz w:val="20"/>
                <w:szCs w:val="20"/>
                <w:color w:val="auto"/>
              </w:rPr>
            </w:pPr>
            <w:r>
              <w:rPr>
                <w:rFonts w:ascii="Arial" w:cs="Arial" w:eastAsia="Arial" w:hAnsi="Arial"/>
                <w:sz w:val="10"/>
                <w:szCs w:val="10"/>
                <w:b w:val="1"/>
                <w:bCs w:val="1"/>
                <w:color w:val="auto"/>
                <w:w w:val="90"/>
              </w:rPr>
              <w:t>equity (deficit)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60" w:type="dxa"/>
            <w:vAlign w:val="bottom"/>
            <w:tcBorders>
              <w:top w:val="single" w:sz="8" w:color="auto"/>
              <w:bottom w:val="single" w:sz="8" w:color="auto"/>
            </w:tcBorders>
            <w:gridSpan w:val="2"/>
          </w:tcPr>
          <w:p>
            <w:pPr>
              <w:jc w:val="right"/>
              <w:ind w:right="251"/>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9"/>
              </w:rPr>
              <w:t>—</w:t>
            </w:r>
          </w:p>
        </w:tc>
        <w:tc>
          <w:tcPr>
            <w:tcW w:w="6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w:t>
            </w:r>
          </w:p>
        </w:tc>
        <w:tc>
          <w:tcPr>
            <w:tcW w:w="80" w:type="dxa"/>
            <w:vAlign w:val="bottom"/>
            <w:gridSpan w:val="2"/>
          </w:tcPr>
          <w:p>
            <w:pPr>
              <w:spacing w:after="0"/>
              <w:rPr>
                <w:sz w:val="11"/>
                <w:szCs w:val="11"/>
                <w:color w:val="auto"/>
              </w:rPr>
            </w:pPr>
          </w:p>
        </w:tc>
        <w:tc>
          <w:tcPr>
            <w:tcW w:w="340" w:type="dxa"/>
            <w:vAlign w:val="bottom"/>
            <w:tcBorders>
              <w:top w:val="single" w:sz="8" w:color="auto"/>
              <w:bottom w:val="single" w:sz="8" w:color="auto"/>
            </w:tcBorders>
            <w:gridSpan w:val="3"/>
          </w:tcPr>
          <w:p>
            <w:pPr>
              <w:jc w:val="right"/>
              <w:ind w:right="251"/>
              <w:spacing w:after="0"/>
              <w:rPr>
                <w:sz w:val="20"/>
                <w:szCs w:val="20"/>
                <w:color w:val="auto"/>
              </w:rPr>
            </w:pPr>
            <w:r>
              <w:rPr>
                <w:rFonts w:ascii="Arial" w:cs="Arial" w:eastAsia="Arial" w:hAnsi="Arial"/>
                <w:sz w:val="5"/>
                <w:szCs w:val="5"/>
                <w:color w:val="auto"/>
                <w:w w:val="70"/>
              </w:rPr>
              <w:t>$</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40" w:type="dxa"/>
            <w:vAlign w:val="bottom"/>
            <w:tcBorders>
              <w:top w:val="single" w:sz="8" w:color="auto"/>
              <w:bottom w:val="single" w:sz="8" w:color="auto"/>
            </w:tcBorders>
            <w:gridSpan w:val="3"/>
          </w:tcPr>
          <w:p>
            <w:pPr>
              <w:jc w:val="right"/>
              <w:ind w:right="231"/>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40" w:type="dxa"/>
            <w:vAlign w:val="bottom"/>
            <w:tcBorders>
              <w:top w:val="single" w:sz="8" w:color="auto"/>
              <w:bottom w:val="single" w:sz="8" w:color="auto"/>
            </w:tcBorders>
            <w:gridSpan w:val="2"/>
          </w:tcPr>
          <w:p>
            <w:pPr>
              <w:jc w:val="right"/>
              <w:ind w:right="211"/>
              <w:spacing w:after="0"/>
              <w:rPr>
                <w:sz w:val="20"/>
                <w:szCs w:val="20"/>
                <w:color w:val="auto"/>
              </w:rPr>
            </w:pPr>
            <w:r>
              <w:rPr>
                <w:rFonts w:ascii="Arial" w:cs="Arial" w:eastAsia="Arial" w:hAnsi="Arial"/>
                <w:sz w:val="10"/>
                <w:szCs w:val="10"/>
                <w:color w:val="auto"/>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8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0"/>
                <w:szCs w:val="10"/>
                <w:color w:val="auto"/>
                <w:w w:val="87"/>
              </w:rPr>
              <w:t>81,211,781</w:t>
            </w:r>
          </w:p>
        </w:tc>
        <w:tc>
          <w:tcPr>
            <w:tcW w:w="60" w:type="dxa"/>
            <w:vAlign w:val="bottom"/>
            <w:gridSpan w:val="2"/>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gridSpan w:val="2"/>
          </w:tcPr>
          <w:p>
            <w:pPr>
              <w:spacing w:after="0"/>
              <w:rPr>
                <w:sz w:val="11"/>
                <w:szCs w:val="11"/>
                <w:color w:val="auto"/>
              </w:rPr>
            </w:pPr>
          </w:p>
        </w:tc>
        <w:tc>
          <w:tcPr>
            <w:tcW w:w="12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340,570</w:t>
            </w:r>
          </w:p>
        </w:tc>
        <w:tc>
          <w:tcPr>
            <w:tcW w:w="60" w:type="dxa"/>
            <w:vAlign w:val="bottom"/>
            <w:gridSpan w:val="2"/>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(208,683)</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131,888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14"/>
                <w:szCs w:val="14"/>
                <w:color w:val="auto"/>
              </w:rPr>
            </w:pPr>
          </w:p>
        </w:tc>
        <w:tc>
          <w:tcPr>
            <w:tcW w:w="62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3"/>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600" w:type="dxa"/>
            <w:vAlign w:val="bottom"/>
            <w:gridSpan w:val="3"/>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60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170,751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19"/>
                <w:szCs w:val="19"/>
                <w:color w:val="auto"/>
              </w:rPr>
            </w:pPr>
          </w:p>
        </w:tc>
        <w:tc>
          <w:tcPr>
            <w:tcW w:w="62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gridSpan w:val="3"/>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600" w:type="dxa"/>
            <w:vAlign w:val="bottom"/>
            <w:gridSpan w:val="3"/>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9"/>
                <w:szCs w:val="19"/>
                <w:color w:val="auto"/>
              </w:rPr>
            </w:pPr>
          </w:p>
        </w:tc>
        <w:tc>
          <w:tcPr>
            <w:tcW w:w="60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113,710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24"/>
                <w:szCs w:val="24"/>
                <w:color w:val="auto"/>
              </w:rPr>
            </w:pPr>
          </w:p>
        </w:tc>
        <w:tc>
          <w:tcPr>
            <w:tcW w:w="62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gridSpan w:val="3"/>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4"/>
                <w:szCs w:val="24"/>
                <w:color w:val="auto"/>
              </w:rPr>
            </w:pPr>
          </w:p>
        </w:tc>
        <w:tc>
          <w:tcPr>
            <w:tcW w:w="600" w:type="dxa"/>
            <w:vAlign w:val="bottom"/>
            <w:gridSpan w:val="3"/>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4"/>
                <w:szCs w:val="24"/>
                <w:color w:val="auto"/>
              </w:rPr>
            </w:pPr>
          </w:p>
        </w:tc>
        <w:tc>
          <w:tcPr>
            <w:tcW w:w="60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(18,673)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3"/>
                <w:szCs w:val="23"/>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23"/>
                <w:szCs w:val="23"/>
                <w:color w:val="auto"/>
              </w:rPr>
            </w:pPr>
          </w:p>
        </w:tc>
        <w:tc>
          <w:tcPr>
            <w:tcW w:w="62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gridSpan w:val="3"/>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3"/>
                <w:szCs w:val="23"/>
                <w:color w:val="auto"/>
              </w:rPr>
            </w:pPr>
          </w:p>
        </w:tc>
        <w:tc>
          <w:tcPr>
            <w:tcW w:w="600" w:type="dxa"/>
            <w:vAlign w:val="bottom"/>
            <w:gridSpan w:val="3"/>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3"/>
                <w:szCs w:val="23"/>
                <w:color w:val="auto"/>
              </w:rPr>
            </w:pPr>
          </w:p>
        </w:tc>
        <w:tc>
          <w:tcPr>
            <w:tcW w:w="60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3"/>
                <w:szCs w:val="2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2,212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2,212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6"/>
                <w:szCs w:val="16"/>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16"/>
                <w:szCs w:val="16"/>
                <w:color w:val="auto"/>
              </w:rPr>
            </w:pPr>
          </w:p>
        </w:tc>
        <w:tc>
          <w:tcPr>
            <w:tcW w:w="62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gridSpan w:val="3"/>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6"/>
                <w:szCs w:val="16"/>
                <w:color w:val="auto"/>
              </w:rPr>
            </w:pPr>
          </w:p>
        </w:tc>
        <w:tc>
          <w:tcPr>
            <w:tcW w:w="600" w:type="dxa"/>
            <w:vAlign w:val="bottom"/>
            <w:gridSpan w:val="3"/>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c>
          <w:tcPr>
            <w:tcW w:w="60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(6,000)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15"/>
                <w:szCs w:val="15"/>
                <w:color w:val="auto"/>
              </w:rPr>
            </w:pPr>
          </w:p>
        </w:tc>
        <w:tc>
          <w:tcPr>
            <w:tcW w:w="62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gridSpan w:val="3"/>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600" w:type="dxa"/>
            <w:vAlign w:val="bottom"/>
            <w:gridSpan w:val="3"/>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60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278,146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17"/>
                <w:szCs w:val="17"/>
                <w:color w:val="auto"/>
              </w:rPr>
            </w:pPr>
          </w:p>
        </w:tc>
        <w:tc>
          <w:tcPr>
            <w:tcW w:w="62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3"/>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7"/>
                <w:szCs w:val="17"/>
                <w:color w:val="auto"/>
              </w:rPr>
            </w:pPr>
          </w:p>
        </w:tc>
        <w:tc>
          <w:tcPr>
            <w:tcW w:w="600" w:type="dxa"/>
            <w:vAlign w:val="bottom"/>
            <w:gridSpan w:val="3"/>
          </w:tcPr>
          <w:p>
            <w:pPr>
              <w:ind w:left="3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600" w:type="dxa"/>
            <w:vAlign w:val="bottom"/>
            <w:gridSpan w:val="3"/>
          </w:tcPr>
          <w:p>
            <w:pPr>
              <w:ind w:left="4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(26,834)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(26,834)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60" w:type="dxa"/>
            <w:vAlign w:val="bottom"/>
            <w:tcBorders>
              <w:top w:val="single" w:sz="8" w:color="auto"/>
              <w:bottom w:val="single" w:sz="8" w:color="auto"/>
            </w:tcBorders>
            <w:gridSpan w:val="2"/>
          </w:tcPr>
          <w:p>
            <w:pPr>
              <w:jc w:val="right"/>
              <w:ind w:right="251"/>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9"/>
              </w:rPr>
              <w:t>—</w:t>
            </w:r>
          </w:p>
        </w:tc>
        <w:tc>
          <w:tcPr>
            <w:tcW w:w="6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w:t>
            </w:r>
          </w:p>
        </w:tc>
        <w:tc>
          <w:tcPr>
            <w:tcW w:w="80" w:type="dxa"/>
            <w:vAlign w:val="bottom"/>
            <w:gridSpan w:val="2"/>
          </w:tcPr>
          <w:p>
            <w:pPr>
              <w:spacing w:after="0"/>
              <w:rPr>
                <w:sz w:val="11"/>
                <w:szCs w:val="11"/>
                <w:color w:val="auto"/>
              </w:rPr>
            </w:pPr>
          </w:p>
        </w:tc>
        <w:tc>
          <w:tcPr>
            <w:tcW w:w="340" w:type="dxa"/>
            <w:vAlign w:val="bottom"/>
            <w:tcBorders>
              <w:top w:val="single" w:sz="8" w:color="auto"/>
              <w:bottom w:val="single" w:sz="8" w:color="auto"/>
            </w:tcBorders>
            <w:gridSpan w:val="3"/>
          </w:tcPr>
          <w:p>
            <w:pPr>
              <w:jc w:val="right"/>
              <w:ind w:right="251"/>
              <w:spacing w:after="0"/>
              <w:rPr>
                <w:sz w:val="20"/>
                <w:szCs w:val="20"/>
                <w:color w:val="auto"/>
              </w:rPr>
            </w:pPr>
            <w:r>
              <w:rPr>
                <w:rFonts w:ascii="Arial" w:cs="Arial" w:eastAsia="Arial" w:hAnsi="Arial"/>
                <w:sz w:val="5"/>
                <w:szCs w:val="5"/>
                <w:color w:val="auto"/>
                <w:w w:val="70"/>
              </w:rPr>
              <w:t>$</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40" w:type="dxa"/>
            <w:vAlign w:val="bottom"/>
            <w:tcBorders>
              <w:top w:val="single" w:sz="8" w:color="auto"/>
              <w:bottom w:val="single" w:sz="8" w:color="auto"/>
            </w:tcBorders>
            <w:gridSpan w:val="3"/>
          </w:tcPr>
          <w:p>
            <w:pPr>
              <w:jc w:val="right"/>
              <w:ind w:right="231"/>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40" w:type="dxa"/>
            <w:vAlign w:val="bottom"/>
            <w:tcBorders>
              <w:top w:val="single" w:sz="8" w:color="auto"/>
              <w:bottom w:val="single" w:sz="8" w:color="auto"/>
            </w:tcBorders>
            <w:gridSpan w:val="2"/>
          </w:tcPr>
          <w:p>
            <w:pPr>
              <w:jc w:val="right"/>
              <w:ind w:right="211"/>
              <w:spacing w:after="0"/>
              <w:rPr>
                <w:sz w:val="20"/>
                <w:szCs w:val="20"/>
                <w:color w:val="auto"/>
              </w:rPr>
            </w:pPr>
            <w:r>
              <w:rPr>
                <w:rFonts w:ascii="Arial" w:cs="Arial" w:eastAsia="Arial" w:hAnsi="Arial"/>
                <w:sz w:val="10"/>
                <w:szCs w:val="10"/>
                <w:color w:val="auto"/>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8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0"/>
                <w:szCs w:val="10"/>
                <w:color w:val="auto"/>
                <w:w w:val="87"/>
              </w:rPr>
              <w:t>81,755,715</w:t>
            </w:r>
          </w:p>
        </w:tc>
        <w:tc>
          <w:tcPr>
            <w:tcW w:w="60" w:type="dxa"/>
            <w:vAlign w:val="bottom"/>
            <w:gridSpan w:val="2"/>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gridSpan w:val="2"/>
          </w:tcPr>
          <w:p>
            <w:pPr>
              <w:spacing w:after="0"/>
              <w:rPr>
                <w:sz w:val="11"/>
                <w:szCs w:val="11"/>
                <w:color w:val="auto"/>
              </w:rPr>
            </w:pPr>
          </w:p>
        </w:tc>
        <w:tc>
          <w:tcPr>
            <w:tcW w:w="12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336,771</w:t>
            </w:r>
          </w:p>
        </w:tc>
        <w:tc>
          <w:tcPr>
            <w:tcW w:w="60" w:type="dxa"/>
            <w:vAlign w:val="bottom"/>
            <w:gridSpan w:val="2"/>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(235,517)</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101,255</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6"/>
          </w:tcPr>
          <w:p>
            <w:pPr>
              <w:ind w:left="220"/>
              <w:spacing w:after="0"/>
              <w:rPr>
                <w:sz w:val="20"/>
                <w:szCs w:val="20"/>
                <w:color w:val="auto"/>
              </w:rPr>
            </w:pPr>
            <w:r>
              <w:rPr>
                <w:rFonts w:ascii="Arial" w:cs="Arial" w:eastAsia="Arial" w:hAnsi="Arial"/>
                <w:sz w:val="10"/>
                <w:szCs w:val="10"/>
                <w:b w:val="1"/>
                <w:bCs w:val="1"/>
                <w:color w:val="auto"/>
                <w:w w:val="89"/>
              </w:rPr>
              <w:t>Common stock –</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6"/>
          </w:tcPr>
          <w:p>
            <w:pPr>
              <w:ind w:left="200"/>
              <w:spacing w:after="0"/>
              <w:rPr>
                <w:sz w:val="20"/>
                <w:szCs w:val="20"/>
                <w:color w:val="auto"/>
              </w:rPr>
            </w:pPr>
            <w:r>
              <w:rPr>
                <w:rFonts w:ascii="Arial" w:cs="Arial" w:eastAsia="Arial" w:hAnsi="Arial"/>
                <w:sz w:val="10"/>
                <w:szCs w:val="10"/>
                <w:b w:val="1"/>
                <w:bCs w:val="1"/>
                <w:color w:val="auto"/>
                <w:w w:val="89"/>
              </w:rPr>
              <w:t>Common stock –</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8"/>
          </w:tcPr>
          <w:p>
            <w:pPr>
              <w:jc w:val="center"/>
              <w:ind w:right="80"/>
              <w:spacing w:after="0"/>
              <w:rPr>
                <w:sz w:val="20"/>
                <w:szCs w:val="20"/>
                <w:color w:val="auto"/>
              </w:rPr>
            </w:pPr>
            <w:r>
              <w:rPr>
                <w:rFonts w:ascii="Arial" w:cs="Arial" w:eastAsia="Arial" w:hAnsi="Arial"/>
                <w:sz w:val="10"/>
                <w:szCs w:val="10"/>
                <w:b w:val="1"/>
                <w:bCs w:val="1"/>
                <w:color w:val="auto"/>
                <w:w w:val="86"/>
              </w:rPr>
              <w:t>Common stock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vMerge w:val="restart"/>
          </w:tcPr>
          <w:p>
            <w:pPr>
              <w:jc w:val="center"/>
              <w:ind w:right="32"/>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7"/>
            <w:vMerge w:val="restart"/>
          </w:tcPr>
          <w:p>
            <w:pPr>
              <w:ind w:left="240"/>
              <w:spacing w:after="0"/>
              <w:rPr>
                <w:sz w:val="20"/>
                <w:szCs w:val="20"/>
                <w:color w:val="auto"/>
              </w:rPr>
            </w:pPr>
            <w:r>
              <w:rPr>
                <w:rFonts w:ascii="Arial" w:cs="Arial" w:eastAsia="Arial" w:hAnsi="Arial"/>
                <w:sz w:val="10"/>
                <w:szCs w:val="10"/>
                <w:b w:val="1"/>
                <w:bCs w:val="1"/>
                <w:color w:val="auto"/>
              </w:rPr>
              <w:t>Preferred stock</w:t>
            </w:r>
          </w:p>
        </w:tc>
        <w:tc>
          <w:tcPr>
            <w:tcW w:w="4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gridSpan w:val="5"/>
            <w:vMerge w:val="restart"/>
          </w:tcPr>
          <w:p>
            <w:pPr>
              <w:ind w:left="180"/>
              <w:spacing w:after="0"/>
              <w:rPr>
                <w:sz w:val="20"/>
                <w:szCs w:val="20"/>
                <w:color w:val="auto"/>
              </w:rPr>
            </w:pPr>
            <w:r>
              <w:rPr>
                <w:rFonts w:ascii="Arial" w:cs="Arial" w:eastAsia="Arial" w:hAnsi="Arial"/>
                <w:sz w:val="10"/>
                <w:szCs w:val="10"/>
                <w:b w:val="1"/>
                <w:bCs w:val="1"/>
                <w:color w:val="auto"/>
                <w:w w:val="88"/>
              </w:rPr>
              <w:t>FF Preferred stock</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6"/>
            <w:vMerge w:val="restart"/>
          </w:tcPr>
          <w:p>
            <w:pPr>
              <w:ind w:left="420"/>
              <w:spacing w:after="0"/>
              <w:rPr>
                <w:sz w:val="20"/>
                <w:szCs w:val="20"/>
                <w:color w:val="auto"/>
              </w:rPr>
            </w:pPr>
            <w:r>
              <w:rPr>
                <w:rFonts w:ascii="Arial" w:cs="Arial" w:eastAsia="Arial" w:hAnsi="Arial"/>
                <w:sz w:val="10"/>
                <w:szCs w:val="10"/>
                <w:b w:val="1"/>
                <w:bCs w:val="1"/>
                <w:color w:val="auto"/>
              </w:rPr>
              <w:t>Class A</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6"/>
            <w:vMerge w:val="restart"/>
          </w:tcPr>
          <w:p>
            <w:pPr>
              <w:ind w:left="420"/>
              <w:spacing w:after="0"/>
              <w:rPr>
                <w:sz w:val="20"/>
                <w:szCs w:val="20"/>
                <w:color w:val="auto"/>
              </w:rPr>
            </w:pPr>
            <w:r>
              <w:rPr>
                <w:rFonts w:ascii="Arial" w:cs="Arial" w:eastAsia="Arial" w:hAnsi="Arial"/>
                <w:sz w:val="10"/>
                <w:szCs w:val="10"/>
                <w:b w:val="1"/>
                <w:bCs w:val="1"/>
                <w:color w:val="auto"/>
              </w:rPr>
              <w:t>Class B</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gridSpan w:val="5"/>
            <w:vMerge w:val="restart"/>
          </w:tcPr>
          <w:p>
            <w:pPr>
              <w:ind w:left="260"/>
              <w:spacing w:after="0"/>
              <w:rPr>
                <w:sz w:val="20"/>
                <w:szCs w:val="20"/>
                <w:color w:val="auto"/>
              </w:rPr>
            </w:pPr>
            <w:r>
              <w:rPr>
                <w:rFonts w:ascii="Arial" w:cs="Arial" w:eastAsia="Arial" w:hAnsi="Arial"/>
                <w:sz w:val="10"/>
                <w:szCs w:val="10"/>
                <w:b w:val="1"/>
                <w:bCs w:val="1"/>
                <w:color w:val="auto"/>
                <w:w w:val="91"/>
              </w:rPr>
              <w:t>Treasury Stock</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7"/>
            <w:vMerge w:val="restart"/>
          </w:tcPr>
          <w:p>
            <w:pPr>
              <w:ind w:left="420"/>
              <w:spacing w:after="0"/>
              <w:rPr>
                <w:sz w:val="20"/>
                <w:szCs w:val="20"/>
                <w:color w:val="auto"/>
              </w:rPr>
            </w:pPr>
            <w:r>
              <w:rPr>
                <w:rFonts w:ascii="Arial" w:cs="Arial" w:eastAsia="Arial" w:hAnsi="Arial"/>
                <w:sz w:val="10"/>
                <w:szCs w:val="10"/>
                <w:b w:val="1"/>
                <w:bCs w:val="1"/>
                <w:color w:val="auto"/>
              </w:rPr>
              <w:t>Class A</w:t>
            </w:r>
          </w:p>
        </w:tc>
        <w:tc>
          <w:tcPr>
            <w:tcW w:w="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gridSpan w:val="7"/>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bottom w:val="single" w:sz="8" w:color="auto"/>
            </w:tcBorders>
            <w:gridSpan w:val="5"/>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auto"/>
            </w:tcBorders>
            <w:gridSpan w:val="6"/>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Borders>
              <w:bottom w:val="single" w:sz="8" w:color="auto"/>
            </w:tcBorders>
            <w:gridSpan w:val="6"/>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Borders>
              <w:bottom w:val="single" w:sz="8" w:color="auto"/>
            </w:tcBorders>
            <w:gridSpan w:val="5"/>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Borders>
              <w:bottom w:val="single" w:sz="8" w:color="auto"/>
            </w:tcBorders>
            <w:gridSpan w:val="7"/>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4"/>
          </w:tcPr>
          <w:p>
            <w:pPr>
              <w:jc w:val="center"/>
              <w:ind w:right="60"/>
              <w:spacing w:after="0" w:line="69" w:lineRule="exact"/>
              <w:rPr>
                <w:sz w:val="20"/>
                <w:szCs w:val="20"/>
                <w:color w:val="auto"/>
              </w:rPr>
            </w:pPr>
            <w:r>
              <w:rPr>
                <w:rFonts w:ascii="Arial" w:cs="Arial" w:eastAsia="Arial" w:hAnsi="Arial"/>
                <w:sz w:val="7"/>
                <w:szCs w:val="7"/>
                <w:b w:val="1"/>
                <w:bCs w:val="1"/>
                <w:color w:val="auto"/>
              </w:rPr>
              <w:t>Additional paid</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tcPr>
          <w:p>
            <w:pPr>
              <w:jc w:val="center"/>
              <w:ind w:right="140"/>
              <w:spacing w:after="0" w:line="69" w:lineRule="exact"/>
              <w:rPr>
                <w:sz w:val="20"/>
                <w:szCs w:val="20"/>
                <w:color w:val="auto"/>
              </w:rPr>
            </w:pPr>
            <w:r>
              <w:rPr>
                <w:rFonts w:ascii="Arial" w:cs="Arial" w:eastAsia="Arial" w:hAnsi="Arial"/>
                <w:sz w:val="7"/>
                <w:szCs w:val="7"/>
                <w:b w:val="1"/>
                <w:bCs w:val="1"/>
                <w:color w:val="auto"/>
              </w:rPr>
              <w:t>Accumulated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jc w:val="center"/>
              <w:ind w:right="32"/>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gridSpan w:val="3"/>
          </w:tcPr>
          <w:p>
            <w:pPr>
              <w:ind w:left="14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2"/>
                <w:szCs w:val="12"/>
                <w:color w:val="auto"/>
              </w:rPr>
            </w:pPr>
          </w:p>
        </w:tc>
        <w:tc>
          <w:tcPr>
            <w:tcW w:w="620" w:type="dxa"/>
            <w:vAlign w:val="bottom"/>
            <w:gridSpan w:val="3"/>
          </w:tcPr>
          <w:p>
            <w:pPr>
              <w:ind w:left="14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2"/>
                <w:szCs w:val="12"/>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20" w:type="dxa"/>
            <w:vAlign w:val="bottom"/>
            <w:gridSpan w:val="3"/>
          </w:tcPr>
          <w:p>
            <w:pPr>
              <w:ind w:left="16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4"/>
          </w:tcPr>
          <w:p>
            <w:pPr>
              <w:ind w:left="6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600" w:type="dxa"/>
            <w:vAlign w:val="bottom"/>
            <w:gridSpan w:val="3"/>
          </w:tcPr>
          <w:p>
            <w:pPr>
              <w:ind w:left="14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tcPr>
          <w:p>
            <w:pPr>
              <w:ind w:left="8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0" w:type="dxa"/>
            <w:vAlign w:val="bottom"/>
            <w:gridSpan w:val="3"/>
          </w:tcPr>
          <w:p>
            <w:pPr>
              <w:ind w:left="14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2"/>
                <w:szCs w:val="12"/>
                <w:color w:val="auto"/>
              </w:rPr>
            </w:pPr>
          </w:p>
        </w:tc>
        <w:tc>
          <w:tcPr>
            <w:tcW w:w="560" w:type="dxa"/>
            <w:vAlign w:val="bottom"/>
            <w:gridSpan w:val="4"/>
          </w:tcPr>
          <w:p>
            <w:pPr>
              <w:ind w:left="80"/>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2"/>
                <w:szCs w:val="12"/>
                <w:color w:val="auto"/>
              </w:rPr>
            </w:pPr>
          </w:p>
        </w:tc>
        <w:tc>
          <w:tcPr>
            <w:tcW w:w="620" w:type="dxa"/>
            <w:vAlign w:val="bottom"/>
            <w:gridSpan w:val="3"/>
          </w:tcPr>
          <w:p>
            <w:pPr>
              <w:ind w:left="14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2"/>
              </w:rPr>
              <w:t>in 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32"/>
              <w:spacing w:after="0"/>
              <w:rPr>
                <w:sz w:val="20"/>
                <w:szCs w:val="20"/>
                <w:color w:val="auto"/>
              </w:rPr>
            </w:pPr>
            <w:r>
              <w:rPr>
                <w:rFonts w:ascii="Arial" w:cs="Arial" w:eastAsia="Arial" w:hAnsi="Arial"/>
                <w:sz w:val="10"/>
                <w:szCs w:val="10"/>
                <w:b w:val="1"/>
                <w:bCs w:val="1"/>
                <w:color w:val="auto"/>
                <w:w w:val="88"/>
              </w:rPr>
              <w:t>deficit</w:t>
            </w:r>
          </w:p>
        </w:tc>
        <w:tc>
          <w:tcPr>
            <w:tcW w:w="0" w:type="dxa"/>
            <w:vAlign w:val="bottom"/>
          </w:tcPr>
          <w:p>
            <w:pPr>
              <w:spacing w:after="0"/>
              <w:rPr>
                <w:sz w:val="1"/>
                <w:szCs w:val="1"/>
                <w:color w:val="auto"/>
              </w:rPr>
            </w:pPr>
          </w:p>
        </w:tc>
      </w:tr>
      <w:tr>
        <w:trPr>
          <w:trHeight w:val="121"/>
        </w:trPr>
        <w:tc>
          <w:tcPr>
            <w:tcW w:w="600" w:type="dxa"/>
            <w:vAlign w:val="bottom"/>
            <w:tcBorders>
              <w:top w:val="single" w:sz="8" w:color="auto"/>
            </w:tcBorders>
            <w:gridSpan w:val="3"/>
          </w:tcPr>
          <w:p>
            <w:pPr>
              <w:jc w:val="right"/>
              <w:ind w:right="600"/>
              <w:spacing w:after="0"/>
              <w:rPr>
                <w:sz w:val="20"/>
                <w:szCs w:val="20"/>
                <w:color w:val="auto"/>
              </w:rPr>
            </w:pPr>
            <w:r>
              <w:rPr>
                <w:rFonts w:ascii="Arial" w:cs="Arial" w:eastAsia="Arial" w:hAnsi="Arial"/>
                <w:sz w:val="10"/>
                <w:szCs w:val="10"/>
                <w:color w:val="auto"/>
              </w:rPr>
              <w:t>144,875,941</w:t>
            </w:r>
          </w:p>
        </w:tc>
        <w:tc>
          <w:tcPr>
            <w:tcW w:w="60" w:type="dxa"/>
            <w:vAlign w:val="bottom"/>
            <w:gridSpan w:val="2"/>
          </w:tcPr>
          <w:p>
            <w:pPr>
              <w:spacing w:after="0"/>
              <w:rPr>
                <w:sz w:val="10"/>
                <w:szCs w:val="10"/>
                <w:color w:val="auto"/>
              </w:rPr>
            </w:pPr>
          </w:p>
        </w:tc>
        <w:tc>
          <w:tcPr>
            <w:tcW w:w="52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0"/>
                <w:szCs w:val="10"/>
                <w:color w:val="auto"/>
              </w:rPr>
            </w:pPr>
          </w:p>
        </w:tc>
        <w:tc>
          <w:tcPr>
            <w:tcW w:w="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20,000,000</w:t>
            </w:r>
          </w:p>
        </w:tc>
        <w:tc>
          <w:tcPr>
            <w:tcW w:w="60" w:type="dxa"/>
            <w:vAlign w:val="bottom"/>
            <w:gridSpan w:val="2"/>
          </w:tcPr>
          <w:p>
            <w:pPr>
              <w:spacing w:after="0"/>
              <w:rPr>
                <w:sz w:val="10"/>
                <w:szCs w:val="10"/>
                <w:color w:val="auto"/>
              </w:rPr>
            </w:pPr>
          </w:p>
        </w:tc>
        <w:tc>
          <w:tcPr>
            <w:tcW w:w="52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0"/>
                <w:szCs w:val="10"/>
                <w:color w:val="auto"/>
              </w:rPr>
            </w:pPr>
          </w:p>
        </w:tc>
        <w:tc>
          <w:tcPr>
            <w:tcW w:w="6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18,398,005</w:t>
            </w:r>
          </w:p>
        </w:tc>
        <w:tc>
          <w:tcPr>
            <w:tcW w:w="60" w:type="dxa"/>
            <w:vAlign w:val="bottom"/>
            <w:gridSpan w:val="2"/>
          </w:tcPr>
          <w:p>
            <w:pPr>
              <w:spacing w:after="0"/>
              <w:rPr>
                <w:sz w:val="10"/>
                <w:szCs w:val="10"/>
                <w:color w:val="auto"/>
              </w:rPr>
            </w:pPr>
          </w:p>
        </w:tc>
        <w:tc>
          <w:tcPr>
            <w:tcW w:w="500" w:type="dxa"/>
            <w:vAlign w:val="bottom"/>
            <w:tcBorders>
              <w:top w:val="single" w:sz="8" w:color="auto"/>
            </w:tcBorders>
            <w:gridSpan w:val="4"/>
          </w:tcPr>
          <w:p>
            <w:pPr>
              <w:spacing w:after="0"/>
              <w:rPr>
                <w:sz w:val="20"/>
                <w:szCs w:val="20"/>
                <w:color w:val="auto"/>
              </w:rPr>
            </w:pPr>
            <w:r>
              <w:rPr>
                <w:rFonts w:ascii="Arial" w:cs="Arial" w:eastAsia="Arial" w:hAnsi="Arial"/>
                <w:sz w:val="10"/>
                <w:szCs w:val="10"/>
                <w:color w:val="auto"/>
              </w:rPr>
              <w:t>—</w:t>
            </w:r>
          </w:p>
        </w:tc>
        <w:tc>
          <w:tcPr>
            <w:tcW w:w="80" w:type="dxa"/>
            <w:vAlign w:val="bottom"/>
            <w:gridSpan w:val="2"/>
          </w:tcPr>
          <w:p>
            <w:pPr>
              <w:spacing w:after="0"/>
              <w:rPr>
                <w:sz w:val="10"/>
                <w:szCs w:val="10"/>
                <w:color w:val="auto"/>
              </w:rPr>
            </w:pPr>
          </w:p>
        </w:tc>
        <w:tc>
          <w:tcPr>
            <w:tcW w:w="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70,000,000</w:t>
            </w:r>
          </w:p>
        </w:tc>
        <w:tc>
          <w:tcPr>
            <w:tcW w:w="60" w:type="dxa"/>
            <w:vAlign w:val="bottom"/>
            <w:gridSpan w:val="2"/>
          </w:tcPr>
          <w:p>
            <w:pPr>
              <w:spacing w:after="0"/>
              <w:rPr>
                <w:sz w:val="10"/>
                <w:szCs w:val="10"/>
                <w:color w:val="auto"/>
              </w:rPr>
            </w:pPr>
          </w:p>
        </w:tc>
        <w:tc>
          <w:tcPr>
            <w:tcW w:w="520" w:type="dxa"/>
            <w:vAlign w:val="bottom"/>
            <w:tcBorders>
              <w:top w:val="single" w:sz="8" w:color="auto"/>
            </w:tcBorders>
            <w:gridSpan w:val="4"/>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0"/>
                <w:szCs w:val="10"/>
                <w:color w:val="auto"/>
              </w:rPr>
            </w:pPr>
          </w:p>
        </w:tc>
        <w:tc>
          <w:tcPr>
            <w:tcW w:w="580" w:type="dxa"/>
            <w:vAlign w:val="bottom"/>
            <w:tcBorders>
              <w:top w:val="single" w:sz="8" w:color="auto"/>
            </w:tcBorders>
            <w:gridSpan w:val="2"/>
          </w:tcPr>
          <w:p>
            <w:pPr>
              <w:ind w:left="44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0"/>
                <w:szCs w:val="10"/>
                <w:color w:val="auto"/>
              </w:rPr>
            </w:pPr>
          </w:p>
        </w:tc>
        <w:tc>
          <w:tcPr>
            <w:tcW w:w="50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w:t>
            </w:r>
          </w:p>
        </w:tc>
        <w:tc>
          <w:tcPr>
            <w:tcW w:w="80" w:type="dxa"/>
            <w:vAlign w:val="bottom"/>
            <w:gridSpan w:val="2"/>
          </w:tcPr>
          <w:p>
            <w:pPr>
              <w:spacing w:after="0"/>
              <w:rPr>
                <w:sz w:val="10"/>
                <w:szCs w:val="10"/>
                <w:color w:val="auto"/>
              </w:rPr>
            </w:pPr>
          </w:p>
        </w:tc>
        <w:tc>
          <w:tcPr>
            <w:tcW w:w="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w:t>
            </w:r>
          </w:p>
        </w:tc>
        <w:tc>
          <w:tcPr>
            <w:tcW w:w="80" w:type="dxa"/>
            <w:vAlign w:val="bottom"/>
            <w:gridSpan w:val="2"/>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39,866</w:t>
            </w:r>
          </w:p>
        </w:tc>
        <w:tc>
          <w:tcPr>
            <w:tcW w:w="60" w:type="dxa"/>
            <w:vAlign w:val="bottom"/>
            <w:gridSpan w:val="2"/>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(329,338)</w:t>
            </w:r>
          </w:p>
        </w:tc>
        <w:tc>
          <w:tcPr>
            <w:tcW w:w="80" w:type="dxa"/>
            <w:vAlign w:val="bottom"/>
            <w:gridSpan w:val="2"/>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(289,472)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86"/>
              </w:rPr>
              <w:t>(144,875,941)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0"/>
                <w:szCs w:val="10"/>
                <w:color w:val="auto"/>
                <w:w w:val="98"/>
              </w:rPr>
              <w:t>(20,000,000)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0"/>
                <w:szCs w:val="10"/>
                <w:color w:val="auto"/>
              </w:rPr>
              <w:t>(18,398,005)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0"/>
                <w:szCs w:val="10"/>
                <w:color w:val="auto"/>
              </w:rPr>
              <w:t>(70,000,000)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gridSpan w:val="3"/>
          </w:tcPr>
          <w:p>
            <w:pPr>
              <w:ind w:lef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600" w:type="dxa"/>
            <w:vAlign w:val="bottom"/>
            <w:gridSpan w:val="3"/>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600" w:type="dxa"/>
            <w:vAlign w:val="bottom"/>
            <w:gridSpan w:val="3"/>
          </w:tcPr>
          <w:p>
            <w:pPr>
              <w:ind w:left="140"/>
              <w:spacing w:after="0"/>
              <w:rPr>
                <w:sz w:val="20"/>
                <w:szCs w:val="20"/>
                <w:color w:val="auto"/>
              </w:rPr>
            </w:pPr>
            <w:r>
              <w:rPr>
                <w:rFonts w:ascii="Arial" w:cs="Arial" w:eastAsia="Arial" w:hAnsi="Arial"/>
                <w:sz w:val="10"/>
                <w:szCs w:val="10"/>
                <w:color w:val="auto"/>
                <w:w w:val="87"/>
              </w:rPr>
              <w:t>62,510,690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7"/>
        </w:trPr>
        <w:tc>
          <w:tcPr>
            <w:tcW w:w="600" w:type="dxa"/>
            <w:vAlign w:val="bottom"/>
            <w:tcBorders>
              <w:bottom w:val="single" w:sz="8" w:color="auto"/>
            </w:tcBorders>
            <w:gridSpan w:val="3"/>
          </w:tcPr>
          <w:p>
            <w:pPr>
              <w:spacing w:after="0"/>
              <w:rPr>
                <w:sz w:val="5"/>
                <w:szCs w:val="5"/>
                <w:color w:val="auto"/>
              </w:rPr>
            </w:pPr>
          </w:p>
        </w:tc>
        <w:tc>
          <w:tcPr>
            <w:tcW w:w="60" w:type="dxa"/>
            <w:vAlign w:val="bottom"/>
            <w:gridSpan w:val="2"/>
          </w:tcPr>
          <w:p>
            <w:pPr>
              <w:spacing w:after="0"/>
              <w:rPr>
                <w:sz w:val="5"/>
                <w:szCs w:val="5"/>
                <w:color w:val="auto"/>
              </w:rPr>
            </w:pPr>
          </w:p>
        </w:tc>
        <w:tc>
          <w:tcPr>
            <w:tcW w:w="520" w:type="dxa"/>
            <w:vAlign w:val="bottom"/>
            <w:tcBorders>
              <w:bottom w:val="single" w:sz="8" w:color="auto"/>
            </w:tcBorders>
            <w:gridSpan w:val="3"/>
          </w:tcPr>
          <w:p>
            <w:pPr>
              <w:spacing w:after="0"/>
              <w:rPr>
                <w:sz w:val="5"/>
                <w:szCs w:val="5"/>
                <w:color w:val="auto"/>
              </w:rPr>
            </w:pPr>
          </w:p>
        </w:tc>
        <w:tc>
          <w:tcPr>
            <w:tcW w:w="60" w:type="dxa"/>
            <w:vAlign w:val="bottom"/>
            <w:gridSpan w:val="2"/>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60" w:type="dxa"/>
            <w:vAlign w:val="bottom"/>
            <w:gridSpan w:val="2"/>
          </w:tcPr>
          <w:p>
            <w:pPr>
              <w:spacing w:after="0"/>
              <w:rPr>
                <w:sz w:val="5"/>
                <w:szCs w:val="5"/>
                <w:color w:val="auto"/>
              </w:rPr>
            </w:pPr>
          </w:p>
        </w:tc>
        <w:tc>
          <w:tcPr>
            <w:tcW w:w="520" w:type="dxa"/>
            <w:vAlign w:val="bottom"/>
            <w:tcBorders>
              <w:bottom w:val="single" w:sz="8" w:color="auto"/>
            </w:tcBorders>
            <w:gridSpan w:val="3"/>
          </w:tcPr>
          <w:p>
            <w:pPr>
              <w:spacing w:after="0"/>
              <w:rPr>
                <w:sz w:val="5"/>
                <w:szCs w:val="5"/>
                <w:color w:val="auto"/>
              </w:rPr>
            </w:pPr>
          </w:p>
        </w:tc>
        <w:tc>
          <w:tcPr>
            <w:tcW w:w="60" w:type="dxa"/>
            <w:vAlign w:val="bottom"/>
            <w:gridSpan w:val="2"/>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60" w:type="dxa"/>
            <w:vAlign w:val="bottom"/>
            <w:gridSpan w:val="2"/>
          </w:tcPr>
          <w:p>
            <w:pPr>
              <w:spacing w:after="0"/>
              <w:rPr>
                <w:sz w:val="5"/>
                <w:szCs w:val="5"/>
                <w:color w:val="auto"/>
              </w:rPr>
            </w:pPr>
          </w:p>
        </w:tc>
        <w:tc>
          <w:tcPr>
            <w:tcW w:w="500" w:type="dxa"/>
            <w:vAlign w:val="bottom"/>
            <w:tcBorders>
              <w:bottom w:val="single" w:sz="8" w:color="auto"/>
            </w:tcBorders>
            <w:gridSpan w:val="4"/>
          </w:tcPr>
          <w:p>
            <w:pPr>
              <w:spacing w:after="0"/>
              <w:rPr>
                <w:sz w:val="5"/>
                <w:szCs w:val="5"/>
                <w:color w:val="auto"/>
              </w:rPr>
            </w:pPr>
          </w:p>
        </w:tc>
        <w:tc>
          <w:tcPr>
            <w:tcW w:w="80" w:type="dxa"/>
            <w:vAlign w:val="bottom"/>
            <w:gridSpan w:val="2"/>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60" w:type="dxa"/>
            <w:vAlign w:val="bottom"/>
            <w:gridSpan w:val="2"/>
          </w:tcPr>
          <w:p>
            <w:pPr>
              <w:spacing w:after="0"/>
              <w:rPr>
                <w:sz w:val="5"/>
                <w:szCs w:val="5"/>
                <w:color w:val="auto"/>
              </w:rPr>
            </w:pPr>
          </w:p>
        </w:tc>
        <w:tc>
          <w:tcPr>
            <w:tcW w:w="520" w:type="dxa"/>
            <w:vAlign w:val="bottom"/>
            <w:tcBorders>
              <w:bottom w:val="single" w:sz="8" w:color="auto"/>
            </w:tcBorders>
            <w:gridSpan w:val="4"/>
          </w:tcPr>
          <w:p>
            <w:pPr>
              <w:spacing w:after="0"/>
              <w:rPr>
                <w:sz w:val="5"/>
                <w:szCs w:val="5"/>
                <w:color w:val="auto"/>
              </w:rPr>
            </w:pPr>
          </w:p>
        </w:tc>
        <w:tc>
          <w:tcPr>
            <w:tcW w:w="60" w:type="dxa"/>
            <w:vAlign w:val="bottom"/>
            <w:gridSpan w:val="2"/>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60" w:type="dxa"/>
            <w:vAlign w:val="bottom"/>
            <w:gridSpan w:val="2"/>
          </w:tcPr>
          <w:p>
            <w:pPr>
              <w:spacing w:after="0"/>
              <w:rPr>
                <w:sz w:val="5"/>
                <w:szCs w:val="5"/>
                <w:color w:val="auto"/>
              </w:rPr>
            </w:pPr>
          </w:p>
        </w:tc>
        <w:tc>
          <w:tcPr>
            <w:tcW w:w="500" w:type="dxa"/>
            <w:vAlign w:val="bottom"/>
            <w:tcBorders>
              <w:bottom w:val="single" w:sz="8" w:color="auto"/>
            </w:tcBorders>
            <w:gridSpan w:val="3"/>
          </w:tcPr>
          <w:p>
            <w:pPr>
              <w:spacing w:after="0"/>
              <w:rPr>
                <w:sz w:val="5"/>
                <w:szCs w:val="5"/>
                <w:color w:val="auto"/>
              </w:rPr>
            </w:pPr>
          </w:p>
        </w:tc>
        <w:tc>
          <w:tcPr>
            <w:tcW w:w="80" w:type="dxa"/>
            <w:vAlign w:val="bottom"/>
            <w:gridSpan w:val="2"/>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60" w:type="dxa"/>
            <w:vAlign w:val="bottom"/>
            <w:gridSpan w:val="2"/>
          </w:tcPr>
          <w:p>
            <w:pPr>
              <w:spacing w:after="0"/>
              <w:rPr>
                <w:sz w:val="5"/>
                <w:szCs w:val="5"/>
                <w:color w:val="auto"/>
              </w:rPr>
            </w:pPr>
          </w:p>
        </w:tc>
        <w:tc>
          <w:tcPr>
            <w:tcW w:w="520" w:type="dxa"/>
            <w:vAlign w:val="bottom"/>
            <w:tcBorders>
              <w:bottom w:val="single" w:sz="8" w:color="auto"/>
            </w:tcBorders>
            <w:gridSpan w:val="3"/>
          </w:tcPr>
          <w:p>
            <w:pPr>
              <w:spacing w:after="0"/>
              <w:rPr>
                <w:sz w:val="5"/>
                <w:szCs w:val="5"/>
                <w:color w:val="auto"/>
              </w:rPr>
            </w:pPr>
          </w:p>
        </w:tc>
        <w:tc>
          <w:tcPr>
            <w:tcW w:w="80" w:type="dxa"/>
            <w:vAlign w:val="bottom"/>
            <w:gridSpan w:val="2"/>
          </w:tcPr>
          <w:p>
            <w:pPr>
              <w:spacing w:after="0"/>
              <w:rPr>
                <w:sz w:val="5"/>
                <w:szCs w:val="5"/>
                <w:color w:val="auto"/>
              </w:rPr>
            </w:pPr>
          </w:p>
        </w:tc>
        <w:tc>
          <w:tcPr>
            <w:tcW w:w="760" w:type="dxa"/>
            <w:vAlign w:val="bottom"/>
            <w:tcBorders>
              <w:bottom w:val="single" w:sz="8" w:color="auto"/>
            </w:tcBorders>
            <w:gridSpan w:val="3"/>
          </w:tcPr>
          <w:p>
            <w:pPr>
              <w:spacing w:after="0"/>
              <w:rPr>
                <w:sz w:val="5"/>
                <w:szCs w:val="5"/>
                <w:color w:val="auto"/>
              </w:rPr>
            </w:pPr>
          </w:p>
        </w:tc>
        <w:tc>
          <w:tcPr>
            <w:tcW w:w="60" w:type="dxa"/>
            <w:vAlign w:val="bottom"/>
            <w:gridSpan w:val="2"/>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80" w:type="dxa"/>
            <w:vAlign w:val="bottom"/>
            <w:gridSpan w:val="2"/>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211"/>
              <w:spacing w:after="0"/>
              <w:rPr>
                <w:sz w:val="20"/>
                <w:szCs w:val="20"/>
                <w:color w:val="auto"/>
              </w:rPr>
            </w:pPr>
            <w:r>
              <w:rPr>
                <w:rFonts w:ascii="Arial" w:cs="Arial" w:eastAsia="Arial" w:hAnsi="Arial"/>
                <w:sz w:val="10"/>
                <w:szCs w:val="10"/>
                <w:color w:val="auto"/>
              </w:rPr>
              <w:t>$</w:t>
            </w:r>
          </w:p>
        </w:tc>
        <w:tc>
          <w:tcPr>
            <w:tcW w:w="20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0"/>
                <w:szCs w:val="10"/>
                <w:color w:val="auto"/>
              </w:rPr>
              <w:t>$</w:t>
            </w:r>
          </w:p>
        </w:tc>
        <w:tc>
          <w:tcPr>
            <w:tcW w:w="22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0"/>
                <w:szCs w:val="10"/>
                <w:color w:val="auto"/>
              </w:rPr>
              <w:t>$</w:t>
            </w:r>
          </w:p>
        </w:tc>
        <w:tc>
          <w:tcPr>
            <w:tcW w:w="240" w:type="dxa"/>
            <w:vAlign w:val="bottom"/>
            <w:gridSpan w:val="3"/>
          </w:tcPr>
          <w:p>
            <w:pPr>
              <w:ind w:lef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3"/>
                <w:szCs w:val="13"/>
                <w:color w:val="auto"/>
              </w:rPr>
            </w:pPr>
          </w:p>
        </w:tc>
        <w:tc>
          <w:tcPr>
            <w:tcW w:w="600" w:type="dxa"/>
            <w:vAlign w:val="bottom"/>
            <w:gridSpan w:val="3"/>
          </w:tcPr>
          <w:p>
            <w:pPr>
              <w:ind w:left="44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191"/>
              <w:spacing w:after="0"/>
              <w:rPr>
                <w:sz w:val="20"/>
                <w:szCs w:val="20"/>
                <w:color w:val="auto"/>
              </w:rPr>
            </w:pPr>
            <w:r>
              <w:rPr>
                <w:rFonts w:ascii="Arial" w:cs="Arial" w:eastAsia="Arial" w:hAnsi="Arial"/>
                <w:sz w:val="10"/>
                <w:szCs w:val="10"/>
                <w:color w:val="auto"/>
              </w:rPr>
              <w:t>$</w:t>
            </w:r>
          </w:p>
        </w:tc>
        <w:tc>
          <w:tcPr>
            <w:tcW w:w="26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600" w:type="dxa"/>
            <w:vAlign w:val="bottom"/>
            <w:gridSpan w:val="3"/>
          </w:tcPr>
          <w:p>
            <w:pPr>
              <w:ind w:left="140"/>
              <w:spacing w:after="0"/>
              <w:rPr>
                <w:sz w:val="20"/>
                <w:szCs w:val="20"/>
                <w:color w:val="auto"/>
              </w:rPr>
            </w:pPr>
            <w:r>
              <w:rPr>
                <w:rFonts w:ascii="Arial" w:cs="Arial" w:eastAsia="Arial" w:hAnsi="Arial"/>
                <w:sz w:val="10"/>
                <w:szCs w:val="10"/>
                <w:color w:val="auto"/>
                <w:w w:val="87"/>
              </w:rPr>
              <w:t>62,510,690</w:t>
            </w:r>
          </w:p>
        </w:tc>
        <w:tc>
          <w:tcPr>
            <w:tcW w:w="4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39,866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(329,338)</w:t>
            </w:r>
          </w:p>
        </w:tc>
        <w:tc>
          <w:tcPr>
            <w:tcW w:w="6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(289,472)</w:t>
            </w:r>
          </w:p>
        </w:tc>
        <w:tc>
          <w:tcPr>
            <w:tcW w:w="0" w:type="dxa"/>
            <w:vAlign w:val="bottom"/>
          </w:tcPr>
          <w:p>
            <w:pPr>
              <w:spacing w:after="0"/>
              <w:rPr>
                <w:sz w:val="1"/>
                <w:szCs w:val="1"/>
                <w:color w:val="auto"/>
              </w:rPr>
            </w:pPr>
          </w:p>
        </w:tc>
      </w:tr>
      <w:tr>
        <w:trPr>
          <w:trHeight w:val="57"/>
        </w:trPr>
        <w:tc>
          <w:tcPr>
            <w:tcW w:w="600" w:type="dxa"/>
            <w:vAlign w:val="bottom"/>
            <w:tcBorders>
              <w:bottom w:val="single" w:sz="8" w:color="auto"/>
            </w:tcBorders>
            <w:gridSpan w:val="3"/>
          </w:tcPr>
          <w:p>
            <w:pPr>
              <w:spacing w:after="0"/>
              <w:rPr>
                <w:sz w:val="4"/>
                <w:szCs w:val="4"/>
                <w:color w:val="auto"/>
              </w:rPr>
            </w:pPr>
          </w:p>
        </w:tc>
        <w:tc>
          <w:tcPr>
            <w:tcW w:w="60" w:type="dxa"/>
            <w:vAlign w:val="bottom"/>
            <w:gridSpan w:val="2"/>
          </w:tcPr>
          <w:p>
            <w:pPr>
              <w:spacing w:after="0"/>
              <w:rPr>
                <w:sz w:val="4"/>
                <w:szCs w:val="4"/>
                <w:color w:val="auto"/>
              </w:rPr>
            </w:pPr>
          </w:p>
        </w:tc>
        <w:tc>
          <w:tcPr>
            <w:tcW w:w="520" w:type="dxa"/>
            <w:vAlign w:val="bottom"/>
            <w:tcBorders>
              <w:bottom w:val="single" w:sz="8" w:color="auto"/>
            </w:tcBorders>
            <w:gridSpan w:val="3"/>
          </w:tcPr>
          <w:p>
            <w:pPr>
              <w:spacing w:after="0"/>
              <w:rPr>
                <w:sz w:val="4"/>
                <w:szCs w:val="4"/>
                <w:color w:val="auto"/>
              </w:rPr>
            </w:pPr>
          </w:p>
        </w:tc>
        <w:tc>
          <w:tcPr>
            <w:tcW w:w="60" w:type="dxa"/>
            <w:vAlign w:val="bottom"/>
            <w:gridSpan w:val="2"/>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60" w:type="dxa"/>
            <w:vAlign w:val="bottom"/>
            <w:gridSpan w:val="2"/>
          </w:tcPr>
          <w:p>
            <w:pPr>
              <w:spacing w:after="0"/>
              <w:rPr>
                <w:sz w:val="4"/>
                <w:szCs w:val="4"/>
                <w:color w:val="auto"/>
              </w:rPr>
            </w:pPr>
          </w:p>
        </w:tc>
        <w:tc>
          <w:tcPr>
            <w:tcW w:w="520" w:type="dxa"/>
            <w:vAlign w:val="bottom"/>
            <w:tcBorders>
              <w:bottom w:val="single" w:sz="8" w:color="auto"/>
            </w:tcBorders>
            <w:gridSpan w:val="3"/>
          </w:tcPr>
          <w:p>
            <w:pPr>
              <w:spacing w:after="0"/>
              <w:rPr>
                <w:sz w:val="4"/>
                <w:szCs w:val="4"/>
                <w:color w:val="auto"/>
              </w:rPr>
            </w:pPr>
          </w:p>
        </w:tc>
        <w:tc>
          <w:tcPr>
            <w:tcW w:w="60" w:type="dxa"/>
            <w:vAlign w:val="bottom"/>
            <w:gridSpan w:val="2"/>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60" w:type="dxa"/>
            <w:vAlign w:val="bottom"/>
            <w:gridSpan w:val="2"/>
          </w:tcPr>
          <w:p>
            <w:pPr>
              <w:spacing w:after="0"/>
              <w:rPr>
                <w:sz w:val="4"/>
                <w:szCs w:val="4"/>
                <w:color w:val="auto"/>
              </w:rPr>
            </w:pPr>
          </w:p>
        </w:tc>
        <w:tc>
          <w:tcPr>
            <w:tcW w:w="500" w:type="dxa"/>
            <w:vAlign w:val="bottom"/>
            <w:tcBorders>
              <w:bottom w:val="single" w:sz="8" w:color="auto"/>
            </w:tcBorders>
            <w:gridSpan w:val="4"/>
          </w:tcPr>
          <w:p>
            <w:pPr>
              <w:spacing w:after="0"/>
              <w:rPr>
                <w:sz w:val="4"/>
                <w:szCs w:val="4"/>
                <w:color w:val="auto"/>
              </w:rPr>
            </w:pPr>
          </w:p>
        </w:tc>
        <w:tc>
          <w:tcPr>
            <w:tcW w:w="80" w:type="dxa"/>
            <w:vAlign w:val="bottom"/>
            <w:gridSpan w:val="2"/>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60" w:type="dxa"/>
            <w:vAlign w:val="bottom"/>
            <w:gridSpan w:val="2"/>
          </w:tcPr>
          <w:p>
            <w:pPr>
              <w:spacing w:after="0"/>
              <w:rPr>
                <w:sz w:val="4"/>
                <w:szCs w:val="4"/>
                <w:color w:val="auto"/>
              </w:rPr>
            </w:pPr>
          </w:p>
        </w:tc>
        <w:tc>
          <w:tcPr>
            <w:tcW w:w="520" w:type="dxa"/>
            <w:vAlign w:val="bottom"/>
            <w:tcBorders>
              <w:bottom w:val="single" w:sz="8" w:color="auto"/>
            </w:tcBorders>
            <w:gridSpan w:val="4"/>
          </w:tcPr>
          <w:p>
            <w:pPr>
              <w:spacing w:after="0"/>
              <w:rPr>
                <w:sz w:val="4"/>
                <w:szCs w:val="4"/>
                <w:color w:val="auto"/>
              </w:rPr>
            </w:pPr>
          </w:p>
        </w:tc>
        <w:tc>
          <w:tcPr>
            <w:tcW w:w="60" w:type="dxa"/>
            <w:vAlign w:val="bottom"/>
            <w:gridSpan w:val="2"/>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60" w:type="dxa"/>
            <w:vAlign w:val="bottom"/>
            <w:gridSpan w:val="2"/>
          </w:tcPr>
          <w:p>
            <w:pPr>
              <w:spacing w:after="0"/>
              <w:rPr>
                <w:sz w:val="4"/>
                <w:szCs w:val="4"/>
                <w:color w:val="auto"/>
              </w:rPr>
            </w:pPr>
          </w:p>
        </w:tc>
        <w:tc>
          <w:tcPr>
            <w:tcW w:w="500" w:type="dxa"/>
            <w:vAlign w:val="bottom"/>
            <w:tcBorders>
              <w:bottom w:val="single" w:sz="8" w:color="auto"/>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60" w:type="dxa"/>
            <w:vAlign w:val="bottom"/>
            <w:gridSpan w:val="2"/>
          </w:tcPr>
          <w:p>
            <w:pPr>
              <w:spacing w:after="0"/>
              <w:rPr>
                <w:sz w:val="4"/>
                <w:szCs w:val="4"/>
                <w:color w:val="auto"/>
              </w:rPr>
            </w:pPr>
          </w:p>
        </w:tc>
        <w:tc>
          <w:tcPr>
            <w:tcW w:w="520" w:type="dxa"/>
            <w:vAlign w:val="bottom"/>
            <w:tcBorders>
              <w:bottom w:val="single" w:sz="8" w:color="auto"/>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760" w:type="dxa"/>
            <w:vAlign w:val="bottom"/>
            <w:tcBorders>
              <w:bottom w:val="single" w:sz="8" w:color="auto"/>
            </w:tcBorders>
            <w:gridSpan w:val="3"/>
          </w:tcPr>
          <w:p>
            <w:pPr>
              <w:spacing w:after="0"/>
              <w:rPr>
                <w:sz w:val="4"/>
                <w:szCs w:val="4"/>
                <w:color w:val="auto"/>
              </w:rPr>
            </w:pPr>
          </w:p>
        </w:tc>
        <w:tc>
          <w:tcPr>
            <w:tcW w:w="60" w:type="dxa"/>
            <w:vAlign w:val="bottom"/>
            <w:gridSpan w:val="2"/>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3"/>
          </w:tcPr>
          <w:p>
            <w:pPr>
              <w:ind w:lef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3"/>
                <w:szCs w:val="13"/>
                <w:color w:val="auto"/>
              </w:rPr>
            </w:pPr>
          </w:p>
        </w:tc>
        <w:tc>
          <w:tcPr>
            <w:tcW w:w="600" w:type="dxa"/>
            <w:vAlign w:val="bottom"/>
            <w:gridSpan w:val="3"/>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270,582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gridSpan w:val="3"/>
          </w:tcPr>
          <w:p>
            <w:pPr>
              <w:ind w:lef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9"/>
                <w:szCs w:val="19"/>
                <w:color w:val="auto"/>
              </w:rPr>
            </w:pPr>
          </w:p>
        </w:tc>
        <w:tc>
          <w:tcPr>
            <w:tcW w:w="600" w:type="dxa"/>
            <w:vAlign w:val="bottom"/>
            <w:gridSpan w:val="3"/>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5,768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5,768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7"/>
                <w:szCs w:val="17"/>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3"/>
          </w:tcPr>
          <w:p>
            <w:pPr>
              <w:ind w:lef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600" w:type="dxa"/>
            <w:vAlign w:val="bottom"/>
            <w:gridSpan w:val="3"/>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64,671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64,671</w:t>
            </w:r>
          </w:p>
        </w:tc>
        <w:tc>
          <w:tcPr>
            <w:tcW w:w="0" w:type="dxa"/>
            <w:vAlign w:val="bottom"/>
          </w:tcPr>
          <w:p>
            <w:pPr>
              <w:spacing w:after="0"/>
              <w:rPr>
                <w:sz w:val="1"/>
                <w:szCs w:val="1"/>
                <w:color w:val="auto"/>
              </w:rPr>
            </w:pPr>
          </w:p>
        </w:tc>
      </w:tr>
      <w:tr>
        <w:trPr>
          <w:trHeight w:val="129"/>
        </w:trPr>
        <w:tc>
          <w:tcPr>
            <w:tcW w:w="6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color w:val="auto"/>
              </w:rPr>
              <w:t>$</w:t>
            </w:r>
          </w:p>
        </w:tc>
        <w:tc>
          <w:tcPr>
            <w:tcW w:w="1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00" w:type="dxa"/>
            <w:vAlign w:val="bottom"/>
            <w:tcBorders>
              <w:top w:val="single" w:sz="8" w:color="auto"/>
              <w:bottom w:val="single" w:sz="8" w:color="auto"/>
            </w:tcBorders>
            <w:gridSpan w:val="2"/>
          </w:tcPr>
          <w:p>
            <w:pPr>
              <w:jc w:val="right"/>
              <w:ind w:right="251"/>
              <w:spacing w:after="0"/>
              <w:rPr>
                <w:sz w:val="20"/>
                <w:szCs w:val="20"/>
                <w:color w:val="auto"/>
              </w:rPr>
            </w:pPr>
            <w:r>
              <w:rPr>
                <w:rFonts w:ascii="Arial" w:cs="Arial" w:eastAsia="Arial" w:hAnsi="Arial"/>
                <w:sz w:val="10"/>
                <w:szCs w:val="10"/>
                <w:color w:val="auto"/>
              </w:rPr>
              <w:t>$</w:t>
            </w:r>
          </w:p>
        </w:tc>
        <w:tc>
          <w:tcPr>
            <w:tcW w:w="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0"/>
                <w:szCs w:val="10"/>
                <w:color w:val="auto"/>
              </w:rPr>
              <w:t>—</w:t>
            </w:r>
          </w:p>
        </w:tc>
        <w:tc>
          <w:tcPr>
            <w:tcW w:w="8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00" w:type="dxa"/>
            <w:vAlign w:val="bottom"/>
            <w:tcBorders>
              <w:top w:val="single" w:sz="8" w:color="auto"/>
              <w:bottom w:val="single" w:sz="8" w:color="auto"/>
            </w:tcBorders>
            <w:gridSpan w:val="2"/>
          </w:tcPr>
          <w:p>
            <w:pPr>
              <w:jc w:val="right"/>
              <w:ind w:right="251"/>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0"/>
                <w:szCs w:val="10"/>
                <w:color w:val="auto"/>
              </w:rPr>
              <w:t>—</w:t>
            </w:r>
          </w:p>
        </w:tc>
        <w:tc>
          <w:tcPr>
            <w:tcW w:w="60" w:type="dxa"/>
            <w:vAlign w:val="bottom"/>
            <w:gridSpan w:val="2"/>
          </w:tcPr>
          <w:p>
            <w:pPr>
              <w:spacing w:after="0"/>
              <w:rPr>
                <w:sz w:val="11"/>
                <w:szCs w:val="11"/>
                <w:color w:val="auto"/>
              </w:rPr>
            </w:pPr>
          </w:p>
        </w:tc>
        <w:tc>
          <w:tcPr>
            <w:tcW w:w="3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0"/>
                <w:szCs w:val="10"/>
                <w:color w:val="auto"/>
              </w:rPr>
              <w:t>—</w:t>
            </w:r>
          </w:p>
        </w:tc>
        <w:tc>
          <w:tcPr>
            <w:tcW w:w="80" w:type="dxa"/>
            <w:vAlign w:val="bottom"/>
            <w:gridSpan w:val="2"/>
          </w:tcPr>
          <w:p>
            <w:pPr>
              <w:spacing w:after="0"/>
              <w:rPr>
                <w:sz w:val="11"/>
                <w:szCs w:val="11"/>
                <w:color w:val="auto"/>
              </w:rPr>
            </w:pPr>
          </w:p>
        </w:tc>
        <w:tc>
          <w:tcPr>
            <w:tcW w:w="5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0"/>
                <w:szCs w:val="10"/>
                <w:color w:val="auto"/>
                <w:w w:val="87"/>
              </w:rPr>
              <w:t>62,781,272</w:t>
            </w:r>
          </w:p>
        </w:tc>
        <w:tc>
          <w:tcPr>
            <w:tcW w:w="6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w:t>
            </w:r>
          </w:p>
        </w:tc>
        <w:tc>
          <w:tcPr>
            <w:tcW w:w="80" w:type="dxa"/>
            <w:vAlign w:val="bottom"/>
            <w:gridSpan w:val="2"/>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45,658</w:t>
            </w:r>
          </w:p>
        </w:tc>
        <w:tc>
          <w:tcPr>
            <w:tcW w:w="6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(264,667)</w:t>
            </w:r>
          </w:p>
        </w:tc>
        <w:tc>
          <w:tcPr>
            <w:tcW w:w="8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(219,009)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-2438400</wp:posOffset>
            </wp:positionV>
            <wp:extent cx="7148195"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9461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-2195830</wp:posOffset>
            </wp:positionV>
            <wp:extent cx="7148195" cy="147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479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-1838325</wp:posOffset>
            </wp:positionV>
            <wp:extent cx="7148195" cy="147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479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-1602740</wp:posOffset>
            </wp:positionV>
            <wp:extent cx="7148195" cy="147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479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-1367155</wp:posOffset>
            </wp:positionV>
            <wp:extent cx="7148195"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9461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-875030</wp:posOffset>
            </wp:positionV>
            <wp:extent cx="7148195"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9461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-632460</wp:posOffset>
            </wp:positionV>
            <wp:extent cx="7148195" cy="147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479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-335915</wp:posOffset>
            </wp:positionV>
            <wp:extent cx="7148195" cy="147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479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-100330</wp:posOffset>
            </wp:positionV>
            <wp:extent cx="7148195"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9461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1440" w:space="40"/>
            <w:col w:w="9800"/>
          </w:cols>
          <w:pgMar w:left="300" w:top="129" w:right="31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7" w:name="page8"/>
    <w:bookmarkEnd w:id="7"/>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200" w:lineRule="exact"/>
        <w:rPr>
          <w:sz w:val="20"/>
          <w:szCs w:val="20"/>
          <w:color w:val="auto"/>
        </w:rPr>
      </w:pPr>
    </w:p>
    <w:p>
      <w:pPr>
        <w:spacing w:after="0" w:line="31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37"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10" w:lineRule="exact"/>
        <w:rPr>
          <w:sz w:val="20"/>
          <w:szCs w:val="20"/>
          <w:color w:val="auto"/>
        </w:rPr>
      </w:pPr>
    </w:p>
    <w:p>
      <w:pPr>
        <w:jc w:val="center"/>
        <w:ind w:left="7820"/>
        <w:spacing w:after="0"/>
        <w:rPr>
          <w:sz w:val="20"/>
          <w:szCs w:val="20"/>
          <w:color w:val="auto"/>
        </w:rPr>
      </w:pPr>
      <w:r>
        <w:rPr>
          <w:rFonts w:ascii="Arial" w:cs="Arial" w:eastAsia="Arial" w:hAnsi="Arial"/>
          <w:sz w:val="13"/>
          <w:szCs w:val="13"/>
          <w:b w:val="1"/>
          <w:bCs w:val="1"/>
          <w:color w:val="auto"/>
        </w:rPr>
        <w:t>Three Months Ended</w:t>
      </w:r>
    </w:p>
    <w:p>
      <w:pPr>
        <w:jc w:val="center"/>
        <w:ind w:left="7820"/>
        <w:spacing w:after="0"/>
        <w:rPr>
          <w:sz w:val="20"/>
          <w:szCs w:val="20"/>
          <w:color w:val="auto"/>
        </w:rPr>
      </w:pPr>
      <w:r>
        <w:rPr>
          <w:rFonts w:ascii="Arial" w:cs="Arial" w:eastAsia="Arial" w:hAnsi="Arial"/>
          <w:sz w:val="13"/>
          <w:szCs w:val="13"/>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r>
      <w:tr>
        <w:trPr>
          <w:trHeight w:val="150"/>
        </w:trPr>
        <w:tc>
          <w:tcPr>
            <w:tcW w:w="78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Cash flows from operating activities:</w:t>
            </w:r>
          </w:p>
        </w:tc>
        <w:tc>
          <w:tcPr>
            <w:tcW w:w="1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Net income (loss)</w:t>
            </w:r>
          </w:p>
        </w:tc>
        <w:tc>
          <w:tcPr>
            <w:tcW w:w="1100" w:type="dxa"/>
            <w:vAlign w:val="bottom"/>
          </w:tcPr>
          <w:p>
            <w:pPr>
              <w:jc w:val="right"/>
              <w:ind w:right="9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(26,834)</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64,671</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income (loss) to net cash used in operating activities: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Depreciation and amortization</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199</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Amortization of debt discount and issuance costs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Accrued interest</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(Decrease) increase in fair value of warrants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(8,083)</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Decrease in fair value of SAFE notes</w:t>
            </w:r>
          </w:p>
        </w:tc>
        <w:tc>
          <w:tcPr>
            <w:tcW w:w="1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(81,564)</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Impairment of prepaid launch costs</w:t>
            </w:r>
          </w:p>
        </w:tc>
        <w:tc>
          <w:tcPr>
            <w:tcW w:w="1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Loss on disposal of fixed asset</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Stock-based compensation expense</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5,768</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Prepaids and other current assets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(9,246)</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Other non-current assets</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(2,685)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Accounts payable</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Accrued expenses</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5,120</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current liabilities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Contract liabilities</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Lease liability and right of use asset</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r>
      <w:tr>
        <w:trPr>
          <w:trHeight w:val="168"/>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Other non-current liabilities</w:t>
            </w: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7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cash used in operating activities</w:t>
            </w:r>
          </w:p>
        </w:tc>
        <w:tc>
          <w:tcPr>
            <w:tcW w:w="1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(23,062)</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(21,199)</w:t>
            </w:r>
          </w:p>
        </w:tc>
      </w:tr>
      <w:tr>
        <w:trPr>
          <w:trHeight w:val="141"/>
        </w:trPr>
        <w:tc>
          <w:tcPr>
            <w:tcW w:w="7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Purchases of property, machinery and equipment</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(429)</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Purchases of intangible assets</w:t>
            </w:r>
          </w:p>
        </w:tc>
        <w:tc>
          <w:tcPr>
            <w:tcW w:w="1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8"/>
        </w:trPr>
        <w:tc>
          <w:tcPr>
            <w:tcW w:w="784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b w:val="1"/>
                <w:bCs w:val="1"/>
                <w:color w:val="auto"/>
              </w:rPr>
              <w:t>Net cash used in investing activities</w:t>
            </w:r>
          </w:p>
        </w:tc>
        <w:tc>
          <w:tcPr>
            <w:tcW w:w="1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w:t>
            </w:r>
          </w:p>
        </w:tc>
      </w:tr>
      <w:tr>
        <w:trPr>
          <w:trHeight w:val="141"/>
        </w:trPr>
        <w:tc>
          <w:tcPr>
            <w:tcW w:w="7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issuance of SAFE notes</w:t>
            </w:r>
          </w:p>
        </w:tc>
        <w:tc>
          <w:tcPr>
            <w:tcW w:w="1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30,853</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Proceeds from issuance of loan payable</w:t>
            </w:r>
          </w:p>
        </w:tc>
        <w:tc>
          <w:tcPr>
            <w:tcW w:w="1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25,000</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Repurchase of Section 16 Officer shares for tax coverage exchange</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of notes payable</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Payment of debt issuance costs</w:t>
            </w:r>
          </w:p>
        </w:tc>
        <w:tc>
          <w:tcPr>
            <w:tcW w:w="1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of warrant issuance costs</w:t>
            </w:r>
          </w:p>
        </w:tc>
        <w:tc>
          <w:tcPr>
            <w:tcW w:w="1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58"/>
        </w:trPr>
        <w:tc>
          <w:tcPr>
            <w:tcW w:w="784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b w:val="1"/>
                <w:bCs w:val="1"/>
                <w:color w:val="auto"/>
              </w:rPr>
              <w:t>Net cash (used in) provided by financing activities</w:t>
            </w:r>
          </w:p>
        </w:tc>
        <w:tc>
          <w:tcPr>
            <w:tcW w:w="1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(938)</w:t>
            </w:r>
          </w:p>
        </w:tc>
        <w:tc>
          <w:tcPr>
            <w:tcW w:w="8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55,702</w:t>
            </w:r>
          </w:p>
        </w:tc>
      </w:tr>
      <w:tr>
        <w:trPr>
          <w:trHeight w:val="141"/>
        </w:trPr>
        <w:tc>
          <w:tcPr>
            <w:tcW w:w="7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Increase in cash, cash equivalents and restricted cash</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(24,521)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34,071</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cash equivalents and restricted cash, beginning of period</w:t>
            </w:r>
          </w:p>
        </w:tc>
        <w:tc>
          <w:tcPr>
            <w:tcW w:w="1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160,547</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23,520</w:t>
            </w:r>
          </w:p>
        </w:tc>
      </w:tr>
      <w:tr>
        <w:trPr>
          <w:trHeight w:val="158"/>
        </w:trPr>
        <w:tc>
          <w:tcPr>
            <w:tcW w:w="7840" w:type="dxa"/>
            <w:vAlign w:val="bottom"/>
            <w:tcBorders>
              <w:bottom w:val="single" w:sz="8" w:color="CCEEFF"/>
            </w:tcBorders>
          </w:tcPr>
          <w:p>
            <w:pPr>
              <w:ind w:left="220"/>
              <w:spacing w:after="0" w:line="146" w:lineRule="exact"/>
              <w:rPr>
                <w:sz w:val="20"/>
                <w:szCs w:val="20"/>
                <w:color w:val="auto"/>
              </w:rPr>
            </w:pPr>
            <w:r>
              <w:rPr>
                <w:rFonts w:ascii="Arial" w:cs="Arial" w:eastAsia="Arial" w:hAnsi="Arial"/>
                <w:sz w:val="13"/>
                <w:szCs w:val="13"/>
                <w:color w:val="auto"/>
              </w:rPr>
              <w:t>Cash, cash equivalents and restricted cash, end of period</w:t>
            </w:r>
          </w:p>
        </w:tc>
        <w:tc>
          <w:tcPr>
            <w:tcW w:w="1100" w:type="dxa"/>
            <w:vAlign w:val="bottom"/>
            <w:tcBorders>
              <w:bottom w:val="single" w:sz="8" w:color="auto"/>
            </w:tcBorders>
          </w:tcPr>
          <w:p>
            <w:pPr>
              <w:jc w:val="right"/>
              <w:ind w:right="9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136,026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57,591</w:t>
            </w:r>
          </w:p>
        </w:tc>
      </w:tr>
      <w:tr>
        <w:trPr>
          <w:trHeight w:val="141"/>
        </w:trPr>
        <w:tc>
          <w:tcPr>
            <w:tcW w:w="7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offering costs in accounts payable and accrued expenses at period end</w:t>
            </w:r>
          </w:p>
        </w:tc>
        <w:tc>
          <w:tcPr>
            <w:tcW w:w="110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w:t>
            </w: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Operating lease right-of-use assets in exchange for lease obligations</w:t>
            </w:r>
          </w:p>
        </w:tc>
        <w:tc>
          <w:tcPr>
            <w:tcW w:w="1100" w:type="dxa"/>
            <w:vAlign w:val="bottom"/>
          </w:tcPr>
          <w:p>
            <w:pPr>
              <w:jc w:val="right"/>
              <w:ind w:right="956"/>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8,501</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Share repurchase liability fair value</w:t>
            </w:r>
          </w:p>
        </w:tc>
        <w:tc>
          <w:tcPr>
            <w:tcW w:w="110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7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5"/>
        </w:trPr>
        <w:tc>
          <w:tcPr>
            <w:tcW w:w="7840" w:type="dxa"/>
            <w:vAlign w:val="bottom"/>
          </w:tcPr>
          <w:p>
            <w:pPr>
              <w:ind w:left="180"/>
              <w:spacing w:after="0"/>
              <w:rPr>
                <w:sz w:val="20"/>
                <w:szCs w:val="20"/>
                <w:color w:val="auto"/>
              </w:rPr>
            </w:pPr>
            <w:r>
              <w:rPr>
                <w:rFonts w:ascii="Arial" w:cs="Arial" w:eastAsia="Arial" w:hAnsi="Arial"/>
                <w:sz w:val="13"/>
                <w:szCs w:val="13"/>
                <w:color w:val="auto"/>
              </w:rPr>
              <w:t>Cash paid for interest</w:t>
            </w:r>
          </w:p>
        </w:tc>
        <w:tc>
          <w:tcPr>
            <w:tcW w:w="1100" w:type="dxa"/>
            <w:vAlign w:val="bottom"/>
          </w:tcPr>
          <w:p>
            <w:pPr>
              <w:jc w:val="right"/>
              <w:ind w:right="9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750</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250</w:t>
            </w: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Nature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Momentus Inc. (together with its consolidated subsidiaries “Momentus” or the “Company”) is a U.S. commercial space company that plans to offer in-space infrastructure services, including in-space transportation, hosted payloads and in-orbit services. Momentus believes it can make new ways of operating in space possible with its planned in-space transfer and service vehicles that will be powered by an innovative water plasma-based propulsion system that is under development. The Company anticipates flying its Vigoride vehicle to Low Earth Orbit on a third-party launch provider as early as May 2022, subject to receipt of licenses and government approvals, and successful completion of our current efforts to get the system ready for flight.</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Background and Business Combination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98"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 xml:space="preserve">The Merger was accounted for as a reverse recapitalization under ASC Topic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("ASC 805") in accordance with accounting principles generally accepted in the United States (“GAAP”). Under this method of accounting, SRAC, who was the legal acquirer, is treated as the “acquired” company for financial reporting purposes and Legacy Momentus is treated as the accounting acquirer. Accordingly, for accounting purposes, the Merger is treated as the equivalent of a capital transaction in which Legacy Momentus issued stock for the net assets of SRAC, with no goodwill or other intangible assets recorded, and Legacy Momentus’ financial statements became those of the Company. Reported shares and earnings per share available to holders of the Company’s common stock, prior to the Business Combination, have been retroactively restated as shares reflecting the exchange ratio established in the Business Combination. See Note 3 for more information.</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Pursuant to the Amended and Restated Certificate of Incorporation of the Company, at the Closing, each share of SRAC’s Class B Common Stock, par value $0.0001 per share (the “Class B Common Stock”), converted into one share of SRAC’s Class A Common Stock. After the Closing and following the effectiveness of the Second Amended and Restated Certificate of Incorporation of the Company, each share of Class A Common Stock was automatically reclassified, redesignated and changed into one validly issued, fully paid and non-assessable share of the Company’s Common Stock, par value $0.00001 per share (the “Common Stock”), without any further action by the Company or any stockholder thereof.</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Prior to the Business Combination, SRAC’s units, public shares, and public warrants were listed on the Nasdaq under the symbols “SRACU,” “SRAC,” and “SRACW,” respectively. On August 13, 2021, the Company's Class A common stock and public warrants began trading on the Nasdaq, under the symbols “MNTS” and “MNTSW,”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On October 7, 2020 and July 15, 2021, SRAC entered into subscription agreements with certain investors (the “PIPE Investors”) to which such investors collectively subscribed for an aggregate of 11,000,000 shares of the Company’s Class A common stock at $10.00 per share for aggregate gross proceeds of $110.0 million (the “PIPE Investment”). The PIPE Investors were also granted an equal number of private warrants to purchase the Company’s Class A common stock at $11.50 per share. The warrants were recorded as a derivative liability under ASC Topic 815, </w:t>
      </w:r>
      <w:r>
        <w:rPr>
          <w:rFonts w:ascii="Arial" w:cs="Arial" w:eastAsia="Arial" w:hAnsi="Arial"/>
          <w:sz w:val="14"/>
          <w:szCs w:val="14"/>
          <w:i w:val="1"/>
          <w:iCs w:val="1"/>
          <w:color w:val="auto"/>
        </w:rPr>
        <w:t>Derivatives and</w:t>
      </w:r>
      <w:r>
        <w:rPr>
          <w:rFonts w:ascii="Arial" w:cs="Arial" w:eastAsia="Arial" w:hAnsi="Arial"/>
          <w:sz w:val="14"/>
          <w:szCs w:val="14"/>
          <w:color w:val="auto"/>
        </w:rPr>
        <w:t xml:space="preserve"> </w:t>
      </w:r>
      <w:r>
        <w:rPr>
          <w:rFonts w:ascii="Arial" w:cs="Arial" w:eastAsia="Arial" w:hAnsi="Arial"/>
          <w:sz w:val="14"/>
          <w:szCs w:val="14"/>
          <w:i w:val="1"/>
          <w:iCs w:val="1"/>
          <w:color w:val="auto"/>
        </w:rPr>
        <w:t>Hedging</w:t>
      </w:r>
      <w:r>
        <w:rPr>
          <w:rFonts w:ascii="Arial" w:cs="Arial" w:eastAsia="Arial" w:hAnsi="Arial"/>
          <w:sz w:val="14"/>
          <w:szCs w:val="14"/>
          <w:color w:val="auto"/>
        </w:rPr>
        <w:t>, (“ASC 815”) and the warrant liability was initially valued at $30.5 million. See Note 11 for more information. The PIPE Investment was consummated concurrently with the closing of the</w:t>
      </w:r>
      <w:r>
        <w:rPr>
          <w:rFonts w:ascii="Arial" w:cs="Arial" w:eastAsia="Arial" w:hAnsi="Arial"/>
          <w:sz w:val="14"/>
          <w:szCs w:val="14"/>
          <w:i w:val="1"/>
          <w:iCs w:val="1"/>
          <w:color w:val="auto"/>
        </w:rPr>
        <w:t xml:space="preserve"> </w:t>
      </w:r>
      <w:r>
        <w:rPr>
          <w:rFonts w:ascii="Arial" w:cs="Arial" w:eastAsia="Arial" w:hAnsi="Arial"/>
          <w:sz w:val="14"/>
          <w:szCs w:val="14"/>
          <w:color w:val="auto"/>
        </w:rPr>
        <w:t>Merger.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Summary of Significant Accounting Policies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These consolidated financial statements should be read in conjunction with the audited consolidated financial statements and notes thereto included in our Annual Report on Form 10-K filed by the Company on March 9, 2022.</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Interim Financial Information</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accompanying interim unaudited condensed consolidated financial statements have been prepared in accordance with GAAP and pursuant to the rules and regulations of the Securities and Exchange Commission (the “SEC”). Certain information and footnote disclosures normally included in financial statements prepared in accordance with GAAP have been condensed or omitted pursuant to such rules and regulations. The balance sheet as of December 31, 2021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(“FASB”).</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unaudited interim condensed consolidated financial statements have been prepared on the same basis as the audited financial statements. In the opinion of the Company’s management, the accompanying unaudited interim condensed consolidated financial statements contain all adjustments that are necessary to present fairly the Company’s financial position as of March 31, 2022 and December 31, 2021, the net income (loss) for the three months ended March 31, 2022 and 2021, the stockholders’ equity (deficit) for the three months ended March 31, 2022 and 2021, and cash flows for the three months ended March 31, 2022 and 2021. Such adjustments are of a normal and recurring nature. The results for the three months ended March 31, 2022 are not necessarily indicative of the results for the year ending December 31, 2022, or for any future period. These interim condensed consolidated financial statements should be read in conjunction with the audited financial statements as of and for the years ended December 31, 2021 and 2020, filed with the SEC in in our Annual Report on Form 10-K filed by the Company on March 9, 2022.</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Business Combination was accounted for as a reverse recapitalization in accordance with GAAP. Under this method of accounting, SRAC is treated as the acquired company and Momentus Inc. is treated as the acquirer for financial statement reporting purposes (the “Combined Company”). Momentus Inc. was determined to be the accounting acquirer as Momentus Inc.'s stockholders prior to the Merger had the greatest voting interest in the combined entity, Momentus Inc. comprises all of the ongoing operations, and Momentus Inc.'s senior management directs operations of the combined entity.</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Accordingly, for accounting purposes, the financial statements of the Combined Company represent a continuation of the financial statements of Momentus with the acquisition being treated as the equivalent of Momentus issuing stock for the net assets of SRAC, accompanied by a recapitalization. The net assets of SRAC are recorded at historical cost, with no goodwill or other intangible assets recorded.</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One-time direct and incremental transaction costs incurred by the Company were recorded based on the activities to which the costs relate and the structure of the transaction; cost allocated to the issuance of equity were recorded as a reduction of the amount of equity raised, presented in additional paid in capital, while all costs allocated to the liability classified warrants were charged to expense.</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connection with the Business Combination, outstanding units of Momentus were converted into common stock of the Company, par value $0.00001 per share, representing a recapitalization. Momentus is deemed to be the predecessor of the Company, and the consolidated assets and liabilities and results of operations prior to the Closing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Date are those of Momentus. The shares and corresponding capital amounts and net income (loss) per share available to common stockholders, prior to the Business Combination, have been retroactively restated as shares reflecting the exchange ratio established in the Business Combination Agreement.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Reclassifications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Certain reclassifications have been made to the prior year’s financial statements to conform to the current year’s presentation. None of the reclassifications have changed the total assets, liabilities, stockholders’ deficit, income, expenses or net losses previously reported.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include the financial statements of all the subsidiaries. All inter-company transactions and balances have been eliminated upon consolidation.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in the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financial statements include, but are not limited to, accounting for useful lives of property, machinery and equipment, net, intangible assets, net, accrued liabilities, income taxes including deferred tax assets and liabilities, impairment valuation, stock-based awards, SAFE notes and warrant liabilities.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Pandemic</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of the COVID-19 pandemic, the U.S. government and various states implemented quarantine requirements and travel restrictions. The extent of the impact of COVID-19 on the Company’s financial statements will depend on future developments, including the duration of the outbreak, resurgences and emergence of variants, all of which are highly uncertain and cannot be predicted. The potential impact of COVID-19 on the Company’s operations is inherently difficult to predict and could adversely impact the Company’s business, financial condition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Emerging Growth Company Status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the Post-Combination Company has total annual gross revenue of $1.07 billion or more during such fiscal year (as indexed for inflation), (iii) the date on which the Company has issued more than $1 billion in non-convertible debt in the prior three-year period or (iv) December 31, 2024, and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Cash and cash equivalents consist of cash on hand, cash in bank with no restrictions, as well as highly liquid investments which are unrestricted as to withdrawal or use, and which have remaining maturities of three months or less when initially purchased.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Cash</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Restricted cash primarily represents deposited cash that is restricted by financial institutions for two purposes. $0.4 million is restricted as collateral for a letter of credit issued to the Company’s landlord in accordance with the terms of a lease agreement entered into in December 2020. A portion of this restricted cash ($0.1 million) is classified as a current asset as it will be returned to the Company one year following the completion of the Business Combination with SRAC, while the remaining $0.3 million is classified as a non-current asset as it will be returned to the Company upon the occurrence of future events which are expected to occur beyond at least one year from March 31, 2022.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Fulfillment and Prepaid Launch Costs</w:t>
      </w:r>
    </w:p>
    <w:p>
      <w:pPr>
        <w:spacing w:after="0" w:line="11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prepay for certain launch costs to third 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out payload weight on each launch.</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As of March 31, 2022, and December 31, 2021, the Company had $5.7 million and $3.0 million, respectively, of deferred fulfillment and prepaid launch costs in the accompanying consolidated balance sheets.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would be non-recoverable as this was the third time the payload was rescheduled. As a result of the notification from one of its launch service providers, the Company recorded an impairment charge of $8.7 million of prepaid launch costs during the three months ended June 30, 2021. There was an unrelated impairment of $0.8 million the three months ended March 31, 2021.</w:t>
      </w:r>
    </w:p>
    <w:p>
      <w:pPr>
        <w:spacing w:after="0" w:line="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October 12, 2021, the Company began discussions with the same launch service provider about reestablishing a future launch schedule. As a result of the discussion, the Company signed a Launch Services Agreement on October 19, 2021 that reserves space on an upcoming launch, which is targeted for May 2022. While securing space on the manifest is an important step, our plan to launch in May 2022 remains subject to the receipt of licenses and other government approvals, and successful completion of our current efforts to get the system ready for flight. The Company determined that $2.7 million of the impaired deposits were potentially recoverable in connection with the reestablished schedule. The Company did not record any adjustments as a result of the discussions. See Note 4.</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Machinery and Equipment, net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Property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Fixed Assets</w:t>
            </w:r>
          </w:p>
        </w:tc>
        <w:tc>
          <w:tcPr>
            <w:tcW w:w="80" w:type="dxa"/>
            <w:vAlign w:val="bottom"/>
            <w:tcBorders>
              <w:bottom w:val="single" w:sz="8" w:color="CCEEFF"/>
            </w:tcBorders>
          </w:tcPr>
          <w:p>
            <w:pPr>
              <w:spacing w:after="0"/>
              <w:rPr>
                <w:sz w:val="15"/>
                <w:szCs w:val="15"/>
                <w:color w:val="auto"/>
              </w:rPr>
            </w:pPr>
          </w:p>
        </w:tc>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Estimated Useful Life</w:t>
            </w:r>
          </w:p>
        </w:tc>
      </w:tr>
      <w:tr>
        <w:trPr>
          <w:trHeight w:val="20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Three years</w:t>
            </w:r>
          </w:p>
        </w:tc>
      </w:tr>
      <w:tr>
        <w:trPr>
          <w:trHeight w:val="19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8300" w:type="dxa"/>
            <w:vAlign w:val="bottom"/>
          </w:tcPr>
          <w:p>
            <w:pPr>
              <w:ind w:left="20"/>
              <w:spacing w:after="0"/>
              <w:rPr>
                <w:sz w:val="20"/>
                <w:szCs w:val="20"/>
                <w:color w:val="auto"/>
              </w:rPr>
            </w:pPr>
            <w:r>
              <w:rPr>
                <w:rFonts w:ascii="Arial" w:cs="Arial" w:eastAsia="Arial" w:hAnsi="Arial"/>
                <w:sz w:val="14"/>
                <w:szCs w:val="14"/>
                <w:color w:val="auto"/>
              </w:rPr>
              <w:t>Five years</w:t>
            </w:r>
          </w:p>
        </w:tc>
      </w:tr>
      <w:tr>
        <w:trPr>
          <w:trHeight w:val="20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Lesser of estimated useful life or remaining lease term (one year to seven years)</w:t>
            </w:r>
          </w:p>
        </w:tc>
      </w:tr>
      <w:tr>
        <w:trPr>
          <w:trHeight w:val="191"/>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Machinery and equipment</w:t>
            </w:r>
          </w:p>
        </w:tc>
        <w:tc>
          <w:tcPr>
            <w:tcW w:w="8300" w:type="dxa"/>
            <w:vAlign w:val="bottom"/>
          </w:tcPr>
          <w:p>
            <w:pPr>
              <w:ind w:left="20"/>
              <w:spacing w:after="0"/>
              <w:rPr>
                <w:sz w:val="20"/>
                <w:szCs w:val="20"/>
                <w:color w:val="auto"/>
              </w:rPr>
            </w:pPr>
            <w:r>
              <w:rPr>
                <w:rFonts w:ascii="Arial" w:cs="Arial" w:eastAsia="Arial" w:hAnsi="Arial"/>
                <w:sz w:val="14"/>
                <w:szCs w:val="14"/>
                <w:color w:val="auto"/>
              </w:rPr>
              <w:t>Seven years</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Costs of maintenance or repairs that do not extend the lives of the respective assets are charged to expenses as incurred.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Intangible assets consist of patents and cloud computing implementation costs (in accordance with ASU 2018-15) and are reported at cost less accumulated amortization and accumulated impairment loss, if any. Amortization is recognized on a straight-line basis over 10 years for patents, and 3 years for cloud computing implementation costs, which is the estimated useful lives of the intangible assets.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Offering costs consist of legal, accounting, underwriting fees and other costs incurred that were directly related to the Company’s Business Combination. Upon completion of the Business Combination, all deferred offering costs were netted with proceeds from the Business Combination, with costs relating to the issuance of equity recorded as a reduction of additional paid in capital, while all costs related to the liability classified warrants were charged to expense. See Note 3 for more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Contingencies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We estimate loss contingencies in accordance with ASC 450-20, </w:t>
      </w:r>
      <w:r>
        <w:rPr>
          <w:rFonts w:ascii="Arial" w:cs="Arial" w:eastAsia="Arial" w:hAnsi="Arial"/>
          <w:sz w:val="14"/>
          <w:szCs w:val="14"/>
          <w:i w:val="1"/>
          <w:iCs w:val="1"/>
          <w:color w:val="auto"/>
        </w:rPr>
        <w:t>Loss Contingencies</w:t>
      </w:r>
      <w:r>
        <w:rPr>
          <w:rFonts w:ascii="Arial" w:cs="Arial" w:eastAsia="Arial" w:hAnsi="Arial"/>
          <w:sz w:val="14"/>
          <w:szCs w:val="14"/>
          <w:color w:val="auto"/>
        </w:rPr>
        <w:t>, which states that a loss contingency shall be accrued by a charge to income if both of the following conditions are met: (a) information available before the consolidated financial statements are issued or are available to be issued indicates that it is probable that a liability had been incurred at the date of the consolidated financial statements and (b) the amount of loss can be reasonably estimated. We regularly evaluate current information available to us to determine whether such accruals should be adjusted and whether new accruals are required. Refer to Note 12.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 enters into contracts for ‘last-mile’ satellite and cargo delivery, payload hosting and in-orbit servicing options with customers that are primarily in the aerospace industry. From inception to March 31, 2022, the Company has not completed a commercial launch of customer cargo and as a result, has not recognized revenue to date for launch services. However, as of March 31, 2022, and December 31, 2021, the Company had collected $1.7 million and $1.6 million, respectively, in customer deposits related to signed contracts with customers, including firm orders and options (some of which have already been exercised by customers). These deposits are recorded as current and non-current contract liabilities in the Company’s consolidated balance sheets. Included in the collected amount as of March 31, 2022 are $1.7 million of non-current deposits. The Company’s first launch with customers is currently anticipated to occur as early as May 2022, subject to receipt of licenses and government approvals, and successful completion of our current efforts to get the system ready for flight. While a portion of the deposit balance relates to performance obligations that may be satisfied over the next twelve months, the Company will classify customer deposits as non-current until the inaugural launch date is reasonably assured.</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will recognize revenue (along with any other fees that have been paid) upon the earlier of the satisfaction of the Company’s performance obligation or when the customer cancels the contract. For the year ended December 31, 2021, the Company recognized revenue related to customer cancelled contracts of $0.3 million, which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were previously recorded as a contract liability. The Company also recorded $(0.1) million as a reduction of cost of revenue which represents the reversal of a contingency recorded during the prior year for loss contracts, partially offset by costs incurred related to one of the cancelled contracts. During the year ended December 31, 2021, in conjunction with the isolated refunds described below, the Company signed amendments with those customers considered in the contingency, such that the services will no longer be free of charge.</w:t>
      </w:r>
    </w:p>
    <w:p>
      <w:pPr>
        <w:spacing w:after="0" w:line="7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during the year ended December 31, 2021.</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78" w:lineRule="exact"/>
        <w:rPr>
          <w:sz w:val="20"/>
          <w:szCs w:val="20"/>
          <w:color w:val="auto"/>
        </w:rPr>
      </w:pPr>
    </w:p>
    <w:p>
      <w:pPr>
        <w:ind w:left="380" w:hanging="120"/>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1, observable inputs such as quoted prices in active markets;</w:t>
      </w:r>
    </w:p>
    <w:p>
      <w:pPr>
        <w:spacing w:after="0" w:line="125" w:lineRule="exact"/>
        <w:rPr>
          <w:rFonts w:ascii="Arial" w:cs="Arial" w:eastAsia="Arial" w:hAnsi="Arial"/>
          <w:sz w:val="14"/>
          <w:szCs w:val="14"/>
          <w:color w:val="auto"/>
        </w:rPr>
      </w:pPr>
    </w:p>
    <w:p>
      <w:pPr>
        <w:ind w:left="380" w:hanging="120"/>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2, inputs other than the quoted prices in active markets that are observable either directly or indirectly, and</w:t>
      </w:r>
    </w:p>
    <w:p>
      <w:pPr>
        <w:spacing w:after="0" w:line="125" w:lineRule="exact"/>
        <w:rPr>
          <w:rFonts w:ascii="Arial" w:cs="Arial" w:eastAsia="Arial" w:hAnsi="Arial"/>
          <w:sz w:val="14"/>
          <w:szCs w:val="14"/>
          <w:color w:val="auto"/>
        </w:rPr>
      </w:pPr>
    </w:p>
    <w:p>
      <w:pPr>
        <w:ind w:left="380" w:hanging="120"/>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3, unobservable inputs in which there is little or no market data, which requires that the Company develop its own assumptions.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months and fiscal year ended March 31, 2022 and December 31, 2021.</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SAFE note liabilities, prior to conversion, were marked-to-market liabilities pursuant to ASC 480 and are classified within Level 3 of the fair value hierarchy as the Company is using a backsolve method within the Black Scholes Option Pricing model, which allowed the Company to solve for the implied value of the business based on the terms of the SAFE investments. Significant unobservable inputs included volatility and expected term. Volatility is based upon on the actual historical volatility of a group of comparable publicly traded companies observed over a historical period equal to the expected remaining life of the SAFE investments. The expected term was based on the anticipated time until the SAFE investments would have a conversion event. Upon conversion, the SAFE notes were valued based on the closing price of Company’s common stock on the Closing Date.</w:t>
      </w:r>
    </w:p>
    <w:p>
      <w:pPr>
        <w:spacing w:after="0" w:line="9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Company’s warrants are recorded as a derivative liability pursuant to ASC 815 and are classified within Level 3 of the fair value hierarchy as the Company is using the Black Scholes Option Pricing model. Significant unobservable inputs include stock price, volatility and expected term.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common stock on the Closing Date, as the expected term and volatility were immaterial to the pricing model.</w:t>
      </w:r>
    </w:p>
    <w:p>
      <w:pPr>
        <w:spacing w:after="0" w:line="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performance awards under the equity incentive plans are recorded as contingent liabilities pursuant to ASC 480, measured at fair value. The performance awards are classified within Level 3 of the hierarchy as the fair value is dependent on management assumptions about the likelihood of non-market outcomes (see Note 11). There were no transfers between levels of input during the three months ended March 31, 2022 and 2021.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Liability</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private warrants and stock purchase warrants (discussed in Note 11) are recorded as derivative liabilities pursuant to ASC 815 and are classified within Level 3 of the fair value hierarchy as the Company is using the Black Scholes Option Pricing model to calculate fair value. Significant unobservable inputs, prior to the Company’s stock being publicly listed, included stock price, volatility and expected term. At the end of each reporting period, changes in fair value during the period are recognized as a components of other income (expense), net within the consolidated statements of operations. The Company will continue to adjust the warrant liabilities for changes in fair value until the earlier of a) the exercise or expiration of the warrants or b) the redemption of the warrants, at which time the warrants will be reclassified to additional paid-in capital.</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warrants issued by Momentus Inc. prior to the Business Combination were exercised in connection with the Business Combination and as a result, the Company performed a fair value measurement of those warrants on the Closing Date and recorded the change in the instruments’ fair values prior to converting them to equity. The warrants assumed by the Company as a result of the Business Combination remain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SAFE Notes</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issued Simple Agreement for Future Equity (“SAFE”) notes to investors during the three months ended March 31, 2021 and the years ended December 31, 2020 and 2019, which were converted to shares of common stock in connection with the Business Combination. Prior to conversion, the Company determined that the SAFE notes were not a legal form of debt (i.e., no creditors’ rights). The SAFE notes included a provision allowing for the investors to receive a portion of the proceeds upon a change of control equal to the greater of their investment amount or the amount payable based upon a number of shares of common stock equal to the investment amount divided by the liquidity price, the occurrence of which is outside the control of the Company. This provision required that the SAFE notes be classified as marked-to-market liabilities pursuant to ASC 480. See Note 9 for more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Basic and Diluted Income (Loss) Per Share</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Net income (loss) per share is provided in accordance with FASB ASC 260-10, “Earnings per Share”. Basic net income (loss) per share is computed by dividing losses by the weighted average number of common shares outstanding during the period. Diluted income (loss) per share gives effect to all dilutive potential common shares outstanding during the period. Diluted loss per share excludes all potential common shares and SAFE notes if their effect is anti-dilutive. See Note 11.</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months ended March 31, 2022 and 2021 there were immaterial impairments of long-lived assets. See Note 5 and Note 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has a stock incentive plan under which equity awards are granted to employees, directors, and consultants. All stock-based payments are recognized in the consolidated financial statements based on their respective grant date fair values.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 month expected term to conform with the six month ESPP offering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fair value of equity awards are expensed over the related service period which is typically the vesting period, and expense is only recognized for awards that are expected to vest. The Company accounts for forfeitures as they occur.</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Once the Company has achieved technological feasibility, the Company will capitalize the costs to construct any additional components of the vehicle systems.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2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leases real estate facilities under non-cancelable operating leases with various expiration dates through February 2028. The Company determines if an arrangement contains a lease at inception based on whether there is an identified property, plant or equipment and whether the Company controls the use of the identified asset throughout the period of use.</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adopted the ASU No. 2016-02, Leases (Topic 842) on January 1, 2020. The Company elected the package of practical expedients for transition under which the Company did not reassess its prior conclusions about lease identification, lease classification and initial direct costs. Additionally, the Company elected the hindsight practical expedient for transition under which conclusions around lease term and impairment will not be reassessed.</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Operating leases are included in the accompanying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9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are incurred. In addition, the Company elected the practical expedient such that it does not recognize ROU assets or lease liabilities for leases with a term of 12 months or less of all asset classes. Operating lease expense is recognized on a straight-line basis over the lease term.</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measured using the enacted tax rate expected to apply to taxable income in the years in which the differences are expected to be reversed.</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is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Risk</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280, “Segment Reporting,” we are not organized around specific services or geographic regions. We currently operate in one service line providing in-space transportation services.</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chief operating decision maker uses condensed financial information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Standards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Standards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Accounting for Convertible Instruments and Contracts in an Entity’s Own Equity</w:t>
      </w:r>
      <w:r>
        <w:rPr>
          <w:rFonts w:ascii="Arial" w:cs="Arial" w:eastAsia="Arial" w:hAnsi="Arial"/>
          <w:sz w:val="14"/>
          <w:szCs w:val="14"/>
          <w:color w:val="auto"/>
        </w:rPr>
        <w:t>, which simplifies the guidance on the issuer’s accounting for convertible debt instruments by removing the separation models for (1) convertible debt with a cash conversion feature and (2) convertible instruments with a beneficial conversion feature. As a result, entities will not separately present in equity an embedded conversion feature in such debt. Instead, they will account for a convertible debt instrument wholly as debt, unless certain other conditions are met. The elimination of these models will reduce reported interest expense and increase reported net income for entities that have issued a convertible instrument that was within the scope of those models before the adoption of ASU 2020-06. Also, ASU 2020-06 requires the application of the if-converted method for calculating diluted earnings per share and the treasury stock method will be no longer available. The provisions of ASU 2020-06 are applicable for fiscal years beginning after December 15, 2021, with early adoption permitted no earlier than fiscal years beginning after December 15, 2020. The Company adopted this standard 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January 1, 2022. There was no impact to the Company's condensed consolidated financial statements on the date of adoption.</w:t>
      </w:r>
    </w:p>
    <w:p>
      <w:pPr>
        <w:spacing w:after="0" w:line="11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In December 2019, the FASB issued ASU 2019-12,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(Topic 740): Simplifying the accounting for income taxes, which simplifies the accounting for income taxes by removing certain exceptions to the general principles in income taxes. The amendments also improve consistent application of and simplify GAAP for other areas of Topic 740 by clarifying and amending existing guidance. The Company adopted this standard on January 1, 2021. The adoption of this standard did not have a material impact on the Company’s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Reverse Recapitalization</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discussed in Note 1, "</w:t>
      </w:r>
      <w:r>
        <w:rPr>
          <w:rFonts w:ascii="Arial" w:cs="Arial" w:eastAsia="Arial" w:hAnsi="Arial"/>
          <w:sz w:val="14"/>
          <w:szCs w:val="14"/>
          <w:i w:val="1"/>
          <w:iCs w:val="1"/>
          <w:color w:val="auto"/>
        </w:rPr>
        <w:t>Nature of Operations,</w:t>
      </w:r>
      <w:r>
        <w:rPr>
          <w:rFonts w:ascii="Arial" w:cs="Arial" w:eastAsia="Arial" w:hAnsi="Arial"/>
          <w:sz w:val="14"/>
          <w:szCs w:val="14"/>
          <w:color w:val="auto"/>
        </w:rPr>
        <w:t>" on the Closing Date, SRAC completed the acquisition of Momentus Inc. and acquired 100% of Momentus Inc.’s shares and Momentus Inc. received gross proceeds of $247.3 million, which included $110.0 million in proceeds from the PIPE Investment, and $137.3 million in proceeds from issuance of common stock upon the closing of the Business Combination.</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Proceeds from the issuance of common stock comprised of $172.5 million of public investment in SRAC, reduced by redemptions of $35.6 million. SRAC had additional stockholder deficit of $8.5 million, inclusive of $0.4 million of additional cash in trust from operations, which reduced the total proceeds to $238.8 million.</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Merger was accounted for as a reverse recapitalization under ASC 805, with Momentus Inc. as the accounting acquirer and SRAC as the acquired company for accounting purposes. Momentus Inc. was determined to be the accounting acquirer as Momentus Inc.'s stockholders prior to the Merger had the greatest voting interest in the combined entity, Momentus Inc. comprises all of the ongoing operations, and Momentus Inc.'s senior management directs operations of the combined entity. Accordingly, all historical financial information presented in these unaudited condensed consolidated financial statements represents the accounts of Momentus Inc. and its wholly owned subsidiary. Net assets were stated at historical cost consistent with the treatment of the transaction as a reverse recapitalization of Momentus Inc.</w:t>
      </w: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One-time direct and incremental transaction costs incurred by the Company were recorded based on the activities to which the costs relate and the structure of the transaction. Costs of $27.8 million allocated to the issuance of equity were recorded as a reduction of equity raised, presented in additional paid in capital, while costs of $4.8 million allocated to the liability classified warrants were charged to expense. On the Closing Date, each holder of Momentus Inc. preferred and common stock received approximately 0.2467416 shares of the Company’s Class A common stock, par value $0.00001 per share. See Note 11 for additional details of the Company's stockholders' equity (deficit) prior to and subsequent to the Merger.</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All equity awards of Momentus Inc. were assumed by the Company and converted into comparable equity awards that are settled or exercisable for shares of the Company’s Class A common stock. As a result, each outstanding stock option was converted into an option to purchase shares of the Company’s Class A common stock based on an exchange ratio of 0.2467416, and each outstanding restricted stock award was converted into restricted stock awards of the Company that, upon vesting, may be settled for shares of the Company’s Class A common stock based on an exchange ratio of 0.2467416.</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Outstanding private warrants of Momentus Inc. common stock were also converted into warrants to purchase shares of the Company’s Class A common stock based on an exchange ratio of 0.2467416.</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Each public and private warrant of SRAC that was unexercised at the time of the Merger was assumed by the Company and represents the right to purchase one share of the Company’s Class A common stock upon exercise of such warrant. See Note 11 for more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Lock-up Agreements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conjunction with the Closing, certain insider stockholders executed lock-up agreements, pursuant to which such stockholders agree not to transfer any shares of Class A common stock for a period of six months after the Closing or, if earlier, the first date the closing price of the Class A common stock equals or exceeds $12.00 per share for any 20 trading days within any 30-trading day period following the Closing.</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PIPE Investment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October 7, 2020 and July 15, 2021, SRAC entered into subscription agreements with the PIPE Investors to which such investors collectively subscribed for an aggregate of 11,000,000 shares of the Company’s Class A common stock at $10.00 per share for aggregate gross proceeds of $110.0 million. The PIPE Investors were also granted an equal number of private warrants to purchase the Company’s Class A common stock at $11.50 per share. The warrants were recorded as a derivative liability under ASC 815</w:t>
      </w:r>
      <w:r>
        <w:rPr>
          <w:rFonts w:ascii="Arial" w:cs="Arial" w:eastAsia="Arial" w:hAnsi="Arial"/>
          <w:sz w:val="14"/>
          <w:szCs w:val="14"/>
          <w:i w:val="1"/>
          <w:iCs w:val="1"/>
          <w:color w:val="auto"/>
        </w:rPr>
        <w:t>,</w:t>
      </w:r>
      <w:r>
        <w:rPr>
          <w:rFonts w:ascii="Arial" w:cs="Arial" w:eastAsia="Arial" w:hAnsi="Arial"/>
          <w:sz w:val="14"/>
          <w:szCs w:val="14"/>
          <w:color w:val="auto"/>
        </w:rPr>
        <w:t xml:space="preserve"> and the warrant liability was initially valued at $30.5 million. See Note 11 for more information. The PIPE Investment was consummated concurrently with the closing of the Merger.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Prepaids and Other Current Assets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Prepaids and other current assets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jc w:val="center"/>
              <w:ind w:left="374"/>
              <w:spacing w:after="0"/>
              <w:rPr>
                <w:sz w:val="20"/>
                <w:szCs w:val="20"/>
                <w:color w:val="auto"/>
              </w:rPr>
            </w:pPr>
            <w:r>
              <w:rPr>
                <w:rFonts w:ascii="Arial" w:cs="Arial" w:eastAsia="Arial" w:hAnsi="Arial"/>
                <w:sz w:val="13"/>
                <w:szCs w:val="13"/>
                <w:b w:val="1"/>
                <w:bCs w:val="1"/>
                <w:color w:val="auto"/>
                <w:w w:val="93"/>
              </w:rPr>
              <w:t>March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35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8060" w:type="dxa"/>
            <w:vAlign w:val="bottom"/>
            <w:vMerge w:val="continue"/>
          </w:tcPr>
          <w:p>
            <w:pPr>
              <w:spacing w:after="0"/>
              <w:rPr>
                <w:sz w:val="14"/>
                <w:szCs w:val="14"/>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Prepaid research and development</w:t>
            </w: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4,108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4,870</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insurance and other assets</w:t>
            </w:r>
          </w:p>
        </w:tc>
        <w:tc>
          <w:tcPr>
            <w:tcW w:w="1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4,562</w:t>
            </w:r>
          </w:p>
        </w:tc>
        <w:tc>
          <w:tcPr>
            <w:tcW w:w="0" w:type="dxa"/>
            <w:vAlign w:val="bottom"/>
          </w:tcPr>
          <w:p>
            <w:pPr>
              <w:spacing w:after="0"/>
              <w:rPr>
                <w:sz w:val="1"/>
                <w:szCs w:val="1"/>
                <w:color w:val="auto"/>
              </w:rPr>
            </w:pPr>
          </w:p>
        </w:tc>
      </w:tr>
      <w:tr>
        <w:trPr>
          <w:trHeight w:val="171"/>
        </w:trPr>
        <w:tc>
          <w:tcPr>
            <w:tcW w:w="8060" w:type="dxa"/>
            <w:vAlign w:val="bottom"/>
          </w:tcPr>
          <w:p>
            <w:pPr>
              <w:ind w:left="180"/>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120"/>
        <w:spacing w:after="0" w:line="419" w:lineRule="auto"/>
        <w:rPr>
          <w:sz w:val="20"/>
          <w:szCs w:val="20"/>
          <w:color w:val="auto"/>
        </w:rPr>
      </w:pPr>
      <w:r>
        <w:rPr>
          <w:rFonts w:ascii="Arial" w:cs="Arial" w:eastAsia="Arial" w:hAnsi="Arial"/>
          <w:sz w:val="14"/>
          <w:szCs w:val="14"/>
          <w:color w:val="auto"/>
        </w:rPr>
        <w:t xml:space="preserve">As of March 31, 2022 and December 31, 2021, the non-current portion of prepaid launch costs recorded in other non-current assets was $5.7 million and $3.0 million, respectively. </w:t>
      </w:r>
      <w:r>
        <w:rPr>
          <w:rFonts w:ascii="Arial" w:cs="Arial" w:eastAsia="Arial" w:hAnsi="Arial"/>
          <w:sz w:val="14"/>
          <w:szCs w:val="14"/>
          <w:b w:val="1"/>
          <w:bCs w:val="1"/>
          <w:i w:val="1"/>
          <w:iCs w:val="1"/>
          <w:color w:val="auto"/>
        </w:rPr>
        <w:t>FAA application</w:t>
      </w:r>
    </w:p>
    <w:p>
      <w:pPr>
        <w:jc w:val="both"/>
        <w:spacing w:after="0" w:line="262" w:lineRule="auto"/>
        <w:rPr>
          <w:sz w:val="20"/>
          <w:szCs w:val="20"/>
          <w:color w:val="auto"/>
        </w:rPr>
      </w:pPr>
      <w:r>
        <w:rPr>
          <w:rFonts w:ascii="Arial" w:cs="Arial" w:eastAsia="Arial" w:hAnsi="Arial"/>
          <w:sz w:val="14"/>
          <w:szCs w:val="14"/>
          <w:color w:val="auto"/>
        </w:rPr>
        <w:t>On May 10, 2021, the Company received a letter from the U.S. Federal Aviation Administration (“FAA”) denying the Company’s application for a payload review for the then-planned June 2021 launch. According to the letter, during an interagency consultation, the FAA was informed that the launch of the Company’s payload posed national security concerns associated with the Company’s then-current corporate structure. The letter further stated that the FAA understood that the Company was undergoing a process that might resolve the national security concerns, and that the FAA could reconsider a payload application when that process was completed.</w:t>
      </w: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As a result of the FAA application denial,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were non-recoverable as this was the third time the payload was rescheduled. As a result of the notification from one of its launch service providers, the Company recorded an impairment charge of $8.7 million of prepaid launch costs during the three months ended June 30, 2021. There was an unrelated impairment of $0.8 million for the three months ended March 31, 2021.</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October 12, 2021, the Company began discussions with the same launch service provider about reestablishing a future launch schedule. As a result of the discussion, the Company signed a Launch Services Agreement on October 19, 2021 that reserves space on an upcoming launch, which is targeted for May 2022. While securing space on the manifest is an important step, our plan to launch in May 2022 remains subject to the receipt of licenses and other government approvals, and successful completion of our current efforts to get the system ready for flight. The Company determined that $2.7 million of the impaired deposits were potentially recoverable in connection with the reestablished schedule. The Company did not record any adjustments as a result of the discussions.</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Property, Machinery and Equipment, net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Property, machinery and equipment, net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391"/>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86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1180" w:type="dxa"/>
            <w:vAlign w:val="bottom"/>
            <w:shd w:val="clear" w:color="auto" w:fill="CCEEFF"/>
          </w:tcPr>
          <w:p>
            <w:pPr>
              <w:jc w:val="right"/>
              <w:ind w:right="103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1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1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in-progress</w:t>
            </w:r>
          </w:p>
        </w:tc>
        <w:tc>
          <w:tcPr>
            <w:tcW w:w="1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71"/>
        </w:trPr>
        <w:tc>
          <w:tcPr>
            <w:tcW w:w="7860" w:type="dxa"/>
            <w:vAlign w:val="bottom"/>
          </w:tcPr>
          <w:p>
            <w:pPr>
              <w:ind w:left="180"/>
              <w:spacing w:after="0"/>
              <w:rPr>
                <w:sz w:val="20"/>
                <w:szCs w:val="20"/>
                <w:color w:val="auto"/>
              </w:rPr>
            </w:pPr>
            <w:r>
              <w:rPr>
                <w:rFonts w:ascii="Arial" w:cs="Arial" w:eastAsia="Arial" w:hAnsi="Arial"/>
                <w:sz w:val="14"/>
                <w:szCs w:val="14"/>
                <w:color w:val="auto"/>
              </w:rPr>
              <w:t>Property, machinery and equipment, gross</w:t>
            </w:r>
          </w:p>
        </w:tc>
        <w:tc>
          <w:tcPr>
            <w:tcW w:w="1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6,728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6,656</w:t>
            </w: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1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71"/>
        </w:trPr>
        <w:tc>
          <w:tcPr>
            <w:tcW w:w="7860" w:type="dxa"/>
            <w:vAlign w:val="bottom"/>
          </w:tcPr>
          <w:p>
            <w:pPr>
              <w:ind w:left="180"/>
              <w:spacing w:after="0"/>
              <w:rPr>
                <w:sz w:val="20"/>
                <w:szCs w:val="20"/>
                <w:color w:val="auto"/>
              </w:rPr>
            </w:pPr>
            <w:r>
              <w:rPr>
                <w:rFonts w:ascii="Arial" w:cs="Arial" w:eastAsia="Arial" w:hAnsi="Arial"/>
                <w:sz w:val="14"/>
                <w:szCs w:val="14"/>
                <w:color w:val="auto"/>
              </w:rPr>
              <w:t>Property, machinery and equipment, net</w:t>
            </w:r>
          </w:p>
        </w:tc>
        <w:tc>
          <w:tcPr>
            <w:tcW w:w="1180" w:type="dxa"/>
            <w:vAlign w:val="bottom"/>
            <w:tcBorders>
              <w:bottom w:val="single" w:sz="8" w:color="auto"/>
            </w:tcBorders>
          </w:tcPr>
          <w:p>
            <w:pPr>
              <w:jc w:val="right"/>
              <w:ind w:right="103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related to property, machinery and equipment was $0.3 million and $0.2 million for the three months ended March 31, 2022 and 2021,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Intangible Assets, net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 consisted of the following as of March 31,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4"/>
                <w:szCs w:val="14"/>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Value</w:t>
            </w:r>
          </w:p>
        </w:tc>
        <w:tc>
          <w:tcPr>
            <w:tcW w:w="22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8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Net Value</w:t>
            </w:r>
          </w:p>
        </w:tc>
        <w:tc>
          <w:tcPr>
            <w:tcW w:w="8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 remaining</w:t>
            </w:r>
          </w:p>
        </w:tc>
        <w:tc>
          <w:tcPr>
            <w:tcW w:w="0" w:type="dxa"/>
            <w:vAlign w:val="bottom"/>
          </w:tcPr>
          <w:p>
            <w:pPr>
              <w:spacing w:after="0"/>
              <w:rPr>
                <w:sz w:val="1"/>
                <w:szCs w:val="1"/>
                <w:color w:val="auto"/>
              </w:rPr>
            </w:pPr>
          </w:p>
        </w:tc>
      </w:tr>
      <w:tr>
        <w:trPr>
          <w:trHeight w:val="180"/>
        </w:trPr>
        <w:tc>
          <w:tcPr>
            <w:tcW w:w="3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amortization period (in years)</w:t>
            </w: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Patents/Intellectual Property</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8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7.3</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Capitalized cloud implementation costs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2480" w:type="dxa"/>
            <w:vAlign w:val="bottom"/>
            <w:tcBorders>
              <w:bottom w:val="single" w:sz="8" w:color="CCEEFF"/>
            </w:tcBorders>
            <w:gridSpan w:val="2"/>
          </w:tcPr>
          <w:p>
            <w:pPr>
              <w:jc w:val="center"/>
              <w:ind w:left="29"/>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8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 consisted of the following as of December 31,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Gross Value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Net Value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 remaining</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amortization period (in years)</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Patents/Intellectual Property</w:t>
            </w:r>
          </w:p>
        </w:tc>
        <w:tc>
          <w:tcPr>
            <w:tcW w:w="1220" w:type="dxa"/>
            <w:vAlign w:val="bottom"/>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089"/>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Capitalized cloud implementation costs</w:t>
            </w:r>
          </w:p>
        </w:tc>
        <w:tc>
          <w:tcPr>
            <w:tcW w:w="1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2480" w:type="dxa"/>
            <w:vAlign w:val="bottom"/>
            <w:tcBorders>
              <w:bottom w:val="single" w:sz="8" w:color="CCEEFF"/>
            </w:tcBorders>
            <w:gridSpan w:val="2"/>
          </w:tcPr>
          <w:p>
            <w:pPr>
              <w:jc w:val="center"/>
              <w:ind w:left="29"/>
              <w:spacing w:after="0"/>
              <w:rPr>
                <w:sz w:val="20"/>
                <w:szCs w:val="20"/>
                <w:color w:val="auto"/>
              </w:rPr>
            </w:pPr>
            <w:r>
              <w:rPr>
                <w:rFonts w:ascii="Arial" w:cs="Arial" w:eastAsia="Arial" w:hAnsi="Arial"/>
                <w:sz w:val="14"/>
                <w:szCs w:val="14"/>
                <w:color w:val="auto"/>
                <w:w w:val="92"/>
              </w:rPr>
              <w:t>2.6</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8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related to intangible assets was $0.04 million and $0.01 million for the three months ended March 31, 2022 and 2021,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As of March 31, 2022, the future estimated amortization expense related to intangible assets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684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0"/>
        </w:trPr>
        <w:tc>
          <w:tcPr>
            <w:tcW w:w="3340" w:type="dxa"/>
            <w:vAlign w:val="bottom"/>
          </w:tcPr>
          <w:p>
            <w:pPr>
              <w:ind w:left="20"/>
              <w:spacing w:after="0"/>
              <w:rPr>
                <w:sz w:val="20"/>
                <w:szCs w:val="20"/>
                <w:color w:val="auto"/>
              </w:rPr>
            </w:pPr>
            <w:r>
              <w:rPr>
                <w:rFonts w:ascii="Arial" w:cs="Arial" w:eastAsia="Arial" w:hAnsi="Arial"/>
                <w:sz w:val="14"/>
                <w:szCs w:val="14"/>
                <w:color w:val="auto"/>
              </w:rPr>
              <w:t>2023</w:t>
            </w:r>
          </w:p>
        </w:tc>
        <w:tc>
          <w:tcPr>
            <w:tcW w:w="5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0"/>
        </w:trPr>
        <w:tc>
          <w:tcPr>
            <w:tcW w:w="3340" w:type="dxa"/>
            <w:vAlign w:val="bottom"/>
          </w:tcPr>
          <w:p>
            <w:pPr>
              <w:ind w:left="20"/>
              <w:spacing w:after="0"/>
              <w:rPr>
                <w:sz w:val="20"/>
                <w:szCs w:val="20"/>
                <w:color w:val="auto"/>
              </w:rPr>
            </w:pPr>
            <w:r>
              <w:rPr>
                <w:rFonts w:ascii="Arial" w:cs="Arial" w:eastAsia="Arial" w:hAnsi="Arial"/>
                <w:sz w:val="14"/>
                <w:szCs w:val="14"/>
                <w:color w:val="auto"/>
              </w:rPr>
              <w:t>2025</w:t>
            </w:r>
          </w:p>
        </w:tc>
        <w:tc>
          <w:tcPr>
            <w:tcW w:w="5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9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59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jc w:val="right"/>
              <w:ind w:right="3469"/>
              <w:spacing w:after="0"/>
              <w:rPr>
                <w:sz w:val="20"/>
                <w:szCs w:val="20"/>
                <w:color w:val="auto"/>
              </w:rPr>
            </w:pPr>
            <w:r>
              <w:rPr>
                <w:rFonts w:ascii="Arial" w:cs="Arial" w:eastAsia="Arial" w:hAnsi="Arial"/>
                <w:sz w:val="14"/>
                <w:szCs w:val="14"/>
                <w:color w:val="auto"/>
              </w:rPr>
              <w:t>20</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34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40" w:type="dxa"/>
            <w:vAlign w:val="bottom"/>
            <w:tcBorders>
              <w:bottom w:val="single" w:sz="8" w:color="9A9A9A"/>
            </w:tcBorders>
          </w:tcPr>
          <w:p>
            <w:pPr>
              <w:spacing w:after="0"/>
              <w:rPr>
                <w:sz w:val="7"/>
                <w:szCs w:val="7"/>
                <w:color w:val="auto"/>
              </w:rPr>
            </w:pPr>
          </w:p>
        </w:tc>
        <w:tc>
          <w:tcPr>
            <w:tcW w:w="59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0" w:name="page21"/>
    <w:bookmarkEnd w:id="20"/>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There were no intangible asset impairments during both the three months ended March 31, 2022 and 2021.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Leases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leases office space under non-cancellable operating leases with terms expiring from April 2022 through February 2028. The leases require monthly lease payments that are subject to annual increase throughout the lease term.</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January 2021, the Company commenced a lease at a new location in San Jose, California. The lease expires in February 2028. The Company is obligated to pay approximately $11 million over the term of the lease. Prior to December 31, 2021, the Company modified two minor leases to extend access until April 2022 to aid the full transition to the San Jose facility. The Company has one additional minor lease expiring in November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40" w:type="dxa"/>
            <w:vAlign w:val="bottom"/>
          </w:tcPr>
          <w:p>
            <w:pPr>
              <w:spacing w:after="0"/>
              <w:rPr>
                <w:sz w:val="20"/>
                <w:szCs w:val="20"/>
                <w:color w:val="auto"/>
              </w:rPr>
            </w:pPr>
            <w:r>
              <w:rPr>
                <w:rFonts w:ascii="Arial" w:cs="Arial" w:eastAsia="Arial" w:hAnsi="Arial"/>
                <w:sz w:val="14"/>
                <w:szCs w:val="14"/>
                <w:color w:val="auto"/>
              </w:rPr>
              <w:t>The components of operating lease expense were as follows: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3"/>
                <w:szCs w:val="13"/>
                <w:color w:val="auto"/>
              </w:rPr>
            </w:pPr>
          </w:p>
        </w:tc>
        <w:tc>
          <w:tcPr>
            <w:tcW w:w="3220" w:type="dxa"/>
            <w:vAlign w:val="bottom"/>
            <w:gridSpan w:val="8"/>
          </w:tcPr>
          <w:p>
            <w:pPr>
              <w:jc w:val="right"/>
              <w:ind w:right="1010"/>
              <w:spacing w:after="0" w:line="159"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spacing w:after="0"/>
              <w:rPr>
                <w:sz w:val="14"/>
                <w:szCs w:val="14"/>
                <w:color w:val="auto"/>
              </w:rPr>
            </w:pPr>
          </w:p>
        </w:tc>
        <w:tc>
          <w:tcPr>
            <w:tcW w:w="1340" w:type="dxa"/>
            <w:vAlign w:val="bottom"/>
            <w:tcBorders>
              <w:bottom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440</w:t>
            </w:r>
          </w:p>
        </w:tc>
        <w:tc>
          <w:tcPr>
            <w:tcW w:w="8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lease expense</w:t>
            </w: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color w:val="auto"/>
              </w:rPr>
              <w:t>591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Variable lease expense consists of the Company’s proportionate share of operating expenses, property taxes, and insurance.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40" w:type="dxa"/>
            <w:vAlign w:val="bottom"/>
          </w:tcPr>
          <w:p>
            <w:pPr>
              <w:spacing w:after="0"/>
              <w:rPr>
                <w:sz w:val="20"/>
                <w:szCs w:val="20"/>
                <w:color w:val="auto"/>
              </w:rPr>
            </w:pPr>
            <w:r>
              <w:rPr>
                <w:rFonts w:ascii="Arial" w:cs="Arial" w:eastAsia="Arial" w:hAnsi="Arial"/>
                <w:sz w:val="14"/>
                <w:szCs w:val="14"/>
                <w:color w:val="auto"/>
                <w:w w:val="95"/>
              </w:rPr>
              <w:t>As of March 31, 2022, the weighted-average remaining lease term was 5.9 years and the weighted-average discount rate was 5.7%.</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840" w:type="dxa"/>
            <w:vAlign w:val="bottom"/>
          </w:tcPr>
          <w:p>
            <w:pPr>
              <w:spacing w:after="0"/>
              <w:rPr>
                <w:sz w:val="20"/>
                <w:szCs w:val="20"/>
                <w:color w:val="auto"/>
              </w:rPr>
            </w:pPr>
            <w:r>
              <w:rPr>
                <w:rFonts w:ascii="Arial" w:cs="Arial" w:eastAsia="Arial" w:hAnsi="Arial"/>
                <w:sz w:val="14"/>
                <w:szCs w:val="14"/>
                <w:color w:val="auto"/>
              </w:rPr>
              <w:t>As of March 31, 2022, the maturities of the Company’s operating lease liabilities were as follows:</w:t>
            </w: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2025</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lease payments</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9,628</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Present value of lease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Note 8. Accrued Expenses</w:t>
            </w: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40" w:type="dxa"/>
            <w:vAlign w:val="bottom"/>
          </w:tcPr>
          <w:p>
            <w:pPr>
              <w:spacing w:after="0"/>
              <w:rPr>
                <w:sz w:val="20"/>
                <w:szCs w:val="20"/>
                <w:color w:val="auto"/>
              </w:rPr>
            </w:pPr>
            <w:r>
              <w:rPr>
                <w:rFonts w:ascii="Arial" w:cs="Arial" w:eastAsia="Arial" w:hAnsi="Arial"/>
                <w:sz w:val="14"/>
                <w:szCs w:val="14"/>
                <w:color w:val="auto"/>
              </w:rPr>
              <w:t>Accrued expenses consisted of the following:</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350"/>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0"/>
        </w:trPr>
        <w:tc>
          <w:tcPr>
            <w:tcW w:w="7840" w:type="dxa"/>
            <w:vAlign w:val="bottom"/>
            <w:vMerge w:val="continue"/>
          </w:tcPr>
          <w:p>
            <w:pPr>
              <w:spacing w:after="0"/>
              <w:rPr>
                <w:sz w:val="14"/>
                <w:szCs w:val="14"/>
                <w:color w:val="auto"/>
              </w:rPr>
            </w:pPr>
          </w:p>
        </w:tc>
        <w:tc>
          <w:tcPr>
            <w:tcW w:w="1340" w:type="dxa"/>
            <w:vAlign w:val="bottom"/>
            <w:gridSpan w:val="2"/>
          </w:tcPr>
          <w:p>
            <w:pPr>
              <w:jc w:val="right"/>
              <w:ind w:right="132"/>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59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1"/>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Legal and other professional services</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gridSpan w:val="3"/>
            <w:shd w:val="clear" w:color="auto" w:fill="CCEEFF"/>
          </w:tcPr>
          <w:p>
            <w:pPr>
              <w:ind w:left="80"/>
              <w:spacing w:after="0"/>
              <w:rPr>
                <w:sz w:val="20"/>
                <w:szCs w:val="20"/>
                <w:color w:val="auto"/>
              </w:rPr>
            </w:pPr>
            <w:r>
              <w:rPr>
                <w:rFonts w:ascii="Arial" w:cs="Arial" w:eastAsia="Arial" w:hAnsi="Arial"/>
                <w:sz w:val="14"/>
                <w:szCs w:val="14"/>
                <w:color w:val="auto"/>
                <w:w w:val="91"/>
              </w:rPr>
              <w:t>4,942</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1340" w:type="dxa"/>
            <w:vAlign w:val="bottom"/>
            <w:gridSpan w:val="2"/>
          </w:tcPr>
          <w:p>
            <w:pPr>
              <w:jc w:val="right"/>
              <w:ind w:right="972"/>
              <w:spacing w:after="0"/>
              <w:rPr>
                <w:sz w:val="20"/>
                <w:szCs w:val="20"/>
                <w:color w:val="auto"/>
              </w:rPr>
            </w:pPr>
            <w:r>
              <w:rPr>
                <w:rFonts w:ascii="Arial" w:cs="Arial" w:eastAsia="Arial" w:hAnsi="Arial"/>
                <w:sz w:val="14"/>
                <w:szCs w:val="14"/>
                <w:color w:val="auto"/>
              </w:rPr>
              <w:t>$</w:t>
            </w:r>
          </w:p>
        </w:tc>
        <w:tc>
          <w:tcPr>
            <w:tcW w:w="420" w:type="dxa"/>
            <w:vAlign w:val="bottom"/>
            <w:gridSpan w:val="3"/>
          </w:tcPr>
          <w:p>
            <w:pPr>
              <w:ind w:left="80"/>
              <w:spacing w:after="0"/>
              <w:rPr>
                <w:sz w:val="20"/>
                <w:szCs w:val="20"/>
                <w:color w:val="auto"/>
              </w:rPr>
            </w:pPr>
            <w:r>
              <w:rPr>
                <w:rFonts w:ascii="Arial" w:cs="Arial" w:eastAsia="Arial" w:hAnsi="Arial"/>
                <w:sz w:val="14"/>
                <w:szCs w:val="14"/>
                <w:color w:val="auto"/>
                <w:w w:val="91"/>
              </w:rPr>
              <w:t>1,615</w:t>
            </w:r>
          </w:p>
        </w:tc>
        <w:tc>
          <w:tcPr>
            <w:tcW w:w="400" w:type="dxa"/>
            <w:vAlign w:val="bottom"/>
            <w:gridSpan w:val="3"/>
          </w:tcPr>
          <w:p>
            <w:pPr>
              <w:jc w:val="right"/>
              <w:ind w:right="1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3,862</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projects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1"/>
              </w:rPr>
              <w:t>1,903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Other current expense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w w:val="94"/>
              </w:rPr>
              <w:t>939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tax expense</w:t>
            </w:r>
          </w:p>
        </w:tc>
        <w:tc>
          <w:tcPr>
            <w:tcW w:w="2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w w:val="94"/>
              </w:rPr>
              <w:t>168</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71"/>
        </w:trPr>
        <w:tc>
          <w:tcPr>
            <w:tcW w:w="7840" w:type="dxa"/>
            <w:vAlign w:val="bottom"/>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w w:val="91"/>
              </w:rPr>
              <w:t>9,568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9,785</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5580"/>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9. SAFE Notes </w:t>
      </w:r>
      <w:r>
        <w:rPr>
          <w:rFonts w:ascii="Arial" w:cs="Arial" w:eastAsia="Arial" w:hAnsi="Arial"/>
          <w:sz w:val="14"/>
          <w:szCs w:val="14"/>
          <w:color w:val="auto"/>
        </w:rPr>
        <w:t>(cont.)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SAFE Notes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issued SAFE notes to investors. During the three months ended March 31, 2021, the Company issued SAFE notes to investors in exchange for aggregate proceeds of $30.9 million. On August 12, 2021, as a result of the Business Combination, all of the Company’s outstanding SAFE notes, representing principal of $78 million and a fair value of $136 million on the conversion date, converted into 12,403,469 shares of Class A common stock of the combined company.</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Prior to conversion, the Company determined that the SAFE notes were not a legal form of debt (i.e., no creditors’ rights). The SAFE notes included a provision allowing for cash redemption upon the occurrence of a change of control, the occurrence of which was outside the control of the Company. The provision required the SAFE notes be classified as marked-to-market liabilities pursuant to ASC 480. The income (loss) reported from the decrease (increase) in the estimated fair value of the SAFE notes was $81.6 million for the three months ended March 31, 2021. These amounts are included in other income (expense).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Loan Payable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Loan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February 22, 2021, the Company entered into a Term Loan and Security Agreement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by the June 30, 2021 deadline. The repayment terms of the Term Loan provide for interest-only payments beginning March 1, 2021 through February 28, 2022.</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The warrant’s original estimated fair value of $15.6 million was recorded as a derivative liability under ASC 815 with the offset recorded as a debt discount. On August 12, 2021 the lender exercised the warrant; see Note 11 for discussion on the valuation and conversion of the warrants as of the conversion date. Additionally, the Company incurred debt issuance costs of $0.1 million, which were recorded as a direct deduction from the carrying amount of the Term Loan.</w:t>
      </w:r>
    </w:p>
    <w:p>
      <w:pPr>
        <w:spacing w:after="0" w:line="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allocated the proceeds from the Term Loan agreement to the note and warrants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spacing w:after="0" w:line="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a result of the exercised extended repayment schedule, the unamortized discount and issuance costs were recast over the updated term of the loan and resulted in a recalculated effective interest rate of 28.2%. Interest expense amortization was $0.7 million and $1.0 million for the three months ended March 31, 2022 and 2021, respectively.</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March 31, 2022, the Company’s Loan payable consisted of gross Term Loan payable of $24.1 million and accrued interest of $0.01 million, offset by unamortized debt discount and issuance costs of $3.4 million. The Term</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2" w:name="page23"/>
    <w:bookmarkEnd w:id="22"/>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10. Loan Payable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ind w:right="2040"/>
        <w:spacing w:after="0" w:line="419" w:lineRule="auto"/>
        <w:rPr>
          <w:sz w:val="20"/>
          <w:szCs w:val="20"/>
          <w:color w:val="auto"/>
        </w:rPr>
      </w:pPr>
      <w:r>
        <w:rPr>
          <w:rFonts w:ascii="Arial" w:cs="Arial" w:eastAsia="Arial" w:hAnsi="Arial"/>
          <w:sz w:val="14"/>
          <w:szCs w:val="14"/>
          <w:color w:val="auto"/>
        </w:rPr>
        <w:t xml:space="preserve">Loan principal has future scheduled maturities for the remainder of 2022 of $8.8 million, as well as $13.0 million and $2.3 million for 2023 and 2024, respectively. </w:t>
      </w:r>
      <w:r>
        <w:rPr>
          <w:rFonts w:ascii="Arial" w:cs="Arial" w:eastAsia="Arial" w:hAnsi="Arial"/>
          <w:sz w:val="14"/>
          <w:szCs w:val="14"/>
          <w:b w:val="1"/>
          <w:bCs w:val="1"/>
          <w:i w:val="1"/>
          <w:iCs w:val="1"/>
          <w:color w:val="auto"/>
        </w:rPr>
        <w:t>Promissory Notes</w:t>
      </w:r>
    </w:p>
    <w:p>
      <w:pPr>
        <w:jc w:val="both"/>
        <w:spacing w:after="0" w:line="313" w:lineRule="auto"/>
        <w:rPr>
          <w:sz w:val="20"/>
          <w:szCs w:val="20"/>
          <w:color w:val="auto"/>
        </w:rPr>
      </w:pPr>
      <w:r>
        <w:rPr>
          <w:rFonts w:ascii="Arial" w:cs="Arial" w:eastAsia="Arial" w:hAnsi="Arial"/>
          <w:sz w:val="12"/>
          <w:szCs w:val="12"/>
          <w:color w:val="auto"/>
        </w:rPr>
        <w:t>On June 29, 2021, the Company and SRAC amended the Merger Agreement which, among other things, provided for the issuance by the Company of two second lien notes (the “Promissory Notes”). The notes, in the amount of $1.5 million each, were held by the Company’s outside counsel and SRAC, and were for certain legal fees and expenses incurred by SRAC and the Company in relation to the Merger Agreement. As a result of the Business Combination, the amount due to SRAC became an intercompany transaction which was eliminated from the combined entity’s consolidated balance sheets. During the year ended December 31, 2021, the Company signed an agreement with its outside counsel and made a payment which settled the Promissory Notes as well as all outstanding payables. The agreement resulted in a reduction of $2.6 million in the amount due for expenses incurred during the year, which was recorded as a reduction to legal expenses.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Stockholders’ Equity (Deficit) and Stock-based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and Preferred Stock</w:t>
      </w:r>
    </w:p>
    <w:p>
      <w:pPr>
        <w:spacing w:after="0" w:line="11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Pursuant to the terms of the Second Amended and Restated Certificate of Incorporation, the Company is authorized and has available a total of 270,000,000 shares of stock, consisting of (i) 250,000,000 shares of Class A common stock, par value $0.00001 per share (“Common Stock”), and (ii) 20,000,000 shares of preferred stock, par value $0.00001 per share (“Preferred Stock”).</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At the Closing of the Business Combination, the Company had 79,772,262 shares of Common Stock outstanding and no shares of Preferred Stock outstanding. The following summarizes the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00" w:type="dxa"/>
            <w:vAlign w:val="bottom"/>
          </w:tcPr>
          <w:p>
            <w:pPr>
              <w:spacing w:after="0"/>
              <w:rPr>
                <w:sz w:val="20"/>
                <w:szCs w:val="20"/>
                <w:color w:val="auto"/>
              </w:rPr>
            </w:pPr>
            <w:r>
              <w:rPr>
                <w:rFonts w:ascii="Arial" w:cs="Arial" w:eastAsia="Arial" w:hAnsi="Arial"/>
                <w:sz w:val="14"/>
                <w:szCs w:val="14"/>
                <w:color w:val="auto"/>
              </w:rPr>
              <w:t>Company’s</w:t>
            </w:r>
          </w:p>
        </w:tc>
        <w:tc>
          <w:tcPr>
            <w:tcW w:w="1040" w:type="dxa"/>
            <w:vAlign w:val="bottom"/>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tcPr>
          <w:p>
            <w:pPr>
              <w:ind w:left="420"/>
              <w:spacing w:after="0"/>
              <w:rPr>
                <w:sz w:val="20"/>
                <w:szCs w:val="20"/>
                <w:color w:val="auto"/>
              </w:rPr>
            </w:pPr>
            <w:r>
              <w:rPr>
                <w:rFonts w:ascii="Arial" w:cs="Arial" w:eastAsia="Arial" w:hAnsi="Arial"/>
                <w:sz w:val="14"/>
                <w:szCs w:val="14"/>
                <w:color w:val="auto"/>
              </w:rPr>
              <w:t>Stock</w:t>
            </w:r>
          </w:p>
        </w:tc>
        <w:tc>
          <w:tcPr>
            <w:tcW w:w="1480" w:type="dxa"/>
            <w:vAlign w:val="bottom"/>
          </w:tcPr>
          <w:p>
            <w:pPr>
              <w:ind w:left="420"/>
              <w:spacing w:after="0"/>
              <w:rPr>
                <w:sz w:val="20"/>
                <w:szCs w:val="20"/>
                <w:color w:val="auto"/>
              </w:rPr>
            </w:pPr>
            <w:r>
              <w:rPr>
                <w:rFonts w:ascii="Arial" w:cs="Arial" w:eastAsia="Arial" w:hAnsi="Arial"/>
                <w:sz w:val="14"/>
                <w:szCs w:val="14"/>
                <w:color w:val="auto"/>
              </w:rPr>
              <w:t>outstanding</w:t>
            </w:r>
          </w:p>
        </w:tc>
        <w:tc>
          <w:tcPr>
            <w:tcW w:w="1560" w:type="dxa"/>
            <w:vAlign w:val="bottom"/>
          </w:tcPr>
          <w:p>
            <w:pPr>
              <w:ind w:left="420"/>
              <w:spacing w:after="0"/>
              <w:rPr>
                <w:sz w:val="20"/>
                <w:szCs w:val="20"/>
                <w:color w:val="auto"/>
              </w:rPr>
            </w:pPr>
            <w:r>
              <w:rPr>
                <w:rFonts w:ascii="Arial" w:cs="Arial" w:eastAsia="Arial" w:hAnsi="Arial"/>
                <w:sz w:val="14"/>
                <w:szCs w:val="14"/>
                <w:color w:val="auto"/>
              </w:rPr>
              <w:t>immediately</w:t>
            </w:r>
          </w:p>
        </w:tc>
        <w:tc>
          <w:tcPr>
            <w:tcW w:w="1100" w:type="dxa"/>
            <w:vAlign w:val="bottom"/>
          </w:tcPr>
          <w:p>
            <w:pPr>
              <w:ind w:left="420"/>
              <w:spacing w:after="0"/>
              <w:rPr>
                <w:sz w:val="20"/>
                <w:szCs w:val="20"/>
                <w:color w:val="auto"/>
              </w:rPr>
            </w:pPr>
            <w:r>
              <w:rPr>
                <w:rFonts w:ascii="Arial" w:cs="Arial" w:eastAsia="Arial" w:hAnsi="Arial"/>
                <w:sz w:val="14"/>
                <w:szCs w:val="14"/>
                <w:color w:val="auto"/>
              </w:rPr>
              <w:t>after</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the</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w w:val="98"/>
              </w:rPr>
              <w:t>Business</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Combination:</w:t>
            </w:r>
          </w:p>
        </w:tc>
      </w:tr>
      <w:tr>
        <w:trPr>
          <w:trHeight w:val="192"/>
        </w:trPr>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r>
      <w:tr>
        <w:trPr>
          <w:trHeight w:val="171"/>
        </w:trPr>
        <w:tc>
          <w:tcPr>
            <w:tcW w:w="2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Momentus Space, LLC unit holders</w:t>
            </w:r>
          </w:p>
        </w:tc>
        <w:tc>
          <w:tcPr>
            <w:tcW w:w="116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50,419,505</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0"/>
        </w:trPr>
        <w:tc>
          <w:tcPr>
            <w:tcW w:w="1400" w:type="dxa"/>
            <w:vAlign w:val="bottom"/>
          </w:tcPr>
          <w:p>
            <w:pPr>
              <w:ind w:left="20"/>
              <w:spacing w:after="0"/>
              <w:rPr>
                <w:sz w:val="20"/>
                <w:szCs w:val="20"/>
                <w:color w:val="auto"/>
              </w:rPr>
            </w:pPr>
            <w:r>
              <w:rPr>
                <w:rFonts w:ascii="Arial" w:cs="Arial" w:eastAsia="Arial" w:hAnsi="Arial"/>
                <w:sz w:val="14"/>
                <w:szCs w:val="14"/>
                <w:color w:val="auto"/>
              </w:rPr>
              <w:t>Public stockholders</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13,695,257</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81"/>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SRAC and its affiliates</w:t>
            </w:r>
          </w:p>
        </w:tc>
        <w:tc>
          <w:tcPr>
            <w:tcW w:w="10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4,657,500</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0"/>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PIPE investors</w:t>
            </w:r>
          </w:p>
        </w:tc>
        <w:tc>
          <w:tcPr>
            <w:tcW w:w="104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11,000,000</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171"/>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79,772,262</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Co-Founder Divestment and Share Repurchase</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accordance with the NSA and pursuant to certain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3" w:name="page24"/>
    <w:bookmarkEnd w:id="23"/>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and Stock-based Compensation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of the investors’ NSA compliance, all of the escrowed divestment proceeds were released to the Co-Founders as of March 1, 2022 in accordance with the NSA.</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evaluated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resulting in an estimated liability of $6.0 million expected to be paid to the Co-Founders with a corresponding offset to additional paid in capital, as of March 31, 2022.</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Purchase Warrants</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February 2021, the Company entered into a term loan (the “Term Loan”) to provide the Company up to $40.0 million of borrowing capacity, of which $25.0 million was borrowed. In conjunction with the Term Loan, warrants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remaining 20% of the warrants were forfeited on June 30, 2021. The warrant’s original estimated fair value of $15.6 million was recorded as a derivative liability under ASC 815 with the offset recorded as a debt discount. The Company recorded the decrease in the estimated fair value of the warrant of $(7.0) million for the three months ended March 31, 2021, within other income (expense) in the accompanying consolidated income statements. The warrants were exercised by the lender immediately prior to the Business Combination. The loan remains outstanding as of March 31, 2022.</w:t>
      </w:r>
    </w:p>
    <w:p>
      <w:pPr>
        <w:spacing w:after="0" w:line="8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March 2020, the Company entered into an equipment financing agreement to fund the acquisition of specific and eligible equipment (“Equipment Loan”). In conjunction with the equipment financing agreement, the Company issued stock purchase warrants to the lender, which allowed for the purchase of 191,108 shares of common stock in a subsequent round of financing. These warrants were also accounted for as a derivative liability and the decrease in the estimated fair value of the warrant of $(1.1) million for the three months ended March 31, 2021 was recorded within other income (expense) in the accompanying consolidated income statements. The warrants were exercised by the lender immediately prior to the Business Combination.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Public and Private Warrants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March 31, 2022, the Company had public and private warrants outstanding to purchase 8,625,000 and 11,272,500 of Class A common stock, respectively, related to the Business Combination. The warrants entitle the registered holder to purchase stock at a price of $11.50 per share, subject to adjustment, at any time commencing on August 12, 2021. The public and private warrants expire on the fifth anniversary of the Business Combination, or earlier upon redemption or liquidation.</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Additionally, the Company had private warrants outstanding to purchase 308,569 shares of Class A common stock, with an exercise price of $0.20 per share, unrelated to the Business Combination, which were exercised on a net basis for 278,146 shares during the three months ended March 31, 2022.</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private warrants assumed in connection with the Business Combination were accounted for as a derivative liability and the increase in estimated fair value of the warrants of $0.5 million for the three months ended March 31, 2022 was recorded within other expense. The public warrants and the legacy outstanding private warrants were recorded as equity.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Contingent Sponsor Earnout Shares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of the Business Combination, the Company modified the terms of 1,437,500 shares of Class A common stock (the “Sponsor Earnout Shares”) held by SRAC’s sponsor, such that all such shares will be forfeited if the share price of Class A common stock does not reach a volume-weighted average closing sale price of $12.50, two thirds of such shares will be forfeited if the share price of Class A common stock does not reach a volume-weighted average closing sale price of $15.00, and one third of such shares will be forfeited if the share price of Class A common stock does not reach a volume-weighted average closing sale price of $17.50, in each case, prior to the fifth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4" w:name="page25"/>
    <w:bookmarkEnd w:id="24"/>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and Stock-based Compensation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anniversary of the Business Combination. Certain events which change the number of outstanding shares of Class A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Sponsor Earnout Shares are recorded within equity. Due to the contingently forfeitable nature of the shares, the Sponsor Earnout Shares are excluded from basic EPS calculations, but are considered potentially dilutive shares of the purposes of diluted EPS (refer to “</w:t>
      </w:r>
      <w:r>
        <w:rPr>
          <w:rFonts w:ascii="Arial" w:cs="Arial" w:eastAsia="Arial" w:hAnsi="Arial"/>
          <w:sz w:val="14"/>
          <w:szCs w:val="14"/>
          <w:i w:val="1"/>
          <w:iCs w:val="1"/>
          <w:color w:val="auto"/>
        </w:rPr>
        <w:t>Income (Loss) Per Share”</w:t>
      </w:r>
      <w:r>
        <w:rPr>
          <w:rFonts w:ascii="Arial" w:cs="Arial" w:eastAsia="Arial" w:hAnsi="Arial"/>
          <w:sz w:val="14"/>
          <w:szCs w:val="14"/>
          <w:color w:val="auto"/>
        </w:rPr>
        <w:t xml:space="preserve"> below).</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Incentive Plans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Legacy Stock Plans</w:t>
      </w:r>
    </w:p>
    <w:p>
      <w:pPr>
        <w:spacing w:after="0" w:line="115"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February and March 2020, the Board approved an amendment and restatement to the New 2018 Stock Plan (the “2018 Plan”). No additional grants have been made since 2020 and no new grants will be made from the Amended and Restated 2018 Stock Plan, however, the options issued and outstanding under the plan continue to be governed by the terms of the Amended and Restated 2018 Stock Plan. Forfeitures from the legacy plans become available under the 2021 Equity Incentive Plan, described below.</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Equity Incentive Plan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connection with the Closing, the Company adopted the 2021 Equity Incentive Plan (the “2021 Plan”), under which 5,982,922 shares of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lessor of (i) three percent (3.0%) of the outstanding shares on the last day of the immediately preceding fiscal year and (ii) such number of Shares determined by the Board. During the three months ended March 31, 2022, the shares available for grant under the 2021 Plan increased by 2,436,353 and 171,331 due to the evergreen provision and forfeitures from the Legacy Stock Plans, respectively. As of March 31, 2022, there were 1,700,854 shares remaining available for grant. Grant activity under the 2021 Plan is described below.</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Employee Stock Purchase Plan</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In connection with the Closing, the Company adopted the Employee Stock Purchase Plan (the “2021 ESPP Plan”), under which 1,595,445 shares of common stock were initially reserved for issuance. The Plan provides a means by which eligible employees of the Company may be given an opportunity to purchase shares of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lessor of (i) half a percent (0.5%) of the outstanding shares on the last day of the calendar month prior to the date of such automatic increase and (ii) 1,595,445 shares. The 2021 ESPP Plan became effective immediately following the Closing. During the three months ended March 31, 2022, the shares available for issuance under the 2021 ESPP Plan increased by 406,059 due to the evergreen provision. As of March 31, 2022, no shares have been issued under the 2021 ESPP Plan. The Company has an outstanding liability pertaining to the ESPP of $0.2 million as of March 31, 2022, included in accrued expenses, for employee contributions to the 2021 ESPP Plan, pending issuance at the end of the offering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5" w:name="page26"/>
    <w:bookmarkEnd w:id="25"/>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and Stock-based Compensation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Inducement Equity Plan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February 2022, the Company adopted the 2022 Inducement Equity Plan (the “2022 Plan”), under which 4,000,000 shares of common stock were initially reserved for issuance. The 2022 Plan allows for the issuance of NSOs, RSAs, SARs, RSUs, and stock bonus awards. The Board of Directors determines the period over which grants become exercisable and grants generally vest over a four-year period. As of March 31, 2022 only RSU grants have been made under the 2022 Plan and there were 3,295,556 shares remaining available for grant. Grant activity under the 2022 Plan is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Options Activity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summary of options activity, under the 2018 and 2021 Plans, for the three months ended March 31, 2022: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Weighted- Average</w:t>
            </w:r>
          </w:p>
        </w:tc>
        <w:tc>
          <w:tcPr>
            <w:tcW w:w="15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Weighted- Average</w:t>
            </w: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6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share-based data)</w:t>
            </w:r>
          </w:p>
        </w:tc>
        <w:tc>
          <w:tcPr>
            <w:tcW w:w="1320" w:type="dxa"/>
            <w:vAlign w:val="bottom"/>
            <w:vMerge w:val="restart"/>
          </w:tcPr>
          <w:p>
            <w:pPr>
              <w:jc w:val="right"/>
              <w:ind w:right="277"/>
              <w:spacing w:after="0"/>
              <w:rPr>
                <w:sz w:val="20"/>
                <w:szCs w:val="20"/>
                <w:color w:val="auto"/>
              </w:rPr>
            </w:pPr>
            <w:r>
              <w:rPr>
                <w:rFonts w:ascii="Arial" w:cs="Arial" w:eastAsia="Arial" w:hAnsi="Arial"/>
                <w:sz w:val="11"/>
                <w:szCs w:val="11"/>
                <w:b w:val="1"/>
                <w:bCs w:val="1"/>
                <w:color w:val="auto"/>
              </w:rPr>
              <w:t>Total Options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5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4"/>
              </w:rPr>
              <w:t>Remaining Contractual</w:t>
            </w:r>
          </w:p>
        </w:tc>
        <w:tc>
          <w:tcPr>
            <w:tcW w:w="13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4"/>
              </w:rPr>
              <w:t>Aggregate Intrinsic Value</w:t>
            </w:r>
          </w:p>
        </w:tc>
        <w:tc>
          <w:tcPr>
            <w:tcW w:w="0" w:type="dxa"/>
            <w:vAlign w:val="bottom"/>
          </w:tcPr>
          <w:p>
            <w:pPr>
              <w:spacing w:after="0"/>
              <w:rPr>
                <w:sz w:val="1"/>
                <w:szCs w:val="1"/>
                <w:color w:val="auto"/>
              </w:rPr>
            </w:pPr>
          </w:p>
        </w:tc>
      </w:tr>
      <w:tr>
        <w:trPr>
          <w:trHeight w:val="148"/>
        </w:trPr>
        <w:tc>
          <w:tcPr>
            <w:tcW w:w="5660" w:type="dxa"/>
            <w:vAlign w:val="bottom"/>
            <w:tcBorders>
              <w:bottom w:val="single" w:sz="8" w:color="CCEEFF"/>
            </w:tcBorders>
            <w:vMerge w:val="continue"/>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2"/>
              </w:rPr>
              <w:t>Exercise Price Per Share</w:t>
            </w:r>
          </w:p>
        </w:tc>
        <w:tc>
          <w:tcPr>
            <w:tcW w:w="8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Term (in years)</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as of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4,043,492</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60" w:type="dxa"/>
            <w:vAlign w:val="bottom"/>
          </w:tcPr>
          <w:p>
            <w:pPr>
              <w:ind w:left="20"/>
              <w:spacing w:after="0"/>
              <w:rPr>
                <w:sz w:val="20"/>
                <w:szCs w:val="20"/>
                <w:color w:val="auto"/>
              </w:rPr>
            </w:pPr>
            <w:r>
              <w:rPr>
                <w:rFonts w:ascii="Arial" w:cs="Arial" w:eastAsia="Arial" w:hAnsi="Arial"/>
                <w:sz w:val="13"/>
                <w:szCs w:val="13"/>
                <w:color w:val="auto"/>
              </w:rPr>
              <w:t>Granted</w:t>
            </w:r>
          </w:p>
        </w:tc>
        <w:tc>
          <w:tcPr>
            <w:tcW w:w="1320" w:type="dxa"/>
            <w:vAlign w:val="bottom"/>
          </w:tcPr>
          <w:p>
            <w:pPr>
              <w:jc w:val="right"/>
              <w:spacing w:after="0"/>
              <w:rPr>
                <w:sz w:val="20"/>
                <w:szCs w:val="20"/>
                <w:color w:val="auto"/>
              </w:rPr>
            </w:pPr>
            <w:r>
              <w:rPr>
                <w:rFonts w:ascii="Arial" w:cs="Arial" w:eastAsia="Arial" w:hAnsi="Arial"/>
                <w:sz w:val="13"/>
                <w:szCs w:val="13"/>
                <w:color w:val="auto"/>
              </w:rPr>
              <w:t>1,064,862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2.54</w:t>
            </w: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 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(173,883)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0.28</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Forfeitures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(171,331)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0.28</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as of March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4,763,140</w:t>
            </w:r>
          </w:p>
        </w:tc>
        <w:tc>
          <w:tcPr>
            <w:tcW w:w="22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0.77</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7.4</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58"/>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11,510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660" w:type="dxa"/>
            <w:vAlign w:val="bottom"/>
          </w:tcPr>
          <w:p>
            <w:pPr>
              <w:ind w:left="20"/>
              <w:spacing w:after="0" w:line="133" w:lineRule="exact"/>
              <w:rPr>
                <w:sz w:val="20"/>
                <w:szCs w:val="20"/>
                <w:color w:val="auto"/>
              </w:rPr>
            </w:pPr>
            <w:r>
              <w:rPr>
                <w:rFonts w:ascii="Arial" w:cs="Arial" w:eastAsia="Arial" w:hAnsi="Arial"/>
                <w:sz w:val="13"/>
                <w:szCs w:val="13"/>
                <w:color w:val="auto"/>
              </w:rPr>
              <w:t>Exercisable as of March 31, 2022</w:t>
            </w:r>
          </w:p>
        </w:tc>
        <w:tc>
          <w:tcPr>
            <w:tcW w:w="13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2,682,330</w:t>
            </w:r>
          </w:p>
        </w:tc>
        <w:tc>
          <w:tcPr>
            <w:tcW w:w="220" w:type="dxa"/>
            <w:vAlign w:val="bottom"/>
            <w:gridSpan w:val="2"/>
          </w:tcPr>
          <w:p>
            <w:pPr>
              <w:jc w:val="right"/>
              <w:ind w:right="3"/>
              <w:spacing w:after="0" w:line="133"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3" w:lineRule="exact"/>
              <w:rPr>
                <w:sz w:val="20"/>
                <w:szCs w:val="20"/>
                <w:color w:val="auto"/>
              </w:rPr>
            </w:pPr>
            <w:r>
              <w:rPr>
                <w:rFonts w:ascii="Arial" w:cs="Arial" w:eastAsia="Arial" w:hAnsi="Arial"/>
                <w:sz w:val="13"/>
                <w:szCs w:val="13"/>
                <w:color w:val="auto"/>
              </w:rPr>
              <w:t>0.26</w:t>
            </w:r>
          </w:p>
        </w:tc>
        <w:tc>
          <w:tcPr>
            <w:tcW w:w="8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3"/>
                <w:szCs w:val="13"/>
                <w:color w:val="auto"/>
                <w:w w:val="88"/>
              </w:rPr>
              <w:t>6.3</w:t>
            </w:r>
          </w:p>
        </w:tc>
        <w:tc>
          <w:tcPr>
            <w:tcW w:w="80" w:type="dxa"/>
            <w:vAlign w:val="bottom"/>
          </w:tcPr>
          <w:p>
            <w:pPr>
              <w:spacing w:after="0"/>
              <w:rPr>
                <w:sz w:val="11"/>
                <w:szCs w:val="11"/>
                <w:color w:val="auto"/>
              </w:rPr>
            </w:pPr>
          </w:p>
        </w:tc>
        <w:tc>
          <w:tcPr>
            <w:tcW w:w="500" w:type="dxa"/>
            <w:vAlign w:val="bottom"/>
          </w:tcPr>
          <w:p>
            <w:pPr>
              <w:jc w:val="right"/>
              <w:ind w:right="358"/>
              <w:spacing w:after="0" w:line="133"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33" w:lineRule="exact"/>
              <w:rPr>
                <w:sz w:val="20"/>
                <w:szCs w:val="20"/>
                <w:color w:val="auto"/>
              </w:rPr>
            </w:pPr>
            <w:r>
              <w:rPr>
                <w:rFonts w:ascii="Arial" w:cs="Arial" w:eastAsia="Arial" w:hAnsi="Arial"/>
                <w:sz w:val="13"/>
                <w:szCs w:val="13"/>
                <w:color w:val="auto"/>
              </w:rPr>
              <w:t>7,856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Vested and expected to vest as of March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4,763,140</w:t>
            </w:r>
          </w:p>
        </w:tc>
        <w:tc>
          <w:tcPr>
            <w:tcW w:w="22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0.77</w:t>
            </w:r>
          </w:p>
        </w:tc>
        <w:tc>
          <w:tcPr>
            <w:tcW w:w="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7.4</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358"/>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11,510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March 31, 2022, there was a total of $2.1 million in unrecognized compensation cost related to unvested options, which is expected to be recognized over a weighted-average period of 2.2 years.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total intrinsic value of options exercised during the three months ended March 31, 2022 and 2021 was $0.4 million and $4.9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assumptions used under the Black-Scholes-Merton Option Pricing model and weighted average fair value of options on the grant date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980" w:type="dxa"/>
            <w:vAlign w:val="bottom"/>
            <w:tcBorders>
              <w:bottom w:val="single" w:sz="8" w:color="auto"/>
            </w:tcBorders>
            <w:gridSpan w:val="3"/>
          </w:tcPr>
          <w:p>
            <w:pPr>
              <w:ind w:left="1200"/>
              <w:spacing w:after="0"/>
              <w:rPr>
                <w:sz w:val="20"/>
                <w:szCs w:val="20"/>
                <w:color w:val="auto"/>
              </w:rPr>
            </w:pPr>
            <w:r>
              <w:rPr>
                <w:rFonts w:ascii="Arial" w:cs="Arial" w:eastAsia="Arial" w:hAnsi="Arial"/>
                <w:sz w:val="13"/>
                <w:szCs w:val="13"/>
                <w:b w:val="1"/>
                <w:bCs w:val="1"/>
                <w:color w:val="auto"/>
                <w:w w:val="91"/>
              </w:rPr>
              <w:t>Three Months Ended March 31,</w:t>
            </w:r>
          </w:p>
        </w:tc>
        <w:tc>
          <w:tcPr>
            <w:tcW w:w="1160" w:type="dxa"/>
            <w:vAlign w:val="bottom"/>
            <w:tcBorders>
              <w:bottom w:val="single" w:sz="8" w:color="auto"/>
            </w:tcBorders>
          </w:tcPr>
          <w:p>
            <w:pPr>
              <w:spacing w:after="0"/>
              <w:rPr>
                <w:sz w:val="14"/>
                <w:szCs w:val="14"/>
                <w:color w:val="auto"/>
              </w:rPr>
            </w:pPr>
          </w:p>
        </w:tc>
      </w:tr>
      <w:tr>
        <w:trPr>
          <w:trHeight w:val="160"/>
        </w:trPr>
        <w:tc>
          <w:tcPr>
            <w:tcW w:w="3500" w:type="dxa"/>
            <w:vAlign w:val="bottom"/>
            <w:tcBorders>
              <w:bottom w:val="single" w:sz="8" w:color="CCEEFF"/>
            </w:tcBorders>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2022</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2021</w:t>
            </w:r>
          </w:p>
        </w:tc>
      </w:tr>
      <w:tr>
        <w:trPr>
          <w:trHeight w:val="173"/>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3640" w:type="dxa"/>
            <w:vAlign w:val="bottom"/>
            <w:shd w:val="clear" w:color="auto" w:fill="CCEEFF"/>
          </w:tcPr>
          <w:p>
            <w:pPr>
              <w:spacing w:after="0"/>
              <w:rPr>
                <w:sz w:val="15"/>
                <w:szCs w:val="15"/>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5.8</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r>
        <w:trPr>
          <w:trHeight w:val="180"/>
        </w:trPr>
        <w:tc>
          <w:tcPr>
            <w:tcW w:w="35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5680" w:type="dxa"/>
            <w:vAlign w:val="bottom"/>
            <w:gridSpan w:val="2"/>
          </w:tcPr>
          <w:p>
            <w:pPr>
              <w:jc w:val="center"/>
              <w:ind w:left="3569"/>
              <w:spacing w:after="0"/>
              <w:rPr>
                <w:sz w:val="20"/>
                <w:szCs w:val="20"/>
                <w:color w:val="auto"/>
              </w:rPr>
            </w:pPr>
            <w:r>
              <w:rPr>
                <w:rFonts w:ascii="Arial" w:cs="Arial" w:eastAsia="Arial" w:hAnsi="Arial"/>
                <w:sz w:val="14"/>
                <w:szCs w:val="14"/>
                <w:color w:val="auto"/>
                <w:w w:val="90"/>
              </w:rPr>
              <w:t>2.35%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N/A</w:t>
            </w:r>
          </w:p>
        </w:tc>
      </w:tr>
      <w:tr>
        <w:trPr>
          <w:trHeight w:val="18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5680" w:type="dxa"/>
            <w:vAlign w:val="bottom"/>
            <w:gridSpan w:val="2"/>
            <w:shd w:val="clear" w:color="auto" w:fill="CCEEFF"/>
          </w:tcPr>
          <w:p>
            <w:pPr>
              <w:jc w:val="center"/>
              <w:ind w:left="3569"/>
              <w:spacing w:after="0"/>
              <w:rPr>
                <w:sz w:val="20"/>
                <w:szCs w:val="20"/>
                <w:color w:val="auto"/>
              </w:rPr>
            </w:pPr>
            <w:r>
              <w:rPr>
                <w:rFonts w:ascii="Arial" w:cs="Arial" w:eastAsia="Arial" w:hAnsi="Arial"/>
                <w:sz w:val="14"/>
                <w:szCs w:val="14"/>
                <w:color w:val="auto"/>
                <w:w w:val="92"/>
              </w:rPr>
              <w:t>61.90%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r>
        <w:trPr>
          <w:trHeight w:val="180"/>
        </w:trPr>
        <w:tc>
          <w:tcPr>
            <w:tcW w:w="350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5680" w:type="dxa"/>
            <w:vAlign w:val="bottom"/>
            <w:gridSpan w:val="2"/>
          </w:tcPr>
          <w:p>
            <w:pPr>
              <w:jc w:val="center"/>
              <w:ind w:left="3569"/>
              <w:spacing w:after="0"/>
              <w:rPr>
                <w:sz w:val="20"/>
                <w:szCs w:val="20"/>
                <w:color w:val="auto"/>
              </w:rPr>
            </w:pPr>
            <w:r>
              <w:rPr>
                <w:rFonts w:ascii="Arial" w:cs="Arial" w:eastAsia="Arial" w:hAnsi="Arial"/>
                <w:sz w:val="14"/>
                <w:szCs w:val="14"/>
                <w:color w:val="auto"/>
                <w:w w:val="90"/>
              </w:rPr>
              <w:t>0.00%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N/A</w:t>
            </w:r>
          </w:p>
        </w:tc>
      </w:tr>
      <w:tr>
        <w:trPr>
          <w:trHeight w:val="18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on grant date</w:t>
            </w:r>
          </w:p>
        </w:tc>
        <w:tc>
          <w:tcPr>
            <w:tcW w:w="5680" w:type="dxa"/>
            <w:vAlign w:val="bottom"/>
            <w:gridSpan w:val="2"/>
            <w:shd w:val="clear" w:color="auto" w:fill="CCEEFF"/>
          </w:tcPr>
          <w:p>
            <w:pPr>
              <w:jc w:val="center"/>
              <w:ind w:left="3569"/>
              <w:spacing w:after="0"/>
              <w:rPr>
                <w:sz w:val="20"/>
                <w:szCs w:val="20"/>
                <w:color w:val="auto"/>
              </w:rPr>
            </w:pPr>
            <w:r>
              <w:rPr>
                <w:rFonts w:ascii="Arial" w:cs="Arial" w:eastAsia="Arial" w:hAnsi="Arial"/>
                <w:sz w:val="14"/>
                <w:szCs w:val="14"/>
                <w:color w:val="auto"/>
                <w:w w:val="91"/>
              </w:rPr>
              <w:t>$1.46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r>
        <w:trPr>
          <w:trHeight w:val="689"/>
        </w:trPr>
        <w:tc>
          <w:tcPr>
            <w:tcW w:w="3500" w:type="dxa"/>
            <w:vAlign w:val="bottom"/>
          </w:tcPr>
          <w:p>
            <w:pPr>
              <w:spacing w:after="0"/>
              <w:rPr>
                <w:sz w:val="24"/>
                <w:szCs w:val="24"/>
                <w:color w:val="auto"/>
              </w:rPr>
            </w:pPr>
          </w:p>
        </w:tc>
        <w:tc>
          <w:tcPr>
            <w:tcW w:w="3640" w:type="dxa"/>
            <w:vAlign w:val="bottom"/>
          </w:tcPr>
          <w:p>
            <w:pPr>
              <w:jc w:val="right"/>
              <w:ind w:right="1349"/>
              <w:spacing w:after="0"/>
              <w:rPr>
                <w:sz w:val="20"/>
                <w:szCs w:val="20"/>
                <w:color w:val="auto"/>
              </w:rPr>
            </w:pPr>
            <w:r>
              <w:rPr>
                <w:rFonts w:ascii="Arial" w:cs="Arial" w:eastAsia="Arial" w:hAnsi="Arial"/>
                <w:sz w:val="14"/>
                <w:szCs w:val="14"/>
                <w:color w:val="auto"/>
              </w:rPr>
              <w:t>26</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7"/>
        </w:trPr>
        <w:tc>
          <w:tcPr>
            <w:tcW w:w="350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6" w:name="page27"/>
    <w:bookmarkEnd w:id="26"/>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and Stock-based Compensation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Unit and Restricted Stock Award Activity</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sets forth the summary of RSU and RSA activity, under the Initial, 2018, 2021, and 2022 Plans, for the three months ended March 31, 2022. RSAs were an immaterial portion of activity for the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Weighted Average Grant Date Fair</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Value (i.e. share price)</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2021</w:t>
            </w:r>
          </w:p>
        </w:tc>
        <w:tc>
          <w:tcPr>
            <w:tcW w:w="1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2,812,110</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00"/>
              <w:spacing w:after="0"/>
              <w:rPr>
                <w:sz w:val="20"/>
                <w:szCs w:val="20"/>
                <w:color w:val="auto"/>
              </w:rPr>
            </w:pPr>
            <w:r>
              <w:rPr>
                <w:rFonts w:ascii="Arial" w:cs="Arial" w:eastAsia="Arial" w:hAnsi="Arial"/>
                <w:sz w:val="14"/>
                <w:szCs w:val="14"/>
                <w:color w:val="auto"/>
              </w:rPr>
              <w:t>Granted</w:t>
            </w:r>
          </w:p>
        </w:tc>
        <w:tc>
          <w:tcPr>
            <w:tcW w:w="760" w:type="dxa"/>
            <w:vAlign w:val="bottom"/>
          </w:tcPr>
          <w:p>
            <w:pPr>
              <w:jc w:val="right"/>
              <w:spacing w:after="0"/>
              <w:rPr>
                <w:sz w:val="20"/>
                <w:szCs w:val="20"/>
                <w:color w:val="auto"/>
              </w:rPr>
            </w:pPr>
            <w:r>
              <w:rPr>
                <w:rFonts w:ascii="Arial" w:cs="Arial" w:eastAsia="Arial" w:hAnsi="Arial"/>
                <w:sz w:val="14"/>
                <w:szCs w:val="14"/>
                <w:color w:val="auto"/>
              </w:rPr>
              <w:t>4,017,046</w:t>
            </w:r>
          </w:p>
        </w:tc>
        <w:tc>
          <w:tcPr>
            <w:tcW w:w="26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(121,424)</w:t>
            </w:r>
          </w:p>
        </w:tc>
        <w:tc>
          <w:tcPr>
            <w:tcW w:w="26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Forfeited</w:t>
            </w:r>
          </w:p>
        </w:tc>
        <w:tc>
          <w:tcPr>
            <w:tcW w:w="1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(573,444)</w:t>
            </w: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19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as of March 31, 2022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6,134,288</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March 31, 2022, there was a total of $30.0 million in unrecognized compensation cost related to unvested RSUs, which is expected to be recognized over a weighted-average period of 1.9 years. Outstanding unvested and expected to vest RSUs had an intrinsic value of $19.6 million.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stock-based compensation under the Legacy and 2021 Plans by expense type: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72"/>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71"/>
              <w:spacing w:after="0"/>
              <w:rPr>
                <w:sz w:val="20"/>
                <w:szCs w:val="20"/>
                <w:color w:val="auto"/>
              </w:rPr>
            </w:pPr>
            <w:r>
              <w:rPr>
                <w:rFonts w:ascii="Arial" w:cs="Arial" w:eastAsia="Arial" w:hAnsi="Arial"/>
                <w:sz w:val="13"/>
                <w:szCs w:val="13"/>
                <w:b w:val="1"/>
                <w:bCs w:val="1"/>
                <w:color w:val="auto"/>
                <w:w w:val="82"/>
              </w:rPr>
              <w:t>2021</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1,839</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5,700</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following table sets forth the stock-based compensation under the Legacy and 2021 Plans by award type: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3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72"/>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71"/>
              <w:spacing w:after="0"/>
              <w:rPr>
                <w:sz w:val="20"/>
                <w:szCs w:val="20"/>
                <w:color w:val="auto"/>
              </w:rPr>
            </w:pPr>
            <w:r>
              <w:rPr>
                <w:rFonts w:ascii="Arial" w:cs="Arial" w:eastAsia="Arial" w:hAnsi="Arial"/>
                <w:sz w:val="13"/>
                <w:szCs w:val="13"/>
                <w:b w:val="1"/>
                <w:bCs w:val="1"/>
                <w:color w:val="auto"/>
                <w:w w:val="82"/>
              </w:rPr>
              <w:t>2021</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5,768</w:t>
            </w:r>
          </w:p>
        </w:tc>
        <w:tc>
          <w:tcPr>
            <w:tcW w:w="0" w:type="dxa"/>
            <w:vAlign w:val="bottom"/>
          </w:tcPr>
          <w:p>
            <w:pPr>
              <w:spacing w:after="0"/>
              <w:rPr>
                <w:sz w:val="1"/>
                <w:szCs w:val="1"/>
                <w:color w:val="auto"/>
              </w:rPr>
            </w:pPr>
          </w:p>
        </w:tc>
      </w:tr>
      <w:tr>
        <w:trPr>
          <w:trHeight w:val="180"/>
        </w:trPr>
        <w:tc>
          <w:tcPr>
            <w:tcW w:w="7340" w:type="dxa"/>
            <w:vAlign w:val="bottom"/>
          </w:tcPr>
          <w:p>
            <w:pPr>
              <w:ind w:left="20"/>
              <w:spacing w:after="0"/>
              <w:rPr>
                <w:sz w:val="20"/>
                <w:szCs w:val="20"/>
                <w:color w:val="auto"/>
              </w:rPr>
            </w:pPr>
            <w:r>
              <w:rPr>
                <w:rFonts w:ascii="Arial" w:cs="Arial" w:eastAsia="Arial" w:hAnsi="Arial"/>
                <w:sz w:val="14"/>
                <w:szCs w:val="14"/>
                <w:color w:val="auto"/>
              </w:rPr>
              <w:t>RSUs &amp; RSAs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ESPP</w:t>
            </w:r>
          </w:p>
        </w:tc>
        <w:tc>
          <w:tcPr>
            <w:tcW w:w="4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340" w:type="dxa"/>
            <w:vAlign w:val="bottom"/>
          </w:tcPr>
          <w:p>
            <w:pPr>
              <w:ind w:left="18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5,768</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 Awards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Performance awards under the 2021 Plan are accounted for as liability-classified awards, as the obligations are typically a fixed monetary amount which is settled on a future date in a variable number of shares of the Company’s common stock. The variable number of potentially settled shares is not limited. Performance awards are measured at their fair value based on management’s estimates of potential outcomes of the performance. Outstanding performance awards correspond to 21,944 shares if they were settled on March 31, 2022.</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Modifications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August 31, 2021, in connection with the resignation of one of the Company’s former officers, the Company modified the former officer’s outstanding awards, which resulted in the vesting of options for 273,571 shares. The modified option awards have an exercise price of $0.28 per share, expected term of 6.25 years, a risk-free rate of 0.86%, expected volatility of 97% and no expected dividends. This Type III modification resulted in a remeasured fair value of $10.91 per share. The incremental compensation related to the accelerated options totaled $2.9 million.</w:t>
      </w:r>
    </w:p>
    <w:p>
      <w:pPr>
        <w:spacing w:after="0" w:line="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May 22, 2021, in connection with the resignation of one of the Company’s former directors, the Company modified the former director’s outstanding award, which resulted in the vesting of options for 205,618 shares.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7" w:name="page28"/>
    <w:bookmarkEnd w:id="27"/>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and Stock-based Compensation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modified option award has an exercise price of $0.28 per share, expected term of one year, a risk-free rate of 0.04%, expected volatility of 65% and no expected dividends. This Type III modification resulted in a remeasured fair value of $10.78 per share. The incremental compensation related to the accelerated options totaled $2.2 million.</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January 25, 2021, in connection with the resignation of the Company’s former Chief Executive Officer (“CEO”), Mikhail Kokorich, the Company modified his outstanding awards, which resulted in the vesting of options for 261,070 shares. The modified option awards have exercise prices ranging from $0.04 to $0.28 per share, an expected term of one year, a risk-free interest rate of 0.10%, an expected volatility of 78% and no expected dividends. This Type III modification resulted in a remeasured fair values ranging from $20.67 to $20.91 per share. The incremental compensation related to the accelerated options totaled $5.4 million.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a 401(k) plan that it offers to its full-time employees. The Company did not contribute to the plan for the three months ended March 31,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40" w:type="dxa"/>
            <w:vAlign w:val="bottom"/>
          </w:tcPr>
          <w:p>
            <w:pPr>
              <w:spacing w:after="0"/>
              <w:rPr>
                <w:sz w:val="20"/>
                <w:szCs w:val="20"/>
                <w:color w:val="auto"/>
              </w:rPr>
            </w:pPr>
            <w:r>
              <w:rPr>
                <w:rFonts w:ascii="Arial" w:cs="Arial" w:eastAsia="Arial" w:hAnsi="Arial"/>
                <w:sz w:val="14"/>
                <w:szCs w:val="14"/>
                <w:b w:val="1"/>
                <w:bCs w:val="1"/>
                <w:i w:val="1"/>
                <w:iCs w:val="1"/>
                <w:color w:val="auto"/>
              </w:rPr>
              <w:t>Income (Loss) Per Share</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7840" w:type="dxa"/>
            <w:vAlign w:val="bottom"/>
          </w:tcPr>
          <w:p>
            <w:pPr>
              <w:spacing w:after="0"/>
              <w:rPr>
                <w:sz w:val="20"/>
                <w:szCs w:val="20"/>
                <w:color w:val="auto"/>
              </w:rPr>
            </w:pPr>
            <w:r>
              <w:rPr>
                <w:rFonts w:ascii="Arial" w:cs="Arial" w:eastAsia="Arial" w:hAnsi="Arial"/>
                <w:sz w:val="14"/>
                <w:szCs w:val="14"/>
                <w:color w:val="auto"/>
              </w:rPr>
              <w:t>The following table sets forth the computation of diluted net income (loss) per share:</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Diluted Net Income (Loss) Per Share</w:t>
            </w:r>
          </w:p>
        </w:tc>
        <w:tc>
          <w:tcPr>
            <w:tcW w:w="40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84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share-based data)</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(26,834)</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64,671</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Arial" w:cs="Arial" w:eastAsia="Arial" w:hAnsi="Arial"/>
                <w:sz w:val="14"/>
                <w:szCs w:val="14"/>
                <w:color w:val="auto"/>
              </w:rPr>
              <w:t>Decrease in fair value of SAFE notes</w:t>
            </w:r>
          </w:p>
        </w:tc>
        <w:tc>
          <w:tcPr>
            <w:tcW w:w="40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(81,564)</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Increase in fair value of warrants</w:t>
            </w:r>
          </w:p>
        </w:tc>
        <w:tc>
          <w:tcPr>
            <w:tcW w:w="4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(8,081)</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Arial" w:cs="Arial" w:eastAsia="Arial" w:hAnsi="Arial"/>
                <w:sz w:val="14"/>
                <w:szCs w:val="14"/>
                <w:color w:val="auto"/>
              </w:rPr>
              <w:t>Undistributed loss allocated to common stockholders for diluted net loss per share</w:t>
            </w: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(26,834)</w:t>
            </w: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(24,974)</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Denominator for basic net income (loss) per share - weighted average shares outstanding</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79,958,383</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62,733,080</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Dilutive options and unvested stock units outstanding</w:t>
            </w:r>
          </w:p>
        </w:tc>
        <w:tc>
          <w:tcPr>
            <w:tcW w:w="4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6,914,766</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Arial" w:cs="Arial" w:eastAsia="Arial" w:hAnsi="Arial"/>
                <w:sz w:val="14"/>
                <w:szCs w:val="14"/>
                <w:color w:val="auto"/>
              </w:rPr>
              <w:t>Dilutive warrants outstanding</w:t>
            </w:r>
          </w:p>
        </w:tc>
        <w:tc>
          <w:tcPr>
            <w:tcW w:w="4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1,163,377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Dilutive SAFE notes outstanding (shares not reserved)</w:t>
            </w:r>
          </w:p>
        </w:tc>
        <w:tc>
          <w:tcPr>
            <w:tcW w:w="4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16,873,595</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Arial" w:cs="Arial" w:eastAsia="Arial" w:hAnsi="Arial"/>
                <w:sz w:val="14"/>
                <w:szCs w:val="14"/>
                <w:color w:val="auto"/>
              </w:rPr>
              <w:t>Denominator for diluted net income (loss) per share - adjusted weighted average shares outstanding</w:t>
            </w: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79,958,383</w:t>
            </w: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87,684,818</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Net income (loss) per share - diluted</w:t>
            </w: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Net income (loss) per share is provided in accordance with ASC 260-10, </w:t>
      </w:r>
      <w:r>
        <w:rPr>
          <w:rFonts w:ascii="Arial" w:cs="Arial" w:eastAsia="Arial" w:hAnsi="Arial"/>
          <w:sz w:val="14"/>
          <w:szCs w:val="14"/>
          <w:i w:val="1"/>
          <w:iCs w:val="1"/>
          <w:color w:val="auto"/>
        </w:rPr>
        <w:t>Earnings Per Share</w:t>
      </w:r>
      <w:r>
        <w:rPr>
          <w:rFonts w:ascii="Arial" w:cs="Arial" w:eastAsia="Arial" w:hAnsi="Arial"/>
          <w:sz w:val="14"/>
          <w:szCs w:val="14"/>
          <w:color w:val="auto"/>
        </w:rPr>
        <w:t>. Basic earnings per share is computed by dividing net income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the Company incurred a net loss for the three months ended March 31, 2022, the inclusion of certain options, unvested stock units, warrants, and contingent Sponsor Earnout Shares in the calculation of diluted earnings per share would be anti-dilutive, and, accordingly, were excluded from the diluted loss per share calculation. As the Company had net income for the three months ended March 31, 2021, there were no exclusions from the diluted income per share calculation.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8" w:name="page29"/>
    <w:bookmarkEnd w:id="28"/>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and Stock-based Compensation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potential common shares that were excluded as their effect is anti-dilutive:</w:t>
      </w:r>
    </w:p>
    <w:p>
      <w:pPr>
        <w:spacing w:after="0" w:line="136"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Three Months Ended</w:t>
      </w:r>
    </w:p>
    <w:p>
      <w:pPr>
        <w:jc w:val="center"/>
        <w:ind w:left="78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4"/>
                <w:szCs w:val="14"/>
                <w:b w:val="1"/>
                <w:bCs w:val="1"/>
                <w:color w:val="auto"/>
              </w:rPr>
              <w:t>2021</w:t>
            </w:r>
          </w:p>
        </w:tc>
      </w:tr>
      <w:tr>
        <w:trPr>
          <w:trHeight w:val="171"/>
        </w:trPr>
        <w:tc>
          <w:tcPr>
            <w:tcW w:w="7840" w:type="dxa"/>
            <w:vAlign w:val="bottom"/>
          </w:tcPr>
          <w:p>
            <w:pPr>
              <w:ind w:left="20"/>
              <w:spacing w:after="0"/>
              <w:rPr>
                <w:sz w:val="20"/>
                <w:szCs w:val="20"/>
                <w:color w:val="auto"/>
              </w:rPr>
            </w:pPr>
            <w:r>
              <w:rPr>
                <w:rFonts w:ascii="Arial" w:cs="Arial" w:eastAsia="Arial" w:hAnsi="Arial"/>
                <w:sz w:val="14"/>
                <w:szCs w:val="14"/>
                <w:color w:val="auto"/>
              </w:rPr>
              <w:t>Options and unvested stock units outstanding</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6,884,261</w:t>
            </w:r>
          </w:p>
        </w:tc>
        <w:tc>
          <w:tcPr>
            <w:tcW w:w="80" w:type="dxa"/>
            <w:vAlign w:val="bottom"/>
          </w:tcPr>
          <w:p>
            <w:pPr>
              <w:spacing w:after="0"/>
              <w:rPr>
                <w:sz w:val="14"/>
                <w:szCs w:val="14"/>
                <w:color w:val="auto"/>
              </w:rPr>
            </w:pPr>
          </w:p>
        </w:tc>
        <w:tc>
          <w:tcPr>
            <w:tcW w:w="1680" w:type="dxa"/>
            <w:vAlign w:val="bottom"/>
          </w:tcPr>
          <w:p>
            <w:pPr>
              <w:ind w:left="1420"/>
              <w:spacing w:after="0"/>
              <w:rPr>
                <w:sz w:val="20"/>
                <w:szCs w:val="20"/>
                <w:color w:val="auto"/>
              </w:rPr>
            </w:pPr>
            <w:r>
              <w:rPr>
                <w:rFonts w:ascii="Arial" w:cs="Arial" w:eastAsia="Arial" w:hAnsi="Arial"/>
                <w:sz w:val="14"/>
                <w:szCs w:val="14"/>
                <w:color w:val="auto"/>
              </w:rPr>
              <w:t>N/A</w:t>
            </w:r>
          </w:p>
        </w:tc>
      </w:tr>
      <w:tr>
        <w:trPr>
          <w:trHeight w:val="181"/>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Warrant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20,156,621</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N/A</w:t>
            </w:r>
          </w:p>
        </w:tc>
      </w:tr>
      <w:tr>
        <w:trPr>
          <w:trHeight w:val="180"/>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Contingent Sponsor Earnout Shares</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1,437,500</w:t>
            </w:r>
          </w:p>
        </w:tc>
        <w:tc>
          <w:tcPr>
            <w:tcW w:w="80" w:type="dxa"/>
            <w:vAlign w:val="bottom"/>
          </w:tcPr>
          <w:p>
            <w:pPr>
              <w:spacing w:after="0"/>
              <w:rPr>
                <w:sz w:val="15"/>
                <w:szCs w:val="15"/>
                <w:color w:val="auto"/>
              </w:rPr>
            </w:pPr>
          </w:p>
        </w:tc>
        <w:tc>
          <w:tcPr>
            <w:tcW w:w="1680" w:type="dxa"/>
            <w:vAlign w:val="bottom"/>
          </w:tcPr>
          <w:p>
            <w:pPr>
              <w:ind w:left="1420"/>
              <w:spacing w:after="0"/>
              <w:rPr>
                <w:sz w:val="20"/>
                <w:szCs w:val="20"/>
                <w:color w:val="auto"/>
              </w:rPr>
            </w:pPr>
            <w:r>
              <w:rPr>
                <w:rFonts w:ascii="Arial" w:cs="Arial" w:eastAsia="Arial" w:hAnsi="Arial"/>
                <w:sz w:val="14"/>
                <w:szCs w:val="14"/>
                <w:color w:val="auto"/>
              </w:rPr>
              <w:t>N/A</w:t>
            </w:r>
          </w:p>
        </w:tc>
      </w:tr>
      <w:tr>
        <w:trPr>
          <w:trHeight w:val="196"/>
        </w:trPr>
        <w:tc>
          <w:tcPr>
            <w:tcW w:w="7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28,478,382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Arial" w:cs="Arial" w:eastAsia="Arial" w:hAnsi="Arial"/>
                <w:sz w:val="14"/>
                <w:szCs w:val="14"/>
                <w:color w:val="auto"/>
              </w:rPr>
              <w:t>N/A</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Commitments and Contingencies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Obligations</w:t>
      </w:r>
    </w:p>
    <w:p>
      <w:pPr>
        <w:spacing w:after="0" w:line="11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March 31, 2022, the Company’s future unconditional purchase obligations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10,277</w:t>
            </w:r>
          </w:p>
        </w:tc>
      </w:tr>
      <w:tr>
        <w:trPr>
          <w:trHeight w:val="180"/>
        </w:trPr>
        <w:tc>
          <w:tcPr>
            <w:tcW w:w="9260" w:type="dxa"/>
            <w:vAlign w:val="bottom"/>
          </w:tcPr>
          <w:p>
            <w:pPr>
              <w:ind w:left="20"/>
              <w:spacing w:after="0"/>
              <w:rPr>
                <w:sz w:val="20"/>
                <w:szCs w:val="20"/>
                <w:color w:val="auto"/>
              </w:rPr>
            </w:pPr>
            <w:r>
              <w:rPr>
                <w:rFonts w:ascii="Arial" w:cs="Arial" w:eastAsia="Arial" w:hAnsi="Arial"/>
                <w:sz w:val="14"/>
                <w:szCs w:val="14"/>
                <w:color w:val="auto"/>
              </w:rPr>
              <w:t>2023</w:t>
            </w:r>
          </w:p>
        </w:tc>
        <w:tc>
          <w:tcPr>
            <w:tcW w:w="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11,300</w:t>
            </w:r>
          </w:p>
        </w:tc>
      </w:tr>
      <w:tr>
        <w:trPr>
          <w:trHeight w:val="181"/>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8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9260" w:type="dxa"/>
            <w:vAlign w:val="bottom"/>
          </w:tcPr>
          <w:p>
            <w:pPr>
              <w:ind w:left="20"/>
              <w:spacing w:after="0"/>
              <w:rPr>
                <w:sz w:val="20"/>
                <w:szCs w:val="20"/>
                <w:color w:val="auto"/>
              </w:rPr>
            </w:pPr>
            <w:r>
              <w:rPr>
                <w:rFonts w:ascii="Arial" w:cs="Arial" w:eastAsia="Arial" w:hAnsi="Arial"/>
                <w:sz w:val="14"/>
                <w:szCs w:val="14"/>
                <w:color w:val="auto"/>
              </w:rPr>
              <w:t>Total</w:t>
            </w:r>
          </w:p>
        </w:tc>
        <w:tc>
          <w:tcPr>
            <w:tcW w:w="820" w:type="dxa"/>
            <w:vAlign w:val="bottom"/>
          </w:tcPr>
          <w:p>
            <w:pPr>
              <w:jc w:val="right"/>
              <w:ind w:right="6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21,577</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Securities Class Actions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Arial" w:cs="Arial" w:eastAsia="Arial" w:hAnsi="Arial"/>
          <w:sz w:val="14"/>
          <w:szCs w:val="14"/>
          <w:i w:val="1"/>
          <w:iCs w:val="1"/>
          <w:color w:val="auto"/>
        </w:rPr>
        <w:t>Jensen v. Stable</w:t>
      </w:r>
      <w:r>
        <w:rPr>
          <w:rFonts w:ascii="Arial" w:cs="Arial" w:eastAsia="Arial" w:hAnsi="Arial"/>
          <w:sz w:val="14"/>
          <w:szCs w:val="14"/>
          <w:color w:val="auto"/>
        </w:rPr>
        <w:t xml:space="preserve"> </w:t>
      </w:r>
      <w:r>
        <w:rPr>
          <w:rFonts w:ascii="Arial" w:cs="Arial" w:eastAsia="Arial" w:hAnsi="Arial"/>
          <w:sz w:val="14"/>
          <w:szCs w:val="14"/>
          <w:i w:val="1"/>
          <w:iCs w:val="1"/>
          <w:color w:val="auto"/>
        </w:rPr>
        <w:t>Road Acquisition Corp</w:t>
      </w:r>
      <w:r>
        <w:rPr>
          <w:rFonts w:ascii="Arial" w:cs="Arial" w:eastAsia="Arial" w:hAnsi="Arial"/>
          <w:sz w:val="14"/>
          <w:szCs w:val="14"/>
          <w:color w:val="auto"/>
        </w:rPr>
        <w:t>.,</w:t>
      </w:r>
      <w:r>
        <w:rPr>
          <w:rFonts w:ascii="Arial" w:cs="Arial" w:eastAsia="Arial" w:hAnsi="Arial"/>
          <w:sz w:val="14"/>
          <w:szCs w:val="14"/>
          <w:i w:val="1"/>
          <w:iCs w:val="1"/>
          <w:color w:val="auto"/>
        </w:rPr>
        <w:t xml:space="preserve"> et al</w:t>
      </w:r>
      <w:r>
        <w:rPr>
          <w:rFonts w:ascii="Arial" w:cs="Arial" w:eastAsia="Arial" w:hAnsi="Arial"/>
          <w:sz w:val="14"/>
          <w:szCs w:val="14"/>
          <w:color w:val="auto"/>
        </w:rPr>
        <w:t>., No. 2:21-cv-05744 (the "</w:t>
      </w:r>
      <w:r>
        <w:rPr>
          <w:rFonts w:ascii="Arial" w:cs="Arial" w:eastAsia="Arial" w:hAnsi="Arial"/>
          <w:sz w:val="14"/>
          <w:szCs w:val="14"/>
          <w:i w:val="1"/>
          <w:iCs w:val="1"/>
          <w:color w:val="auto"/>
        </w:rPr>
        <w:t xml:space="preserve">Jensen </w:t>
      </w:r>
      <w:r>
        <w:rPr>
          <w:rFonts w:ascii="Arial" w:cs="Arial" w:eastAsia="Arial" w:hAnsi="Arial"/>
          <w:sz w:val="14"/>
          <w:szCs w:val="14"/>
          <w:color w:val="auto"/>
        </w:rPr>
        <w:t>class action"). The complaint alleges that the defendants omitted certain material information in their public statements and disclosures</w:t>
      </w:r>
      <w:r>
        <w:rPr>
          <w:rFonts w:ascii="Arial" w:cs="Arial" w:eastAsia="Arial" w:hAnsi="Arial"/>
          <w:sz w:val="14"/>
          <w:szCs w:val="14"/>
          <w:i w:val="1"/>
          <w:iCs w:val="1"/>
          <w:color w:val="auto"/>
        </w:rPr>
        <w:t xml:space="preserve"> </w:t>
      </w:r>
      <w:r>
        <w:rPr>
          <w:rFonts w:ascii="Arial" w:cs="Arial" w:eastAsia="Arial" w:hAnsi="Arial"/>
          <w:sz w:val="14"/>
          <w:szCs w:val="14"/>
          <w:color w:val="auto"/>
        </w:rPr>
        <w:t>regarding the Proposed Transaction, in violation of the securities laws, and seeks damages on behalf of a putative class of stockholders who purchased SRAC stock between October 7, 2020 and July 13, 2021.</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On July 22, 2021 and August 4, 2021, purported stockholders of SRAC filed putative class action complaints against SRAC, SRC-NI Holdings, LLC, Brian Kabot, James Norris, Momentus, and Mikhail Kokorich in the United States District Court for the Central District of California, in cases captioned </w:t>
      </w:r>
      <w:r>
        <w:rPr>
          <w:rFonts w:ascii="Arial" w:cs="Arial" w:eastAsia="Arial" w:hAnsi="Arial"/>
          <w:sz w:val="14"/>
          <w:szCs w:val="14"/>
          <w:i w:val="1"/>
          <w:iCs w:val="1"/>
          <w:color w:val="auto"/>
        </w:rPr>
        <w:t>Hall v. Stable Road Acquisition Corp</w:t>
      </w:r>
      <w:r>
        <w:rPr>
          <w:rFonts w:ascii="Arial" w:cs="Arial" w:eastAsia="Arial" w:hAnsi="Arial"/>
          <w:sz w:val="14"/>
          <w:szCs w:val="14"/>
          <w:color w:val="auto"/>
        </w:rPr>
        <w:t xml:space="preserve">., </w:t>
      </w:r>
      <w:r>
        <w:rPr>
          <w:rFonts w:ascii="Arial" w:cs="Arial" w:eastAsia="Arial" w:hAnsi="Arial"/>
          <w:sz w:val="14"/>
          <w:szCs w:val="14"/>
          <w:i w:val="1"/>
          <w:iCs w:val="1"/>
          <w:color w:val="auto"/>
        </w:rPr>
        <w:t>et al</w:t>
      </w:r>
      <w:r>
        <w:rPr>
          <w:rFonts w:ascii="Arial" w:cs="Arial" w:eastAsia="Arial" w:hAnsi="Arial"/>
          <w:sz w:val="14"/>
          <w:szCs w:val="14"/>
          <w:color w:val="auto"/>
        </w:rPr>
        <w:t>., No. 2:21-cv-05943 (the "</w:t>
      </w:r>
      <w:r>
        <w:rPr>
          <w:rFonts w:ascii="Arial" w:cs="Arial" w:eastAsia="Arial" w:hAnsi="Arial"/>
          <w:sz w:val="14"/>
          <w:szCs w:val="14"/>
          <w:i w:val="1"/>
          <w:iCs w:val="1"/>
          <w:color w:val="auto"/>
        </w:rPr>
        <w:t>Hall</w:t>
      </w:r>
      <w:r>
        <w:rPr>
          <w:rFonts w:ascii="Arial" w:cs="Arial" w:eastAsia="Arial" w:hAnsi="Arial"/>
          <w:sz w:val="14"/>
          <w:szCs w:val="14"/>
          <w:color w:val="auto"/>
        </w:rPr>
        <w:t xml:space="preserve"> class action") and </w:t>
      </w:r>
      <w:r>
        <w:rPr>
          <w:rFonts w:ascii="Arial" w:cs="Arial" w:eastAsia="Arial" w:hAnsi="Arial"/>
          <w:sz w:val="14"/>
          <w:szCs w:val="14"/>
          <w:i w:val="1"/>
          <w:iCs w:val="1"/>
          <w:color w:val="auto"/>
        </w:rPr>
        <w:t>Depoy v. Stable Road Acquisition Corp</w:t>
      </w:r>
      <w:r>
        <w:rPr>
          <w:rFonts w:ascii="Arial" w:cs="Arial" w:eastAsia="Arial" w:hAnsi="Arial"/>
          <w:sz w:val="14"/>
          <w:szCs w:val="14"/>
          <w:color w:val="auto"/>
        </w:rPr>
        <w:t xml:space="preserve">., </w:t>
      </w:r>
      <w:r>
        <w:rPr>
          <w:rFonts w:ascii="Arial" w:cs="Arial" w:eastAsia="Arial" w:hAnsi="Arial"/>
          <w:sz w:val="14"/>
          <w:szCs w:val="14"/>
          <w:i w:val="1"/>
          <w:iCs w:val="1"/>
          <w:color w:val="auto"/>
        </w:rPr>
        <w:t>et al</w:t>
      </w:r>
      <w:r>
        <w:rPr>
          <w:rFonts w:ascii="Arial" w:cs="Arial" w:eastAsia="Arial" w:hAnsi="Arial"/>
          <w:sz w:val="14"/>
          <w:szCs w:val="14"/>
          <w:color w:val="auto"/>
        </w:rPr>
        <w:t>., No. 2:21-cv-06287 (the "</w:t>
      </w:r>
      <w:r>
        <w:rPr>
          <w:rFonts w:ascii="Arial" w:cs="Arial" w:eastAsia="Arial" w:hAnsi="Arial"/>
          <w:sz w:val="14"/>
          <w:szCs w:val="14"/>
          <w:i w:val="1"/>
          <w:iCs w:val="1"/>
          <w:color w:val="auto"/>
        </w:rPr>
        <w:t>Depoy</w:t>
      </w:r>
      <w:r>
        <w:rPr>
          <w:rFonts w:ascii="Arial" w:cs="Arial" w:eastAsia="Arial" w:hAnsi="Arial"/>
          <w:sz w:val="14"/>
          <w:szCs w:val="14"/>
          <w:color w:val="auto"/>
        </w:rPr>
        <w:t xml:space="preserve"> class action"). The allegations in the </w:t>
      </w:r>
      <w:r>
        <w:rPr>
          <w:rFonts w:ascii="Arial" w:cs="Arial" w:eastAsia="Arial" w:hAnsi="Arial"/>
          <w:sz w:val="14"/>
          <w:szCs w:val="14"/>
          <w:i w:val="1"/>
          <w:iCs w:val="1"/>
          <w:color w:val="auto"/>
        </w:rPr>
        <w:t>Hall</w:t>
      </w:r>
      <w:r>
        <w:rPr>
          <w:rFonts w:ascii="Arial" w:cs="Arial" w:eastAsia="Arial" w:hAnsi="Arial"/>
          <w:sz w:val="14"/>
          <w:szCs w:val="14"/>
          <w:color w:val="auto"/>
        </w:rPr>
        <w:t xml:space="preserve"> and </w:t>
      </w:r>
      <w:r>
        <w:rPr>
          <w:rFonts w:ascii="Arial" w:cs="Arial" w:eastAsia="Arial" w:hAnsi="Arial"/>
          <w:sz w:val="14"/>
          <w:szCs w:val="14"/>
          <w:i w:val="1"/>
          <w:iCs w:val="1"/>
          <w:color w:val="auto"/>
        </w:rPr>
        <w:t>Depoy</w:t>
      </w:r>
      <w:r>
        <w:rPr>
          <w:rFonts w:ascii="Arial" w:cs="Arial" w:eastAsia="Arial" w:hAnsi="Arial"/>
          <w:sz w:val="14"/>
          <w:szCs w:val="14"/>
          <w:color w:val="auto"/>
        </w:rPr>
        <w:t xml:space="preserve"> class actions are substantially the same as the allegations in the </w:t>
      </w:r>
      <w:r>
        <w:rPr>
          <w:rFonts w:ascii="Arial" w:cs="Arial" w:eastAsia="Arial" w:hAnsi="Arial"/>
          <w:sz w:val="14"/>
          <w:szCs w:val="14"/>
          <w:i w:val="1"/>
          <w:iCs w:val="1"/>
          <w:color w:val="auto"/>
        </w:rPr>
        <w:t>Jensen</w:t>
      </w:r>
      <w:r>
        <w:rPr>
          <w:rFonts w:ascii="Arial" w:cs="Arial" w:eastAsia="Arial" w:hAnsi="Arial"/>
          <w:sz w:val="14"/>
          <w:szCs w:val="14"/>
          <w:color w:val="auto"/>
        </w:rPr>
        <w:t xml:space="preserve"> class action (collectively, referred to as the "securities class actions") and the purported class period is identical. On October 20, 2021, the securities class actions were consolidated in the first filed matter. Other, similar suits may follow.</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November 12, 2021, Lead Plaintiff Hartmut Haenisch filed an Amended Consolidated Class Action Complaint (the “Amended Complaint”) against SRAC, Sponsor, Brian Kabot, Juan Manuel Quiroga, James Norris, James Hofmockel, Momentus, Mikhail Kokorich, Dawn Harms, and Fred Kennedy. Ms. Harms and Mr. Kennedy, and others, were added as defendants in the Amended Complaint. The Amended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between October 7, 2020 and July 13, 2021. On February 14, 2022, Momentus filed a motion to dismiss the Amended Complaint. Momentus disputes the allegations in the Amended Complaint and intends to vigorously defend the litigation.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9" w:name="page30"/>
    <w:bookmarkEnd w:id="29"/>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12. Commitments and Contingencies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These securities class actions and other such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 Settlement and CFIUS Review</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On January 24, 2021, the Company received a subpoena from the Division of Enforcement of the U.S. Securities and Exchange Commission ("Division of Enforcement") requesting documents regarding the Registration Statement on Form S-4 and Amendment No. 1 thereto (the "Registration Statement") filed by SRAC in connection with the Business Combination. The Company entered into a settlement with the SEC on July 8, 2021. As a result of the settlement, in accordance with ASC Topic 450, </w:t>
      </w:r>
      <w:r>
        <w:rPr>
          <w:rFonts w:ascii="Arial" w:cs="Arial" w:eastAsia="Arial" w:hAnsi="Arial"/>
          <w:sz w:val="14"/>
          <w:szCs w:val="14"/>
          <w:i w:val="1"/>
          <w:iCs w:val="1"/>
          <w:color w:val="auto"/>
        </w:rPr>
        <w:t>Contingencies</w:t>
      </w:r>
      <w:r>
        <w:rPr>
          <w:rFonts w:ascii="Arial" w:cs="Arial" w:eastAsia="Arial" w:hAnsi="Arial"/>
          <w:sz w:val="14"/>
          <w:szCs w:val="14"/>
          <w:color w:val="auto"/>
        </w:rPr>
        <w:t>, (“ASC 450”) the Company paid a fine of $2 million and recorded a liability of $5 million, due one year from the settlement date.</w:t>
      </w: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February 2021, the Company and Mr. Kokorich, with support from SRAC,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a National Security Agreement (the "NSA").</w:t>
      </w:r>
    </w:p>
    <w:p>
      <w:pPr>
        <w:spacing w:after="0" w:line="6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accordance with the NSA and pursuant to certain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(see Note 11).</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evaluated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resulting in an estimated liability of $6.0 million expected to be paid to the Co-Founders with a corresponding offset to additional paid in capital, as of March 31, 2022.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30" w:name="page31"/>
    <w:bookmarkEnd w:id="30"/>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12. Commitments and Contingencies </w:t>
      </w:r>
      <w:r>
        <w:rPr>
          <w:rFonts w:ascii="Arial" w:cs="Arial" w:eastAsia="Arial" w:hAnsi="Arial"/>
          <w:sz w:val="14"/>
          <w:szCs w:val="14"/>
          <w:color w:val="auto"/>
        </w:rPr>
        <w:t>(cont.)</w:t>
      </w:r>
    </w:p>
    <w:p>
      <w:pPr>
        <w:spacing w:after="0" w:line="200" w:lineRule="exact"/>
        <w:rPr>
          <w:sz w:val="20"/>
          <w:szCs w:val="20"/>
          <w:color w:val="auto"/>
        </w:rPr>
      </w:pP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NSA establishes various requirements and restrictions on the Company to protect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$1,000,000 per breach of the NSA. If the CFIUS monitoring agencies, the U.S. Departments of Defense and Treasury, find noncompliance, the CFIUS monitoring agencies could impose penalties, including liquidated damages.</w:t>
      </w:r>
    </w:p>
    <w:p>
      <w:pPr>
        <w:spacing w:after="0" w:line="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incurred legal expenses related to these matters of approximately $0.8 million during the three months ended March 31, 2022 and expects to continue to incur legal expenses in the future.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Litigation and Related Matters</w:t>
      </w:r>
    </w:p>
    <w:p>
      <w:pPr>
        <w:spacing w:after="0" w:line="125"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 xml:space="preserve">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 </w:t>
      </w:r>
      <w:r>
        <w:rPr>
          <w:rFonts w:ascii="Arial" w:cs="Arial" w:eastAsia="Arial" w:hAnsi="Arial"/>
          <w:sz w:val="12"/>
          <w:szCs w:val="12"/>
          <w:i w:val="1"/>
          <w:iCs w:val="1"/>
          <w:color w:val="auto"/>
        </w:rPr>
        <w:t>Contingencies</w:t>
      </w:r>
      <w:r>
        <w:rPr>
          <w:rFonts w:ascii="Arial" w:cs="Arial" w:eastAsia="Arial" w:hAnsi="Arial"/>
          <w:sz w:val="12"/>
          <w:szCs w:val="12"/>
          <w:color w:val="auto"/>
        </w:rPr>
        <w:t>. Legal fees are expensed as incurred.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Income Taxes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effective tax rate for the three months ended March 31, 2022 and 2021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Subsequent Events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Regulatory approval for inaugural launch</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31" w:name="page32"/>
    <w:bookmarkEnd w:id="31"/>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MOMENTUS’ MANAGEMENT’S DISCUSSION AND ANALYSIS OF FINANCIAL CONDITION AND RESULTS OF OPERATIONS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This discussion and analysis should also be read together with our financial information for the period ended and as of March 31, 2022.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in the Annual Report on Form 10-K filed by the Company on March 9, 2022 and “Cautionary Statement Regarding Forward-Looking Statements” elsewhere in this Form 10-Q, our actual results may differ materially from those anticipated in these forward-looking statements.</w:t>
      </w:r>
    </w:p>
    <w:p>
      <w:pPr>
        <w:spacing w:after="0" w:line="97" w:lineRule="exact"/>
        <w:rPr>
          <w:sz w:val="20"/>
          <w:szCs w:val="20"/>
          <w:color w:val="auto"/>
        </w:rPr>
      </w:pPr>
    </w:p>
    <w:p>
      <w:pPr>
        <w:jc w:val="both"/>
        <w:spacing w:after="0" w:line="331" w:lineRule="auto"/>
        <w:rPr>
          <w:sz w:val="20"/>
          <w:szCs w:val="20"/>
          <w:color w:val="auto"/>
        </w:rPr>
      </w:pPr>
      <w:r>
        <w:rPr>
          <w:rFonts w:ascii="Arial" w:cs="Arial" w:eastAsia="Arial" w:hAnsi="Arial"/>
          <w:sz w:val="12"/>
          <w:szCs w:val="12"/>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Momentus plans to offer transportation and infrastructure services to help enable the commercialization of space. Satellite operators are our principal customers and target customers. Services that we plan to provide include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given our choice of water as a propellant.</w:t>
      </w:r>
    </w:p>
    <w:p>
      <w:pPr>
        <w:spacing w:after="0" w:line="8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Orbital Transfer Vehicles (“OTVs”)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w:t>
      </w:r>
    </w:p>
    <w:p>
      <w:pPr>
        <w:spacing w:after="0" w:line="8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Since our founding in 2017, we have been working to develop, test and enhance our vehicles and supporting technologies, particularly our water plasma propulsion technology, and have signed contracts for approximately $69 million in backlog (potential revenue), as of April 30, 2022. These agreements contain firm orders as well as options, allowing customers to opt-in to launches on shorter notice without requiring a separate agreement. The breadth of these signed contracts spans across 25 companies.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Refer to “</w:t>
      </w:r>
      <w:r>
        <w:rPr>
          <w:rFonts w:ascii="Arial" w:cs="Arial" w:eastAsia="Arial" w:hAnsi="Arial"/>
          <w:sz w:val="14"/>
          <w:szCs w:val="14"/>
          <w:i w:val="1"/>
          <w:iCs w:val="1"/>
          <w:color w:val="auto"/>
        </w:rPr>
        <w:t>Risk Factors — We may not be able to convert our orders in backlog into revenue,”</w:t>
      </w:r>
      <w:r>
        <w:rPr>
          <w:rFonts w:ascii="Arial" w:cs="Arial" w:eastAsia="Arial" w:hAnsi="Arial"/>
          <w:sz w:val="14"/>
          <w:szCs w:val="14"/>
          <w:color w:val="auto"/>
        </w:rPr>
        <w:t xml:space="preserve"> in our Annual Report on Form 10-K filed by the Company on March 9, 2022.</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first launch with customers is currently anticipated to occur as early as May 2022, subject to receipt of licenses and government approvals, and successful completion of our current efforts to get the system ready for flight. Prior planned launches were cancelled due to not receiving required licenses and other governmental approvals and other factors, and we can offer no assurances that our first launch will occur in May 2022 or that we will ever receive the required licenses and other governmental approvals.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32" w:name="page33"/>
    <w:bookmarkEnd w:id="32"/>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services are made possible by the space industry’s rapid technological developments over the past two decades, driven predominantly by significant decreases in launch costs, as well as the advent of smaller, lower-cost satellites. This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7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anticipate there could be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(“LEO”) will continue to drive overall demand growth for space transportation services in the short-term as technology advancements continue to make space more accessible to new market entrants, although new applications beyond LEO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short lifespans and, in our view, will require maintenance, de-orbiting, and other general servicing with higher frequency.</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our expenses to increase substantially in connection with our ongoing activities, particularly as we continue to advance the development of our vehicles, build corporate infrastructure and enhance our sales and marketing functions.</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technology underlying our anticipated service offerings is still in the process of being developed, and has not been fully tested or validated in space. Our ability to execute on our business plan is dependent on the successful development and commercialization of the technologies described in this Quarterly Report on Form 10-Q. Although we believe our water plasma propulsion technology will be a key differentiator of our product offerings, we have to date only conducted one test of this technology in space. Although we believe our test unit generated plasma in space and validated the theoretical basis of our technology, we have yet to experimentally confirm the unit’s ability to generate thrust in space, which is crucial to our ability to conduct actual spacecraft maneuvers in orbit. Until we can accomplish this, the technology will remain in the experimental stages. Moreover, even if the unit generates thrust, there can be no assurance that it can be operated in a manner that is sufficiently reliable and efficient to permit full commercialization of the technology. Our statements and beliefs about the viability of our technology are primarily based on theoretical analyses and experimentally observed results during ground testing and our single test of this technology in space. Development of space technologies is extremely complex, time consuming, and expensive, and there can be no assurance that our predicted theoretical and ground-based results will translate into operational space vehicles that operate within the parameters we expect, or at all. This Quarterly Report on Form 10-Q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 Refer to “</w:t>
      </w:r>
      <w:r>
        <w:rPr>
          <w:rFonts w:ascii="Arial" w:cs="Arial" w:eastAsia="Arial" w:hAnsi="Arial"/>
          <w:sz w:val="13"/>
          <w:szCs w:val="13"/>
          <w:i w:val="1"/>
          <w:iCs w:val="1"/>
          <w:color w:val="auto"/>
        </w:rPr>
        <w:t>Risk Factors — A key component of our business model is the delivery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of satellites using our vehicles from low earth orbit to other orbits. The technology for this maneuver is still in the development stage...” </w:t>
      </w:r>
      <w:r>
        <w:rPr>
          <w:rFonts w:ascii="Arial" w:cs="Arial" w:eastAsia="Arial" w:hAnsi="Arial"/>
          <w:sz w:val="13"/>
          <w:szCs w:val="13"/>
          <w:color w:val="auto"/>
        </w:rPr>
        <w:t>in our Annual Report on Form 10-K filed by the Company on</w:t>
      </w:r>
      <w:r>
        <w:rPr>
          <w:rFonts w:ascii="Arial" w:cs="Arial" w:eastAsia="Arial" w:hAnsi="Arial"/>
          <w:sz w:val="13"/>
          <w:szCs w:val="13"/>
          <w:i w:val="1"/>
          <w:iCs w:val="1"/>
          <w:color w:val="auto"/>
        </w:rPr>
        <w:t xml:space="preserve"> </w:t>
      </w:r>
      <w:r>
        <w:rPr>
          <w:rFonts w:ascii="Arial" w:cs="Arial" w:eastAsia="Arial" w:hAnsi="Arial"/>
          <w:sz w:val="13"/>
          <w:szCs w:val="13"/>
          <w:color w:val="auto"/>
        </w:rPr>
        <w:t>March 9, 2022.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Services Overview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When our technology is fully developed and validated in the future, we currently plan to provide the following infrastructure services to the space economy:</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Space Transportation. </w:t>
      </w:r>
      <w:r>
        <w:rPr>
          <w:rFonts w:ascii="Arial" w:cs="Arial" w:eastAsia="Arial" w:hAnsi="Arial"/>
          <w:sz w:val="14"/>
          <w:szCs w:val="14"/>
          <w:color w:val="auto"/>
        </w:rPr>
        <w:t>We are designing a space transportation service based on a hub-and-spoke model, which combines ride share launch on a medium or large rocket with last-mile delivery using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one of our OTVs.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designing our water plasma thrusters to enable our vehicle to efficiently transport each customer payload to its respective orbit. We believe our hub-and-spoke model has the potential to expand our customers’ deployment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options relative to what they could achieve with ride share launch alone, while reducing their costs relative to what they could achieve with a dedicated small launch vehicle.</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Initially, after delivering our customer payloads to their final orbits, our vehicles will de-orbit. However, our plan is to develop the capability for our vehicles to be reusable, such that, upon delivery of the payload, they will be capable of remaining in space to conduct additional missions.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b w:val="1"/>
          <w:bCs w:val="1"/>
          <w:i w:val="1"/>
          <w:iCs w:val="1"/>
          <w:color w:val="auto"/>
        </w:rPr>
        <w:t>Hosted Payload</w:t>
      </w:r>
      <w:r>
        <w:rPr>
          <w:rFonts w:ascii="Arial" w:cs="Arial" w:eastAsia="Arial" w:hAnsi="Arial"/>
          <w:sz w:val="13"/>
          <w:szCs w:val="13"/>
          <w:color w:val="auto"/>
        </w:rPr>
        <w:t>. We are designing our transfer vehicles for modularity and ease of integration with customer payloads, and with a full suite of capabilities that our customers will need on orbit. Under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Hosted Payload model, our vehicle, after transporting a customer payload to a specific orbit, would stay connected to the payload for the duration of its mission to provide continuous power, orbit maintenance, orientation, and communications to support telemetry, commanding, and downlinking of payload data. Our objective is to offer a higher degree of modularity which we believe has the potential to significantly increase orbital accessibility and/or lower manufacturing costs for a wide range of satellite operators.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In-Orbit Servicing</w:t>
      </w:r>
      <w:r>
        <w:rPr>
          <w:rFonts w:ascii="Arial" w:cs="Arial" w:eastAsia="Arial" w:hAnsi="Arial"/>
          <w:sz w:val="14"/>
          <w:szCs w:val="14"/>
          <w:color w:val="auto"/>
        </w:rPr>
        <w:t>. We view in-orbit servicing of satellites as a quickly growing business opportunity. As the number of satellites in space increases, so does their need to be serviced. We plan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design Momentus’ future reusable vehicles to be capable of performing in-orbit servicing and are pursuing development activities that support this objective. Although we are still in very preliminary stages for developing this technology, our aim is to equip future vehicles with robotic arms and the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Affecting Our Performance</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believe that our performance and future success depend to a substantial extent on our ability to capitalize on the following opportunities, which in turn is subject to significant risks and challenges, including those discussed below and in the section titled “</w:t>
      </w:r>
      <w:r>
        <w:rPr>
          <w:rFonts w:ascii="Arial" w:cs="Arial" w:eastAsia="Arial" w:hAnsi="Arial"/>
          <w:sz w:val="14"/>
          <w:szCs w:val="14"/>
          <w:i w:val="1"/>
          <w:iCs w:val="1"/>
          <w:color w:val="auto"/>
        </w:rPr>
        <w:t>Risk Factors</w:t>
      </w:r>
      <w:r>
        <w:rPr>
          <w:rFonts w:ascii="Arial" w:cs="Arial" w:eastAsia="Arial" w:hAnsi="Arial"/>
          <w:sz w:val="14"/>
          <w:szCs w:val="14"/>
          <w:color w:val="auto"/>
        </w:rPr>
        <w:t>” in our Annual Report on Form 10-K filed by the Company on March 9, 2022.</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In-Space Transport and Service Vehicles and Related Technology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Our primary research and development objectives focus on the development of our existing and future in-space transfer and service vehicles and related water plasma propulsion technology.</w:t>
      </w:r>
    </w:p>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Vigoride is the first vehicle that Momentus is developing. Once fully developed, tested and validated in space, we expect Vigoride will be sufficient to meet our initial operating plan of offering in-space transportation in LEO to small satellites. Vigoride is intended to transport up to 750 kg of customer payload in LEO, although our payload capacity will likely be lower in most common configurations. We have set the delta-v and host power objectives for Vigoride at 2 km/sec and 1 kW, respectively, which we believe we can achieve a few years into our product roadmap. We have entered into a launch services agreement with SpaceX that secures space for Vigoride on a launch vehicle that SpaceX currently targets operating as early as May 2022. This would represent the inaugural launch of a complete Momentus vehicle into space and would allow us to further validate Vigoride’s capabilities. While securing space on the manifest is an important step, our plan to launch in May 2022 remains subject to the receipt of licenses and other government approvals, and successful completion of our current efforts to get the system ready for flight.</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Beyond our planned May 2022 launch, we are planning to fly Vigoride again in the second half of 2022, subject to receipt of licenses and government approvals, and successful completion of our current efforts to get the system ready for flight.</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Early Vigoride vehicles will not be reusable, meaning that we will de-orbit them following delivery of their customer payloads. However, around the middle of this decade, we plan to make our vehicles capable of reuse such that, upon delivery of their payloads, they will be able to remain in space to conduct follow-on missions. Establishing reusable vehicles will require significant additional research and technological developments. We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spacing w:after="0" w:line="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Beyond Vigoride, we envision bringing two progressively larger vehicles to market, which we call Ardoride and Fervoride. These vehicles will be similar to our Vigoride vehicle, but with larger structures, larger solar arrays, and more powerful propulsion systems in order to carry progressively larger payloads progressively further from Earth</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successful development of our vehicles with water plasma propulsion technology involves uncertainties, including:</w:t>
      </w:r>
    </w:p>
    <w:p>
      <w:pPr>
        <w:spacing w:after="0" w:line="62"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timing in finalizing systems design and specifications;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successful completion of test programs and demonstration missions;</w:t>
      </w:r>
    </w:p>
    <w:p>
      <w:pPr>
        <w:spacing w:after="0" w:line="6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whether we will receive and the timing of receipt of licenses and government approvals that will allow us to fly our vehicles in space and gather valuable data that will assist in further development of our vehicles;</w:t>
      </w:r>
    </w:p>
    <w:p>
      <w:pPr>
        <w:spacing w:after="0" w:line="1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meeting stated technological objectives and goals for the design on time, on budget and within target cost objectives;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obtain additional applicable approvals, licenses or certifications from regulatory agencies and maintaining current approvals, licenses or certifications;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secure slots on our launch providers’ manifests;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performance of our manufacturing facility despite risks that disrupt productions, such as natural disasters;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performance of our third-party contractors that support our research and development activities;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performance of a limited number of suppliers for certain raw materials and supplied components and their willingness to do business with us;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protect our intellectual property critical to the design and function of our orbital transfer vehicles;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continue funding and maintaining our current research and development activities;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the COVID-19 pandemic on us, our customers, suppliers and distributors, and the global economy; and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the terms of the NSA and any related compliance measures instituted by the Security Director.</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 change in the outcome of any of these variables could delay the development of our vehicles which in turn could impact our business and results of operations. Refer to “</w:t>
      </w:r>
      <w:r>
        <w:rPr>
          <w:rFonts w:ascii="Arial" w:cs="Arial" w:eastAsia="Arial" w:hAnsi="Arial"/>
          <w:sz w:val="14"/>
          <w:szCs w:val="14"/>
          <w:i w:val="1"/>
          <w:iCs w:val="1"/>
          <w:color w:val="auto"/>
        </w:rPr>
        <w:t>Risk Factors,</w:t>
      </w:r>
      <w:r>
        <w:rPr>
          <w:rFonts w:ascii="Arial" w:cs="Arial" w:eastAsia="Arial" w:hAnsi="Arial"/>
          <w:sz w:val="14"/>
          <w:szCs w:val="14"/>
          <w:color w:val="auto"/>
        </w:rPr>
        <w:t>” in our Annual Report on Form 10-K filed by the Company on March 9, 2022.</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 and Successive Launches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water plasma propulsion technology (that we are developing) is based on the use of microwave electrothermal or “MET,” thrusters, which we believe could ultimately provide safe, affordable, reliable, and regular in-space services, including Space Transportation, Hosted Payload, and In-Orbit Servicing. To accomplish this, we currently intend to:</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Launch our commercial program for in-space transportation</w:t>
      </w:r>
      <w:r>
        <w:rPr>
          <w:rFonts w:ascii="Arial" w:cs="Arial" w:eastAsia="Arial" w:hAnsi="Arial"/>
          <w:sz w:val="14"/>
          <w:szCs w:val="14"/>
          <w:color w:val="auto"/>
        </w:rPr>
        <w:t>. We currently plan to fly our Vigoride vehicle on a SpaceX Transporter flight as early as May 2022, subject to receipt of licenses and</w:t>
      </w:r>
      <w:r>
        <w:rPr>
          <w:rFonts w:ascii="Arial" w:cs="Arial" w:eastAsia="Arial" w:hAnsi="Arial"/>
          <w:sz w:val="14"/>
          <w:szCs w:val="14"/>
          <w:b w:val="1"/>
          <w:bCs w:val="1"/>
          <w:color w:val="auto"/>
        </w:rPr>
        <w:t xml:space="preserve"> </w:t>
      </w:r>
      <w:r>
        <w:rPr>
          <w:rFonts w:ascii="Arial" w:cs="Arial" w:eastAsia="Arial" w:hAnsi="Arial"/>
          <w:sz w:val="14"/>
          <w:szCs w:val="14"/>
          <w:color w:val="auto"/>
        </w:rPr>
        <w:t>government approvals, and successful completion of our current efforts to get the system ready for flight.</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Launch our commercial program for Hosted Payload</w:t>
      </w:r>
      <w:r>
        <w:rPr>
          <w:rFonts w:ascii="Arial" w:cs="Arial" w:eastAsia="Arial" w:hAnsi="Arial"/>
          <w:sz w:val="14"/>
          <w:szCs w:val="14"/>
          <w:color w:val="auto"/>
        </w:rPr>
        <w:t>. If in the future our vehicles are operationalized for their intended in-space transport uses, we plan to develop a modular approach to satellite</w:t>
      </w:r>
      <w:r>
        <w:rPr>
          <w:rFonts w:ascii="Arial" w:cs="Arial" w:eastAsia="Arial" w:hAnsi="Arial"/>
          <w:sz w:val="14"/>
          <w:szCs w:val="14"/>
          <w:b w:val="1"/>
          <w:bCs w:val="1"/>
          <w:color w:val="auto"/>
        </w:rPr>
        <w:t xml:space="preserve"> </w:t>
      </w:r>
      <w:r>
        <w:rPr>
          <w:rFonts w:ascii="Arial" w:cs="Arial" w:eastAsia="Arial" w:hAnsi="Arial"/>
          <w:sz w:val="14"/>
          <w:szCs w:val="14"/>
          <w:color w:val="auto"/>
        </w:rPr>
        <w:t>systems through our hosted payload model. For missions that require significant power for the payload and/or specific orbits, our objective is for Momentus to be able to provide a unique combination of a low-cost service model, in-orbit flexibility, and high electrical power generation.</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Launch our commercial program for In-Orbit Servicing</w:t>
      </w:r>
      <w:r>
        <w:rPr>
          <w:rFonts w:ascii="Arial" w:cs="Arial" w:eastAsia="Arial" w:hAnsi="Arial"/>
          <w:sz w:val="14"/>
          <w:szCs w:val="14"/>
          <w:color w:val="auto"/>
        </w:rPr>
        <w:t>. If we develop reusability for our vehicles as currently contemplated, we believe we will be able to 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success of our in-space infrastructure services business will depend on our ability to successfully and regularly deliver customer satellites into custom orbits. Our planned inaugural launch is intended to be a demonstration mission. While we plan to transport a few paying customer payloads, the primary goals of our inaugural mission are to test Vigoride on orbit and learn from any issues that we may encounter. The lessons learned from this initial flight will help inform changes we can make to future missions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inaugural mission or on any other mission. Any failures or setbacks, particularly on our inaugural mission, could harm our reputation and have a material adverse effect on our business, financial condition and results of operation.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Customer Demand</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Ahead of our first Vigoride launch, we have received significant interest from a range of satellite operators, satellite manufacturers, satellite aggregators, launch service providers, and others. While we have not recognized any revenue from completed commercial launches through March 31, 2022, we had collected approximately $1.7 million in customer deposits related to future launches. While our standard contracts do not contain refunds or recourse provisions that enable our customers to recover any non-refundable deposits that have been paid, we issued refunds totaling $1.4 million to customers during the year ended December 31, 2021 due to cancelled launches for 2021 in order to foster future business relationships and customer goodwill.</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Because our technologies have not yet been fully tested, our service offering to our customers on our inaugural mission will be limited. To reflect this, we expect to provide discounts to customers on this mission relative to the price we intend to eventually charge for our transportation services. During our inaugural mission, we plan to demonstrate Vigoride’s ability to deploy satellites.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have signed contracts for approximately $69 million in backlog (potential revenue), as of April 30, 2022. These agreements contain firm orders as well as options, allowing customers to opt-in to launches on shorter notice without requiring a separate agreement. The breadth of these signed contracts spans across 25 companies in 15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In the three months ended March 31, 2022, we recognized no revenue related to customer contracts.</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backlog is subject to meaningful customer concentration risk. As of April 30, 2022, approximately 70% of the total dollar value of our backlog related to four launch services providers and aggregators of launch services capacity, and their affiliates. The top 10 customers in our backlog represent approximately 95% of the total dollar value of our backlog.</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Impact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While the COVID-19 pandemic has affected our business and our timeline for our formerly planned launch in April 2020, to date, it has not impacted us in a way that we believe will materially affect our future growth outlook.</w:t>
      </w:r>
    </w:p>
    <w:p>
      <w:pPr>
        <w:spacing w:after="0" w:line="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currently planning for our first commercial launch as early as May 2022, subject to receipt of licenses and government approvals, and successful completion of our current efforts to get the system ready for flight. We do not foresee any delays due to COVID-19. The same applies to launches scheduled for the remainder of 2022 and beyond.</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We do not anticipate that the COVID-19 pandemic will materially affect our customer backlog and ability to secure new contracts going forward.</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Our non-operations personnel began working from home in March 2020 as we reduced our in-person operations to prioritize the safety of our employees. We have begun to gradually bring essential personnel back to the office, while adhering to Centers for Disease Control and Prevention, federal, state and local protective standards. Subject to local regulations and the effectiveness of vaccination initiatives, we intend to gradually bring all employees back to the office; until then, we will continue to support our employees working from home. While remote working arrangements have affected our manufacturing and development timelines, the overall impact of this arrangement has not materially adversely affected the timeline of future launches.</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May 2020, to strengthen our liquidity position, we received a Paycheck Protection Program loan (the “PPP Loan”) in the amount of $1.0 million under the Coronavirus Aid, Relief, and Economic Security Act (“the CARES Act”); however, in September 2020, we repaid the PPP Loan in full.</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Notwithstanding the foregoing, the impact of the COVID-19 pandemic on the Company’s business, results of operations and overall financial performance will ultimately depend on future developments, including the duration of the pandemic, possible recurrent outbreaks, the appearance of variants and the effectiveness of vaccines and other mitigation measures against variants, all of which are highly uncertain and cannot be predicted. See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in our Annual Report on Form 10-K filed by the Company on March 9, 2022, for additional discussion of the potential impact of the COVID-19 pandemic on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Consummation of Business Combination</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Business Combination is accounted for as a reverse recapitalization in accordance with GAAP. Under this method of accounting, SRAC is treated as the “acquired” company for financial reporting purposes. We are deemed the accounting predecessor of the combined business, and Momentus Inc., as the parent company of the combined business, is the successor SEC registrant, meaning that our consolidated financial statements for previous periods are disclosed in the registrant’s future periodic reports filed with the SEC.</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Business Combination will have a significant impact on our future reported financial position and results as a consequence of the reverse recapitalization. The most significant changes in Momentus’s future reported financial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position and results are an increase in cash of $247.3 million, offset by additional transaction costs for the Business Combination. See Note 3 “</w:t>
      </w:r>
      <w:r>
        <w:rPr>
          <w:rFonts w:ascii="Arial" w:cs="Arial" w:eastAsia="Arial" w:hAnsi="Arial"/>
          <w:sz w:val="13"/>
          <w:szCs w:val="13"/>
          <w:i w:val="1"/>
          <w:iCs w:val="1"/>
          <w:color w:val="auto"/>
        </w:rPr>
        <w:t>Reverse Recapitalization</w:t>
      </w:r>
      <w:r>
        <w:rPr>
          <w:rFonts w:ascii="Arial" w:cs="Arial" w:eastAsia="Arial" w:hAnsi="Arial"/>
          <w:sz w:val="13"/>
          <w:szCs w:val="13"/>
          <w:color w:val="auto"/>
        </w:rPr>
        <w:t>” for more information.</w:t>
      </w:r>
    </w:p>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a result of the Business Combination, we became the successor to an SEC-registered and Nasdaq-listed company, which will require us to hire additional personnel and implement procedures and processes to address public company regulatory requirements and customary practices. We have begun to incur additional recurring expenses as a public company for, among other things, directors’ and officers’ liability insurance, director fees, and additional internal and external accounting, legal and administrative resources.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 Loan and Security Agreement</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needed by the June 30, 2021 deadline. Under the terms of the loan, if certain operating cash ratios are not met, the lender is granted a lien on the Company’s intellectual property while the loan is outstanding. Prior to the Business Combination, the lien was granted but was subsequently released as a result of the proceeds from the Business Combination. The repayment terms of the Term Loan provide for interest-only payments beginning March 1, 2021 through February 28, 2022.</w:t>
      </w:r>
    </w:p>
    <w:p>
      <w:pPr>
        <w:spacing w:after="0" w:line="8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Under the original terms of the loan, the principal amount was due and payable on March 1, 2022, however, during January 2022, the Company exercised its option to pay back the Term Loan over 24 months. The extended payment term resulted in a recast schedule with a lower effective interest rate. See Note 10.</w:t>
      </w:r>
    </w:p>
    <w:p>
      <w:pPr>
        <w:spacing w:after="0" w:line="79"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On August 12, 2021 the lender exercised the warrant; see Note 11 for discussion on the valuation and conversion of the warrants.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 addition, the lender will have certain rights to participate in future private equity offerings (including convertible notes or bridge financings) of Momentus.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Settlement and CFIUS Review</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incurred significant expenses in connection with the CFIUS review described below and have incurred and expect to incur significant expenses in connection with the implementation of the NSA described below. We have also incurred significant expenses related to the SEC settlement discussed below. As of March 31, 2022, the Company had incurred legal expenses of approximately $8.3 million related to these matters.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 Settlement</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July 13, 2021, the Company agreed to a settlement with the SEC on a “neither admit nor deny” basis, in anticipation of cease-and-desist proceedings relating to certain violations of antifraud provisions of the federal securities laws alleged by the SEC. As a result of the settlement, the Company agreed to a civil penalty of $7.0 million, $2.0 million of which was paid immediately and $5.0 million of which is payable within one year of the settlement order, and outstanding as of March 31, 2022.</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CFIUS Review and NSA</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February 2021, Momentus and its co-founder Mikhail Kokorich, with support from SRAC, submitted a joint notice to CFIUS for review of the historical acquisitions of interests in Momentus by Mr. Kokorich, his wife, and entities that they control in response to concerns of the U.S. Department of Defense (the “DoD”) regarding Momentus’ foreign ownership and control. On June 8, 2021, the Company entered into a National Security Agreement with Mr. Kokorich, on behalf of himself and Nortrone Finance S.A. (an entity controlled by Mr. Kokorich), Lev Khasis and Olga Khasis, each in their respective individual capacities and on behalf of Brainyspace LLC (an entity controlled by Olga Khasis), and the U.S. government, represented by the DoD and the U.S Department of the Treasury (the “NSA”). In accordance with the NSA, Mr. Kokorich, Nortrone Finance S.A., Lev Khasis and his wife Olga Khasis, and Brainyspace LLC divested all the equity interests in Momentus owned or beneficially owned by them by selling such equity interests to the Company on June 8, 2021 (see below “</w:t>
      </w:r>
      <w:r>
        <w:rPr>
          <w:rFonts w:ascii="Arial" w:cs="Arial" w:eastAsia="Arial" w:hAnsi="Arial"/>
          <w:sz w:val="14"/>
          <w:szCs w:val="14"/>
          <w:i w:val="1"/>
          <w:iCs w:val="1"/>
          <w:color w:val="auto"/>
        </w:rPr>
        <w:t>Co-Founder Divestment</w:t>
      </w:r>
      <w:r>
        <w:rPr>
          <w:rFonts w:ascii="Arial" w:cs="Arial" w:eastAsia="Arial" w:hAnsi="Arial"/>
          <w:sz w:val="14"/>
          <w:szCs w:val="14"/>
          <w:color w:val="auto"/>
        </w:rPr>
        <w:t>”). The NSA also establishes various requirements and restrictions on the Company in order 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protect national security, certain of which may materially and adversely affect our operating results due to uncertainty associated with and the cost of compliance with security measures, and limitations on our control over certain U.S. facilities, contracts, personnel, vendor selection and operations.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Co-Founder Divestment</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accordance with the NSA and pursuant to certain Repurchase Agreements entered into with the Company, effective as of June 8, 2021, each of Mr. Kokorich, Nortrone Finance S.A. and Brainyspace LLC (collectively “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(see Note 11).</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evaluated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resulting in an estimated liability of $6.0 million expected to be paid to the Co-Founders with a corresponding offset to additional paid in capital, as of March 31, 2022.</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payment came from proceeds of the Business Combination and PIPE Investment and therefore reduce the proceeds available to Momentus to fund its operations and capital expenditures going forward.</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part of the Repurchase Agreements, both Messrs. Kokorich and Khasis agreed to a broad waiver and release of all claims (broadly defined) against the Company. The Company has maintained that this release is effective as to various advancement or indemnification claims either individual may have against the Company. Both Messrs. Kokorich and Khasis have, through counsel, disagreed with the Company's position. Absent a negotiated resolution, there is a chance that the parties may litigate the matter. The total cumulative potential exposure for the disputes with both Messrs. Kokorich and Khasis is presently unknown but exceeds $1 million. We express no opinion on the probable outcome of these matters.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See “</w:t>
      </w:r>
      <w:r>
        <w:rPr>
          <w:rFonts w:ascii="Arial" w:cs="Arial" w:eastAsia="Arial" w:hAnsi="Arial"/>
          <w:sz w:val="14"/>
          <w:szCs w:val="14"/>
          <w:i w:val="1"/>
          <w:iCs w:val="1"/>
          <w:color w:val="auto"/>
        </w:rPr>
        <w:t>Risk Factors — We may require substantial additional funding to finance our operations, but adequate additional financing may not be available when we need it, on acceptable terms or at all,”</w:t>
      </w:r>
      <w:r>
        <w:rPr>
          <w:rFonts w:ascii="Arial" w:cs="Arial" w:eastAsia="Arial" w:hAnsi="Arial"/>
          <w:sz w:val="14"/>
          <w:szCs w:val="14"/>
          <w:color w:val="auto"/>
        </w:rPr>
        <w:t xml:space="preserve"> in our Annual Report on Form 10-K filed by the Company on March 9, 2022.</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 Revenue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enter into contracts for ‘last-mile’ satellite and cargo delivery, payload hosting and in-orbit servicing options with customers that are primarily in the aerospace industry. From inception to March 31, 2022, we have not yet completed a commercial launch of customer cargo. However, as of March 31, 2022 we have signed contracts with customers and have collected approximately $1.7 million in customer deposits, which are recorded as non-current contract liabilities in our consolidated balance sheets. The Company’s first launch with customers is currently anticipated to occur as early as May 2022, subject to receipt of licenses and government approvals, and successful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completion of our current efforts to get the system ready for flight. While a portion of the deposit balance relates to performance obligations that may be satisfied over the next 12 months, the Company will classify customer deposits as non-current until the inaugural launch date is reasonably assured.</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will recognize revenue (along with any other fees that have been paid) upon the earlier of the satisfaction of our performance obligation or when the customer cancels the contract.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to customers during the year ended December 31, 2021.</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Cost of revenue consists primarily of expenses associated with the cost of the orbital transfer vehicle and third-party launch costs. Until the orbital transfer vehicle design is completed and released for production, the cost of these orbital transfer vehicles is being expensed as research and development costs as materials and services are received. The current design and technology allow for a single use of the orbital transfer vehicle.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March 31, 2022, we have expensed all research and development costs associated with developing and building our vehicles. Once we have achieved technological feasibility and released the design for volume production, we will capitalize the costs to construct any additional components for the vehicles. We expect to continue to see an increase in our research and development expenses as we develop our next generation of vehicles.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 As we continue to grow as a company, we expect that our selling, general and administrative costs will increase on an absolute dollar basis.</w:t>
      </w:r>
    </w:p>
    <w:p>
      <w:pPr>
        <w:spacing w:after="0" w:line="8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also have begun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NSA.</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consists of interest earned on investment holdings in interest bearing bank accounts.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includes interest incurred related to our loan payables as well as the amortization of warrant discount and debt issuance costs.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Income/Expense</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income/expense primarily relates to the change in the estimated fair value of our SAFE notes and warrants, and non-recurring fees incurred in conjunction with the SAFE and Term Loan financing, SEC settlement cost, and the Business Combination.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Provision</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set forth our results of operations for the periods presented. The period-to-period comparisons of financial results is not necessarily indicative of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Financial Results for the Three Months Ended March 31,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gridSpan w:val="3"/>
          </w:tcPr>
          <w:p>
            <w:pPr>
              <w:jc w:val="center"/>
              <w:ind w:left="763"/>
              <w:spacing w:after="0"/>
              <w:rPr>
                <w:sz w:val="20"/>
                <w:szCs w:val="20"/>
                <w:color w:val="auto"/>
              </w:rPr>
            </w:pPr>
            <w:r>
              <w:rPr>
                <w:rFonts w:ascii="Arial" w:cs="Arial" w:eastAsia="Arial" w:hAnsi="Arial"/>
                <w:sz w:val="11"/>
                <w:szCs w:val="11"/>
                <w:b w:val="1"/>
                <w:bCs w:val="1"/>
                <w:color w:val="auto"/>
                <w:w w:val="95"/>
              </w:rPr>
              <w:t>Three Months Ended</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r>
      <w:tr>
        <w:trPr>
          <w:trHeight w:val="156"/>
        </w:trPr>
        <w:tc>
          <w:tcPr>
            <w:tcW w:w="4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center"/>
              <w:ind w:left="763"/>
              <w:spacing w:after="0"/>
              <w:rPr>
                <w:sz w:val="20"/>
                <w:szCs w:val="20"/>
                <w:color w:val="auto"/>
              </w:rPr>
            </w:pPr>
            <w:r>
              <w:rPr>
                <w:rFonts w:ascii="Arial" w:cs="Arial" w:eastAsia="Arial" w:hAnsi="Arial"/>
                <w:sz w:val="11"/>
                <w:szCs w:val="11"/>
                <w:b w:val="1"/>
                <w:bCs w:val="1"/>
                <w:color w:val="auto"/>
                <w:w w:val="94"/>
              </w:rPr>
              <w:t>March 31,</w:t>
            </w: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r>
      <w:tr>
        <w:trPr>
          <w:trHeight w:val="16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w w:val="92"/>
              </w:rPr>
              <w:t>$ Change</w:t>
            </w:r>
          </w:p>
        </w:tc>
        <w:tc>
          <w:tcPr>
            <w:tcW w:w="8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 Change</w:t>
            </w:r>
          </w:p>
        </w:tc>
      </w:tr>
      <w:tr>
        <w:trPr>
          <w:trHeight w:val="165"/>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Service revenue</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8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r>
      <w:tr>
        <w:trPr>
          <w:trHeight w:val="16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revenue</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8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N/A</w:t>
            </w:r>
          </w:p>
        </w:tc>
      </w:tr>
      <w:tr>
        <w:trPr>
          <w:trHeight w:val="165"/>
        </w:trPr>
        <w:tc>
          <w:tcPr>
            <w:tcW w:w="4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3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8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r>
      <w:tr>
        <w:trPr>
          <w:trHeight w:val="170"/>
        </w:trPr>
        <w:tc>
          <w:tcPr>
            <w:tcW w:w="4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0"/>
        </w:trPr>
        <w:tc>
          <w:tcPr>
            <w:tcW w:w="4320" w:type="dxa"/>
            <w:vAlign w:val="bottom"/>
          </w:tcPr>
          <w:p>
            <w:pPr>
              <w:ind w:left="20"/>
              <w:spacing w:after="0"/>
              <w:rPr>
                <w:sz w:val="20"/>
                <w:szCs w:val="20"/>
                <w:color w:val="auto"/>
              </w:rPr>
            </w:pPr>
            <w:r>
              <w:rPr>
                <w:rFonts w:ascii="Arial" w:cs="Arial" w:eastAsia="Arial" w:hAnsi="Arial"/>
                <w:sz w:val="11"/>
                <w:szCs w:val="11"/>
                <w:color w:val="auto"/>
              </w:rPr>
              <w:t>Research and development expenses</w:t>
            </w: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9,971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9,906</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3"/>
                <w:szCs w:val="13"/>
                <w:color w:val="auto"/>
              </w:rPr>
            </w:pPr>
          </w:p>
        </w:tc>
        <w:tc>
          <w:tcPr>
            <w:tcW w:w="1780" w:type="dxa"/>
            <w:vAlign w:val="bottom"/>
          </w:tcPr>
          <w:p>
            <w:pPr>
              <w:jc w:val="right"/>
              <w:ind w:right="3"/>
              <w:spacing w:after="0"/>
              <w:rPr>
                <w:sz w:val="20"/>
                <w:szCs w:val="20"/>
                <w:color w:val="auto"/>
              </w:rPr>
            </w:pPr>
            <w:r>
              <w:rPr>
                <w:rFonts w:ascii="Arial" w:cs="Arial" w:eastAsia="Arial" w:hAnsi="Arial"/>
                <w:sz w:val="11"/>
                <w:szCs w:val="11"/>
                <w:color w:val="auto"/>
              </w:rPr>
              <w:t>1 %</w:t>
            </w: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 expenses</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14,853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14,005</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848</w:t>
            </w:r>
          </w:p>
        </w:tc>
        <w:tc>
          <w:tcPr>
            <w:tcW w:w="80" w:type="dxa"/>
            <w:vAlign w:val="bottom"/>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6 %</w:t>
            </w:r>
          </w:p>
        </w:tc>
      </w:tr>
      <w:tr>
        <w:trPr>
          <w:trHeight w:val="160"/>
        </w:trPr>
        <w:tc>
          <w:tcPr>
            <w:tcW w:w="4320" w:type="dxa"/>
            <w:vAlign w:val="bottom"/>
          </w:tcPr>
          <w:p>
            <w:pPr>
              <w:ind w:left="20"/>
              <w:spacing w:after="0"/>
              <w:rPr>
                <w:sz w:val="20"/>
                <w:szCs w:val="20"/>
                <w:color w:val="auto"/>
              </w:rPr>
            </w:pPr>
            <w:r>
              <w:rPr>
                <w:rFonts w:ascii="Arial" w:cs="Arial" w:eastAsia="Arial" w:hAnsi="Arial"/>
                <w:sz w:val="11"/>
                <w:szCs w:val="11"/>
                <w:color w:val="auto"/>
              </w:rPr>
              <w:t>Operating loss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(24,824)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(23,829)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(995)</w:t>
            </w:r>
          </w:p>
        </w:tc>
        <w:tc>
          <w:tcPr>
            <w:tcW w:w="80" w:type="dxa"/>
            <w:vAlign w:val="bottom"/>
          </w:tcPr>
          <w:p>
            <w:pPr>
              <w:spacing w:after="0"/>
              <w:rPr>
                <w:sz w:val="13"/>
                <w:szCs w:val="13"/>
                <w:color w:val="auto"/>
              </w:rPr>
            </w:pPr>
          </w:p>
        </w:tc>
        <w:tc>
          <w:tcPr>
            <w:tcW w:w="1780" w:type="dxa"/>
            <w:vAlign w:val="bottom"/>
          </w:tcPr>
          <w:p>
            <w:pPr>
              <w:jc w:val="right"/>
              <w:ind w:right="3"/>
              <w:spacing w:after="0"/>
              <w:rPr>
                <w:sz w:val="20"/>
                <w:szCs w:val="20"/>
                <w:color w:val="auto"/>
              </w:rPr>
            </w:pPr>
            <w:r>
              <w:rPr>
                <w:rFonts w:ascii="Arial" w:cs="Arial" w:eastAsia="Arial" w:hAnsi="Arial"/>
                <w:sz w:val="11"/>
                <w:szCs w:val="11"/>
                <w:color w:val="auto"/>
              </w:rPr>
              <w:t>4 %</w:t>
            </w:r>
          </w:p>
        </w:tc>
      </w:tr>
      <w:tr>
        <w:trPr>
          <w:trHeight w:val="179"/>
        </w:trPr>
        <w:tc>
          <w:tcPr>
            <w:tcW w:w="4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60"/>
        </w:trPr>
        <w:tc>
          <w:tcPr>
            <w:tcW w:w="4320" w:type="dxa"/>
            <w:vAlign w:val="bottom"/>
          </w:tcPr>
          <w:p>
            <w:pPr>
              <w:ind w:left="20"/>
              <w:spacing w:after="0"/>
              <w:rPr>
                <w:sz w:val="20"/>
                <w:szCs w:val="20"/>
                <w:color w:val="auto"/>
              </w:rPr>
            </w:pPr>
            <w:r>
              <w:rPr>
                <w:rFonts w:ascii="Arial" w:cs="Arial" w:eastAsia="Arial" w:hAnsi="Arial"/>
                <w:sz w:val="11"/>
                <w:szCs w:val="11"/>
                <w:color w:val="auto"/>
              </w:rPr>
              <w:t>Other income (expense):</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79"/>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(increase) in fair value of SAFE notes</w:t>
            </w:r>
          </w:p>
        </w:tc>
        <w:tc>
          <w:tcPr>
            <w:tcW w:w="3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81,564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(81,564)</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r>
      <w:tr>
        <w:trPr>
          <w:trHeight w:val="160"/>
        </w:trPr>
        <w:tc>
          <w:tcPr>
            <w:tcW w:w="4320" w:type="dxa"/>
            <w:vAlign w:val="bottom"/>
          </w:tcPr>
          <w:p>
            <w:pPr>
              <w:ind w:left="20"/>
              <w:spacing w:after="0"/>
              <w:rPr>
                <w:sz w:val="20"/>
                <w:szCs w:val="20"/>
                <w:color w:val="auto"/>
              </w:rPr>
            </w:pPr>
            <w:r>
              <w:rPr>
                <w:rFonts w:ascii="Arial" w:cs="Arial" w:eastAsia="Arial" w:hAnsi="Arial"/>
                <w:sz w:val="11"/>
                <w:szCs w:val="11"/>
                <w:color w:val="auto"/>
              </w:rPr>
              <w:t>Decrease (increase) in fair value of warrants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(451)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8,083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(8,534)</w:t>
            </w:r>
          </w:p>
        </w:tc>
        <w:tc>
          <w:tcPr>
            <w:tcW w:w="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auto"/>
              </w:rPr>
              <w:t>Not meaningful</w:t>
            </w:r>
          </w:p>
        </w:tc>
      </w:tr>
      <w:tr>
        <w:trPr>
          <w:trHeight w:val="179"/>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income</w:t>
            </w:r>
          </w:p>
        </w:tc>
        <w:tc>
          <w:tcPr>
            <w:tcW w:w="3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(100 %)</w:t>
            </w:r>
          </w:p>
        </w:tc>
      </w:tr>
      <w:tr>
        <w:trPr>
          <w:trHeight w:val="160"/>
        </w:trPr>
        <w:tc>
          <w:tcPr>
            <w:tcW w:w="432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(1,492)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(968)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(524)</w:t>
            </w:r>
          </w:p>
        </w:tc>
        <w:tc>
          <w:tcPr>
            <w:tcW w:w="80" w:type="dxa"/>
            <w:vAlign w:val="bottom"/>
          </w:tcPr>
          <w:p>
            <w:pPr>
              <w:spacing w:after="0"/>
              <w:rPr>
                <w:sz w:val="13"/>
                <w:szCs w:val="13"/>
                <w:color w:val="auto"/>
              </w:rPr>
            </w:pPr>
          </w:p>
        </w:tc>
        <w:tc>
          <w:tcPr>
            <w:tcW w:w="1780" w:type="dxa"/>
            <w:vAlign w:val="bottom"/>
          </w:tcPr>
          <w:p>
            <w:pPr>
              <w:jc w:val="right"/>
              <w:ind w:right="3"/>
              <w:spacing w:after="0"/>
              <w:rPr>
                <w:sz w:val="20"/>
                <w:szCs w:val="20"/>
                <w:color w:val="auto"/>
              </w:rPr>
            </w:pPr>
            <w:r>
              <w:rPr>
                <w:rFonts w:ascii="Arial" w:cs="Arial" w:eastAsia="Arial" w:hAnsi="Arial"/>
                <w:sz w:val="11"/>
                <w:szCs w:val="11"/>
                <w:color w:val="auto"/>
              </w:rPr>
              <w:t>54 %</w:t>
            </w: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(expense)</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182</w:t>
            </w:r>
          </w:p>
        </w:tc>
        <w:tc>
          <w:tcPr>
            <w:tcW w:w="80" w:type="dxa"/>
            <w:vAlign w:val="bottom"/>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(102 %)</w:t>
            </w:r>
          </w:p>
        </w:tc>
      </w:tr>
      <w:tr>
        <w:trPr>
          <w:trHeight w:val="170"/>
        </w:trPr>
        <w:tc>
          <w:tcPr>
            <w:tcW w:w="432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(26,834)</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64,671</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(91,505)</w:t>
            </w:r>
          </w:p>
        </w:tc>
        <w:tc>
          <w:tcPr>
            <w:tcW w:w="8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(141 %)</w:t>
            </w:r>
          </w:p>
        </w:tc>
      </w:tr>
      <w:tr>
        <w:trPr>
          <w:trHeight w:val="20"/>
        </w:trPr>
        <w:tc>
          <w:tcPr>
            <w:tcW w:w="4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 revenue</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The revenue recognized during the three months ended March 31, 2021 was due to a customer contract cancellation, resulting in the forfeiture of $0.1 million of non-refundable customer deposits.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cost of revenue recorded during the three months ended March 31, 2021 was due to costs incurred related to the cancelled contract.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Research and development expenses increased from $9.9 million to $10.0 million. The increase was primarily due to additional payroll costs, despite an 11 person decrease in headcount, of $1.1 million (including an increase of $0.3 million in non-cash stock based compensation) due to higher compensation packages related to the transition from start-up to a publicly traded company. Spending on components, materials, and other costs also increased by $0.4 million. The increase was offset by a $0.8 million reduction in subcontracted research and development as well as an $0.8 million impairment of a prepaid launch deposit specific to the three months ended March 31, 2021.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Selling, general and administrative expenses increased from $14.0 million to $14.9 million. Non-stock based compensation payroll increased by $1.1 million, while total headcount remained the same, due to higher compensation packages for senior employees related to the transition from a start-up to a publicly traded company. Additional insurance costs of $0.7 million and additional general corporate costs of $0.8 million were incurred due to the extra requirements of operating as a publicly traded company. Increased spending of $4.3 million on non-legal professional fees was offset by a reduction of $2.2 million in legal spending as the Company’s activity related to the NSA and SEC topics discussed in Note 12 shifted from legal proceedings to compliance. Stock based compensation cost decreased by $3.9 million due to the non-recurring stock modification in the prior period.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(increase) in fair value of SAFE notes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decrease in the calculated fair value of SAFE notes during the three months ended March 31, 2021 was primarily due to an decrease in the estimated fair value of the Company’s stock, which at that time was driven by its relation to the market price of SRAC. All outstanding SAFE notes were converted to common stock upon completion of the Business Combination (see Note 9). Prior to conversion, our SAFE notes were classified as marked-to-market liabilities pursuant to ASC 480 and gains or losses were recorded as other income or expense.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 in fair value of warrants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For the three months ended March 31, 2021, the decrease in the calculated fair value of the private loan-related warrants was due to the decrease in the estimated fair value of the Company’s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All outstanding warrants in the prior period were exercised in connection with the Business Combination.</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months ended March 31, 2022, the increase in the calculated fair value of the Company’s currently outstanding warrants, which were assumed from the Business Combination, was primarily driven by the observable market price of the publicly listed warrants to purchase the Company’s stock under comparable terms. See Note 11.</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Interest expense of $1.0 million for the three months ended March 31, 2021 relates to one month of cash and amortization interest under the original one year term of the Term Loan. During the three months ended March 31, 2022, the Company exercised its option to extend repayment of the loan, resulting in a decrease of the effective interest rate and $1.5 million of cash and amortization interest for the three month period. See Note 10.</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expense in the three months ended March 31, 2021 was due to banking fees related to SAFE financing raised during the period. Other expense for the three months ended March 31, 2022 was immaterial.</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Since inception, we have financed our operations primarily by issuing equity and debt, including the proceeds of the Business Combination and PIPE. As of March 31, 2022, our principal sources of liquidity were our cash and cash equivalents in the amount of $135.6 million, which are held in cash or invested in money market funds.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Historical Cash Flows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3"/>
                <w:szCs w:val="13"/>
                <w:b w:val="1"/>
                <w:bCs w:val="1"/>
                <w:color w:val="auto"/>
              </w:rPr>
              <w:t>Three Months Ended March 31,</w:t>
            </w:r>
          </w:p>
        </w:tc>
      </w:tr>
      <w:tr>
        <w:trPr>
          <w:trHeight w:val="16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r>
      <w:tr>
        <w:trPr>
          <w:trHeight w:val="163"/>
        </w:trPr>
        <w:tc>
          <w:tcPr>
            <w:tcW w:w="7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cash provided by (used in)</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3"/>
        </w:trPr>
        <w:tc>
          <w:tcPr>
            <w:tcW w:w="7840" w:type="dxa"/>
            <w:vAlign w:val="bottom"/>
          </w:tcPr>
          <w:p>
            <w:pPr>
              <w:ind w:left="20"/>
              <w:spacing w:after="0"/>
              <w:rPr>
                <w:sz w:val="20"/>
                <w:szCs w:val="20"/>
                <w:color w:val="auto"/>
              </w:rPr>
            </w:pPr>
            <w:r>
              <w:rPr>
                <w:rFonts w:ascii="Arial" w:cs="Arial" w:eastAsia="Arial" w:hAnsi="Arial"/>
                <w:sz w:val="13"/>
                <w:szCs w:val="13"/>
                <w:color w:val="auto"/>
              </w:rPr>
              <w:t>Operating activities</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(23,062)</w:t>
            </w:r>
          </w:p>
        </w:tc>
        <w:tc>
          <w:tcPr>
            <w:tcW w:w="80" w:type="dxa"/>
            <w:vAlign w:val="bottom"/>
          </w:tcPr>
          <w:p>
            <w:pPr>
              <w:spacing w:after="0"/>
              <w:rPr>
                <w:sz w:val="15"/>
                <w:szCs w:val="15"/>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(21,199)</w:t>
            </w:r>
          </w:p>
        </w:tc>
      </w:tr>
      <w:tr>
        <w:trPr>
          <w:trHeight w:val="188"/>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Investing activities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r>
      <w:tr>
        <w:trPr>
          <w:trHeight w:val="17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Financing activities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(938)</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55,702</w:t>
            </w: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(24,521)</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34,072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Net cash used in operating activities for the three months ended March 31, 2022 was $23.1 million, driven primarily by headcount costs, research and development activities, and professional fees related to the SEC and NSA compliance costs, as well as net cash changes in operating assets and liabilities. Headcount related payroll costs, excluding accrued bonus and stock-based compensation, were $9.3 million. Research and development activity expenses, including materials, components, and subcontractor costs were $3.9 million. Professional fees for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compliance related to the SEC and NSA topics discussed in Note 12, business development, accounting and audit, and other services, were $5.8 million. Legal fees, related to public company costs as well as the class action complaints discussed in Note 12 were $2.5 million. Office overheads, other general corporate expenses, and cash interest were $4.0 million. Additionally, cash used in net working capital decreased by $2.4 million.</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Net cash used in operating activities for the three months ended March 31, 2021 was $21.2 million, driven primarily by headcount costs, research and development activities, and selling, general, and administrative costs. Headcount related payroll costs, excluding accrued bonus and stock-based compensation, were $5.6 million. Research and development activity expenses, including materials, components, and subcontractor costs were $4.4 million. Legal fees, related to the SEC and CFIUS review topics, discussed in Note 12, were $4.6 million. Professional fees for recruiting, accounting and audit, and other services were $1.5 million. Office overheads, other general corporate expenses, and cash interest were $1.9 million. Additionally, cash used in net working capital increased by $3.1 million.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Net cash used in investing activities was $0.5 million and $0.4 million for the three months ended March 31, 2022, and 2021, respectively, which consisted primarily of purchases of machinery and equipment, build-outs in our facility, and capitalized implementation costs for cloud computing software.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financing activities was $(0.9) million for the three months ended March 31, 2022, due to the first month of principal repayment under the Term Loam.</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financing activities was $55.7 million for the three months ended March 31, 2021, consisting of proceeds from the issuance of SAFE notes and the Term Loan.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our expenses to increase substantially in connection with our ongoing activities, particularly as we continue to advance the development of our vehicles, build corporate infrastructure and enhance our sales and marketing functions.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Specifically, our operating expenses will increase as we:</w:t>
      </w:r>
    </w:p>
    <w:p>
      <w:pPr>
        <w:spacing w:after="0" w:line="131"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scale up our corporate infrastructure, people, processes and systems;</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enhance and scale our sales and marketing function;</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scale up our manufacturing capabilities increasing facility footprint, purchasing additional manufacturing equipment;</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pursue further research and development related to developing our next generation vehicles;</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seek regulatory approvals for changes or updates to our vehicles;</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hire additional personnel;</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implement measures required under the NSA and seek to comply with the NSA’s requirements;</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maintain, expand and protect our intellectual property portfolio; and</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comply with public company reporting requirements.</w:t>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expect that our current cash and cash equivalents, our projected gross profit (revenue less cost of revenue), and additional funding from equity or debt financings will enable us to fund an anticipated operating expenses, research and development expenses and capital expenditures beyond the next 12 months. Additionally, we believe that the payments in the form of non-refundable deposits we receive from our customers prior to launch will provide sufficient funding and liquidity to support costs incurred related to that mission.</w:t>
      </w:r>
    </w:p>
    <w:p>
      <w:pPr>
        <w:spacing w:after="0" w:line="78"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We have based these estimates on assumptions that may prove to be wrong, and we could utilize our available capital resources sooner than we expect. For example, the research and development, volume production, launch and in orbit operation of our vehicles have unpredictable costs and are subject to significant risks, uncertainties and contingencies, many of which are beyond our control, that may affect the timing and magnitude of these anticipated expenditures. Some of these risks and uncertainties are described in more detail in our Annual Report on Form 10-K</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filed by the Company on March 9, 2022, under the heading “</w:t>
      </w:r>
      <w:r>
        <w:rPr>
          <w:rFonts w:ascii="Arial" w:cs="Arial" w:eastAsia="Arial" w:hAnsi="Arial"/>
          <w:sz w:val="14"/>
          <w:szCs w:val="14"/>
          <w:i w:val="1"/>
          <w:iCs w:val="1"/>
          <w:color w:val="auto"/>
        </w:rPr>
        <w:t>Risk Factors — Risks Related to the Business and Industry of Momentus.</w:t>
      </w:r>
      <w:r>
        <w:rPr>
          <w:rFonts w:ascii="Arial" w:cs="Arial" w:eastAsia="Arial" w:hAnsi="Arial"/>
          <w:sz w:val="14"/>
          <w:szCs w:val="14"/>
          <w:color w:val="auto"/>
        </w:rPr>
        <w:t>”</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we believe that our current capital is adequate to sustain our operations for a period of time, 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We are a party to operating leases primarily for facilities (e.g., office buildings, warehouses and spaceport) under non-cancellable operating leases. These leases expire at various dates through 2028.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We have principal of $24.1 million outstanding under the Term Loan. Refer to Note 10.</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r>
        <w:rPr>
          <w:rFonts w:ascii="Arial" w:cs="Arial" w:eastAsia="Arial" w:hAnsi="Arial"/>
          <w:sz w:val="14"/>
          <w:szCs w:val="14"/>
          <w:b w:val="1"/>
          <w:b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Per the SEC settlement, $5.0 million of the civil penalty is due one year after the settlement. Refer to Note 12.</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we enter into agreements in the normal course of business with vendors for research and development services and outsourced services, which are generally cancellable upon written notice. These payments are not included in this table of contractual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Co-Founder Divestment and Share Repurchase</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accordance with the NSA and pursuant to certain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evaluated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resulting in an estimated liability of $6.0 million expected to be paid to the Co-Founders with a corresponding offset to additional paid in capital, as of March 31, 2022. Refer to Note 11.</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We do not engage in any off-balance sheet activities or have any arrangements or relationships with unconsolidated entities, such as variable interest, special purpose, and structured finance entities.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discussion and analysis of our financial condition and results of operations are based upon our financial statements, which have been prepared in accordance with GAAP. The preparation of our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5"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We enter into short-term contracts for ‘last-mile’ satellite and cargo delivery, payload hosting and in-orbit servicing options with customers that are primarily in the aerospace industry. From inception to March 31, 2022, we have not completed a commercial launch of customer cargo and as a result, have not recognized revenue related to performance obligations to date. However, as of March 31, 2022 we have signed contracts with customers and have collected approximately $1.7 million in customer deposits, which are recorded as non-current contract liabilities in our consolidated balance sheet and will be recognized as revenue (along with any other fess that have been paid) upon the earlier of the satisfaction of our performance obligation or when the customer cancels the contract.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We account for customer contracts in accordance with ASC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which includes the following five-step model:</w:t>
      </w:r>
    </w:p>
    <w:p>
      <w:pPr>
        <w:spacing w:after="0" w:line="125"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Identification of the contract, or contracts, with a customer.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Determination of the transaction price.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Allocation of the transaction price to the performance obligations in the contract.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Recognition of revenue when, or as, the Company satisfies a performance obligation.</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contracts are cancellable for convenience by the customer and typically do not contain variable consideration. However, the full transaction price is collected in advance of the scheduled launch and all fees that are paid are non-refundable (and are not limited to deposits), regardless if the contract is cancelled by the customer or in the event a performance obligation is not satisfied by us. While the Company’s standard contracts do not contain refund or recourse provisions,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to customers during the year ended December 31, 2021.</w:t>
      </w:r>
    </w:p>
    <w:p>
      <w:pPr>
        <w:spacing w:after="0" w:line="9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services are considered a single performance obligation, to transport the customers’ payload to a specified orbit in space. We recognize revenue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periods in which we recognize revenue, we will disclose the amounts of revenue recognized that was included as a contract liability balance at the beginning of the reporting period in accordance with ASC 606-10-50-8(b).</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Contingencies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Fulfillment and Prepaid Launch Costs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prepay for certain launch costs to third party providers that will carry the orbital transfer vehicle to orbit. Prepaid costs allocated to the delivery of a customer’s payload are classified as deferred fulfillment costs and recognized as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On May 21, 2021, the Company received notification from one of its launch service providers that it was terminating </w:t>
      </w:r>
      <w:r>
        <w:rPr>
          <w:rFonts w:ascii="Arial" w:cs="Arial" w:eastAsia="Arial" w:hAnsi="Arial"/>
          <w:sz w:val="16"/>
          <w:szCs w:val="16"/>
          <w:color w:val="auto"/>
        </w:rPr>
        <w:t>2</w:t>
      </w:r>
      <w:r>
        <w:rPr>
          <w:rFonts w:ascii="Arial" w:cs="Arial" w:eastAsia="Arial" w:hAnsi="Arial"/>
          <w:sz w:val="14"/>
          <w:szCs w:val="14"/>
          <w:color w:val="auto"/>
        </w:rPr>
        <w:t xml:space="preserve"> launch service agreements for flights scheduled during calendar year 2021 and that they considered the Company to be in default of prior payments totaling $8.7 million. The Company believed the prepayments would be non-recoverable as this was the third time the payload was rescheduled. As a result of the notification from one of its launch service providers, the Company recorded an impairment charge of $8.7 million of prepaid launch costs during the three months ended June 30, 2021. There was an unrelated impairment of $0.8 million the three months ended March 31, 2021.</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October 12, 2021, the Company began discussions with the same launch service provider about reestablishing a future launch schedule. As a result of the discussion, the Company signed a Launch Services Agreement on October 19, 2021 that reserves space on an upcoming launch, which is targeted for May 2022. While securing space on the manifest is an important step, our plan to launch in May 2022 remains subject to the receipt of licenses and other government approvals, and successful completion of our current efforts to get the system ready for flight. The Company determined that $2.7 million of the impaired deposits were potentially recoverable in connection with the reestablished schedule. The Company did not record any adjustments as a result of the discussions. See Note 4.</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4, 2022, as a subsequent event, the Company received a favorable determination from the Federal Aviation Administration (the “FAA”) of its application for payload review in support of the Company’s inaugural flight of the Vigoride orbital transfer vehicle on the launch targeted for May 2022. Together with a license from the Federal Communications Commission (the “FCC”) received on April 28, 2022, and updates to existing licenses from the National Oceanic and Atmospheric Administration (the “NOAA”), the Company has received all required government approvals required for its inaugural flight. See Note 14.</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Liabilities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financial statements based on their respective grant date fair values.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financial statements is based on awards that are expected to vest. We account for forfeitures as they occur.</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 See Note 11 for the specific assumptions we used in applying the Black-Scholes-Merton option pricing model to determine the estimated fair value of our stock options and awards granted during the three months ended March 31, 2022.</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our share-based compensation cost will increase to the extent that we grant additional stock option awards to employees and non-employees. If there are any modifications or cancellations of the underlying unvested securities, we may be required to accelerate any remaining unearned share-based compensation cost or incur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incremental cost. Share-based compensation cost affects our research and development expenses and selling, general, and administrative expenses.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SAFE Notes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issued SAFE notes to investors which were converted to shares of common stock in connection with the Business Combination. Prior to conversion, we determined that the SAFE notes were not a legal form of debt (i.e., no creditors’ rights). The SAFE notes included a provision allowing for cash redemption upon the consummation of a change of control, the occurrence of which is outside the control of the Company. Therefore, we classified SAFE notes as liabilities as they were redeemable upon a change of control event which is not within the control of the Company. SAFE notes were recorded at fair value, and were subject to remeasurement through earnings at each balance sheet date until the date of their respective settlement and classified as marked-to-market liabilities pursuant to ASC 480.</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determined the estimated fair value of the SAFE notes by applying a Backsolve method within the Black-Scholes-Merton Option Pricing model. This methodology effectively allowed us to solve for the implied value of the business based on the terms of the SAFE investments (i.e. the value of the company, such that when allocated to the various securities, the value allocated to the SAFE investment equals the price the investor paid for such SAFE instrument).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46"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Please refer to Note 2 in our financial statements included in Form 10-Q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exposed to a variety of market and other risks, including the effects of changes in interest rates, and inflation, as well as risks to the availability of funding sources, hazard events, and specific asset risks.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market risk inherent in our financial instruments and our financial position represents the potential loss arising from adverse changes in interest rates. As of March 31, 2022, we had cash and cash equivalents of $135.6 million,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jc w:val="both"/>
        <w:spacing w:after="0" w:line="281" w:lineRule="auto"/>
        <w:rPr>
          <w:sz w:val="20"/>
          <w:szCs w:val="20"/>
          <w:color w:val="auto"/>
        </w:rPr>
      </w:pPr>
      <w:r>
        <w:rPr>
          <w:rFonts w:ascii="Arial" w:cs="Arial" w:eastAsia="Arial" w:hAnsi="Arial"/>
          <w:sz w:val="14"/>
          <w:szCs w:val="14"/>
          <w:color w:val="auto"/>
        </w:rPr>
        <w:t>which are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Risk</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were no material foreign currency transactions for the three and three months ended March 31, 2022 and 2021. Currently, a significant portion of our cash receipts and expenses are generated in U.S. dollars.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Disclosure Controls and Procedures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internal control over financial reporting is a process designed by, or under the supervision of, the company’s principal executive and principal financial officers, or persons performing similar functions, to provide reasonable assurance regarding the reliability of financial reporting and the preparation of financial statements in accordance with generally accepted accounting principles.</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has evaluated the effectiveness of our disclosure controls and procedures (as defined in Rules 13a-15(e) and 15d-15(e) under the Exchange Act) as of March 31, 2022. Based on this evaluation, our Chief Executive Officer and Chief Financial Officer concluded that, as of such date, our disclosure controls and procedures were effective at the reasonable assurance level.</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11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There were no changes in our internal control over financial reporting during the fiscal quarter ended March 31, 2022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PART II. 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See the disclosures under the caption “</w:t>
      </w:r>
      <w:r>
        <w:rPr>
          <w:rFonts w:ascii="Arial" w:cs="Arial" w:eastAsia="Arial" w:hAnsi="Arial"/>
          <w:sz w:val="14"/>
          <w:szCs w:val="14"/>
          <w:i w:val="1"/>
          <w:iCs w:val="1"/>
          <w:color w:val="auto"/>
        </w:rPr>
        <w:t>Legal Proceedings</w:t>
      </w:r>
      <w:r>
        <w:rPr>
          <w:rFonts w:ascii="Arial" w:cs="Arial" w:eastAsia="Arial" w:hAnsi="Arial"/>
          <w:sz w:val="14"/>
          <w:szCs w:val="14"/>
          <w:color w:val="auto"/>
        </w:rPr>
        <w:t>” in Note 12 in the notes to our condensed consolidated financial statements in this Quarterly Report on Form 10-Q for disclosures related to our legal proceedings, which disclosures are incorporated herein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the other information set forth in this report, you should carefully consider the risk factors discussed in “</w:t>
      </w:r>
      <w:r>
        <w:rPr>
          <w:rFonts w:ascii="Arial" w:cs="Arial" w:eastAsia="Arial" w:hAnsi="Arial"/>
          <w:sz w:val="14"/>
          <w:szCs w:val="14"/>
          <w:i w:val="1"/>
          <w:iCs w:val="1"/>
          <w:color w:val="auto"/>
        </w:rPr>
        <w:t>Risk Factors</w:t>
      </w:r>
      <w:r>
        <w:rPr>
          <w:rFonts w:ascii="Arial" w:cs="Arial" w:eastAsia="Arial" w:hAnsi="Arial"/>
          <w:sz w:val="14"/>
          <w:szCs w:val="14"/>
          <w:color w:val="auto"/>
        </w:rPr>
        <w:t>” in our most recent Annual Report on Form 10-K filed by the Company on March 9, 2022, which could materially affect our business, financial condition or future results. We do not believe that there have been any material changes to the risk factors disclosed in our Annual Report on Form 10-K filed by the Company on March 9, 2022. The risks described in our Annual Report on Form 10-K filed by the Company on March 9, 2022,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9" w:name="page50"/>
    <w:bookmarkEnd w:id="49"/>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200" w:lineRule="exact"/>
        <w:rPr>
          <w:sz w:val="20"/>
          <w:szCs w:val="20"/>
          <w:color w:val="auto"/>
        </w:rPr>
      </w:pPr>
    </w:p>
    <w:p>
      <w:pPr>
        <w:spacing w:after="0" w:line="31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 and Financial Statement Schedules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0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Number</w:t>
            </w:r>
          </w:p>
        </w:tc>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0" w:type="dxa"/>
            <w:vAlign w:val="bottom"/>
            <w:gridSpan w:val="6"/>
          </w:tcPr>
          <w:p>
            <w:pPr>
              <w:ind w:left="360"/>
              <w:spacing w:after="0"/>
              <w:rPr>
                <w:sz w:val="20"/>
                <w:szCs w:val="20"/>
                <w:color w:val="auto"/>
              </w:rPr>
            </w:pPr>
            <w:r>
              <w:rPr>
                <w:rFonts w:ascii="Arial" w:cs="Arial" w:eastAsia="Arial" w:hAnsi="Arial"/>
                <w:sz w:val="13"/>
                <w:szCs w:val="13"/>
                <w:b w:val="1"/>
                <w:bCs w:val="1"/>
                <w:color w:val="auto"/>
              </w:rPr>
              <w:t>Description of Exhibit</w:t>
            </w:r>
          </w:p>
        </w:tc>
      </w:tr>
      <w:tr>
        <w:trPr>
          <w:trHeight w:val="141"/>
        </w:trPr>
        <w:tc>
          <w:tcPr>
            <w:tcW w:w="130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shd w:val="clear" w:color="auto" w:fill="CCEEFF"/>
          </w:tcPr>
          <w:p>
            <w:pPr>
              <w:spacing w:after="0"/>
              <w:rPr>
                <w:sz w:val="12"/>
                <w:szCs w:val="12"/>
                <w:color w:val="auto"/>
              </w:rPr>
            </w:pPr>
          </w:p>
        </w:tc>
        <w:tc>
          <w:tcPr>
            <w:tcW w:w="9880" w:type="dxa"/>
            <w:vAlign w:val="bottom"/>
            <w:tcBorders>
              <w:top w:val="single" w:sz="8" w:color="auto"/>
            </w:tcBorders>
            <w:gridSpan w:val="8"/>
            <w:shd w:val="clear" w:color="auto" w:fill="CCEEFF"/>
          </w:tcPr>
          <w:p>
            <w:pPr>
              <w:spacing w:after="0" w:line="141" w:lineRule="exact"/>
              <w:rPr>
                <w:rFonts w:ascii="Arial" w:cs="Arial" w:eastAsia="Arial" w:hAnsi="Arial"/>
                <w:sz w:val="14"/>
                <w:szCs w:val="14"/>
                <w:color w:val="0000FF"/>
                <w:w w:val="94"/>
              </w:rPr>
            </w:pPr>
            <w:hyperlink r:id="rId72">
              <w:r>
                <w:rPr>
                  <w:rFonts w:ascii="Arial" w:cs="Arial" w:eastAsia="Arial" w:hAnsi="Arial"/>
                  <w:sz w:val="14"/>
                  <w:szCs w:val="14"/>
                  <w:color w:val="0000FF"/>
                  <w:w w:val="94"/>
                </w:rPr>
                <w:t>Agreement and Plan of Merger, dated as of October 7, 2020, by and among Stable Road Acquisition Corp., Project Marvel First Merger Sub, Inc., Project Marvel Second</w:t>
              </w:r>
            </w:hyperlink>
          </w:p>
        </w:tc>
      </w:tr>
      <w:tr>
        <w:trPr>
          <w:trHeight w:val="118"/>
        </w:trPr>
        <w:tc>
          <w:tcPr>
            <w:tcW w:w="13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60" w:type="dxa"/>
            <w:vAlign w:val="bottom"/>
            <w:tcBorders>
              <w:top w:val="single" w:sz="8" w:color="0000FF"/>
            </w:tcBorders>
            <w:gridSpan w:val="7"/>
            <w:shd w:val="clear" w:color="auto" w:fill="CCEEFF"/>
          </w:tcPr>
          <w:p>
            <w:pPr>
              <w:spacing w:after="0" w:line="118" w:lineRule="exact"/>
              <w:rPr>
                <w:rFonts w:ascii="Arial" w:cs="Arial" w:eastAsia="Arial" w:hAnsi="Arial"/>
                <w:sz w:val="13"/>
                <w:szCs w:val="13"/>
                <w:color w:val="0000FF"/>
              </w:rPr>
            </w:pPr>
            <w:hyperlink r:id="rId72">
              <w:r>
                <w:rPr>
                  <w:rFonts w:ascii="Arial" w:cs="Arial" w:eastAsia="Arial" w:hAnsi="Arial"/>
                  <w:sz w:val="13"/>
                  <w:szCs w:val="13"/>
                  <w:color w:val="0000FF"/>
                </w:rPr>
                <w:t>Merger Sub, LLC, and Momentus Inc. (incorporated by reference to Exhibit 2.1 to the Company’s Current Report on Form 8-K filed on October 7, 2020).</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32"/>
        </w:trPr>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9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94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1300" w:type="dxa"/>
            <w:vAlign w:val="bottom"/>
          </w:tcPr>
          <w:p>
            <w:pPr>
              <w:ind w:left="20"/>
              <w:spacing w:after="0" w:line="149"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3"/>
                <w:szCs w:val="13"/>
                <w:color w:val="auto"/>
              </w:rPr>
            </w:pPr>
          </w:p>
        </w:tc>
        <w:tc>
          <w:tcPr>
            <w:tcW w:w="9880" w:type="dxa"/>
            <w:vAlign w:val="bottom"/>
            <w:gridSpan w:val="8"/>
          </w:tcPr>
          <w:p>
            <w:pPr>
              <w:spacing w:after="0" w:line="149" w:lineRule="exact"/>
              <w:rPr>
                <w:rFonts w:ascii="Arial" w:cs="Arial" w:eastAsia="Arial" w:hAnsi="Arial"/>
                <w:sz w:val="14"/>
                <w:szCs w:val="14"/>
                <w:color w:val="0000FF"/>
                <w:w w:val="94"/>
              </w:rPr>
            </w:pPr>
            <w:hyperlink r:id="rId73">
              <w:r>
                <w:rPr>
                  <w:rFonts w:ascii="Arial" w:cs="Arial" w:eastAsia="Arial" w:hAnsi="Arial"/>
                  <w:sz w:val="14"/>
                  <w:szCs w:val="14"/>
                  <w:color w:val="0000FF"/>
                  <w:w w:val="94"/>
                </w:rPr>
                <w:t>Momentus Inc. 2022 Inducement Equity Plan (incorporated by reference to Exhibit 99.1 to the Company's Registration Statement on Form S-8 filed on March 14, 2022).</w:t>
              </w:r>
            </w:hyperlink>
          </w:p>
        </w:tc>
      </w:tr>
      <w:tr>
        <w:trPr>
          <w:trHeight w:val="166"/>
        </w:trPr>
        <w:tc>
          <w:tcPr>
            <w:tcW w:w="13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4"/>
                <w:szCs w:val="14"/>
                <w:color w:val="auto"/>
              </w:rPr>
            </w:pPr>
          </w:p>
        </w:tc>
        <w:tc>
          <w:tcPr>
            <w:tcW w:w="9580" w:type="dxa"/>
            <w:vAlign w:val="bottom"/>
            <w:tcBorders>
              <w:top w:val="single" w:sz="8" w:color="0000FF"/>
            </w:tcBorders>
            <w:gridSpan w:val="6"/>
            <w:shd w:val="clear" w:color="auto" w:fill="CCEEFF"/>
          </w:tcPr>
          <w:p>
            <w:pPr>
              <w:spacing w:after="0" w:line="155" w:lineRule="exact"/>
              <w:rPr>
                <w:rFonts w:ascii="Arial" w:cs="Arial" w:eastAsia="Arial" w:hAnsi="Arial"/>
                <w:sz w:val="14"/>
                <w:szCs w:val="14"/>
                <w:color w:val="0000FF"/>
              </w:rPr>
            </w:pPr>
            <w:hyperlink w:anchor="page52">
              <w:r>
                <w:rPr>
                  <w:rFonts w:ascii="Arial" w:cs="Arial" w:eastAsia="Arial" w:hAnsi="Arial"/>
                  <w:sz w:val="14"/>
                  <w:szCs w:val="14"/>
                  <w:color w:val="0000FF"/>
                </w:rPr>
                <w:t>Form of option award agreement under 2022 Inducement Equity Plan.</w:t>
              </w:r>
            </w:hyperlink>
          </w:p>
        </w:tc>
        <w:tc>
          <w:tcPr>
            <w:tcW w:w="300" w:type="dxa"/>
            <w:vAlign w:val="bottom"/>
            <w:gridSpan w:val="2"/>
            <w:shd w:val="clear" w:color="auto" w:fill="CCEEFF"/>
          </w:tcPr>
          <w:p>
            <w:pPr>
              <w:spacing w:after="0"/>
              <w:rPr>
                <w:sz w:val="14"/>
                <w:szCs w:val="14"/>
                <w:color w:val="auto"/>
              </w:rPr>
            </w:pPr>
          </w:p>
        </w:tc>
      </w:tr>
      <w:tr>
        <w:trPr>
          <w:trHeight w:val="154"/>
        </w:trPr>
        <w:tc>
          <w:tcPr>
            <w:tcW w:w="1300" w:type="dxa"/>
            <w:vAlign w:val="bottom"/>
            <w:tcBorders>
              <w:top w:val="single" w:sz="8" w:color="CCEEFF"/>
            </w:tcBorders>
          </w:tcPr>
          <w:p>
            <w:pPr>
              <w:ind w:left="20"/>
              <w:spacing w:after="0" w:line="149" w:lineRule="exact"/>
              <w:rPr>
                <w:sz w:val="20"/>
                <w:szCs w:val="20"/>
                <w:color w:val="auto"/>
              </w:rPr>
            </w:pPr>
            <w:r>
              <w:rPr>
                <w:rFonts w:ascii="Arial" w:cs="Arial" w:eastAsia="Arial" w:hAnsi="Arial"/>
                <w:sz w:val="14"/>
                <w:szCs w:val="14"/>
                <w:color w:val="auto"/>
              </w:rPr>
              <w:t>10.3+*</w:t>
            </w:r>
          </w:p>
        </w:tc>
        <w:tc>
          <w:tcPr>
            <w:tcW w:w="100" w:type="dxa"/>
            <w:vAlign w:val="bottom"/>
            <w:tcBorders>
              <w:top w:val="single" w:sz="8" w:color="CCEEFF"/>
            </w:tcBorders>
          </w:tcPr>
          <w:p>
            <w:pPr>
              <w:spacing w:after="0"/>
              <w:rPr>
                <w:sz w:val="13"/>
                <w:szCs w:val="13"/>
                <w:color w:val="auto"/>
              </w:rPr>
            </w:pPr>
          </w:p>
        </w:tc>
        <w:tc>
          <w:tcPr>
            <w:tcW w:w="3900" w:type="dxa"/>
            <w:vAlign w:val="bottom"/>
            <w:tcBorders>
              <w:top w:val="single" w:sz="8" w:color="0000FF"/>
              <w:bottom w:val="single" w:sz="8" w:color="0000FF"/>
            </w:tcBorders>
          </w:tcPr>
          <w:p>
            <w:pPr>
              <w:spacing w:after="0" w:line="149" w:lineRule="exact"/>
              <w:rPr>
                <w:rFonts w:ascii="Arial" w:cs="Arial" w:eastAsia="Arial" w:hAnsi="Arial"/>
                <w:sz w:val="14"/>
                <w:szCs w:val="14"/>
                <w:color w:val="0000FF"/>
                <w:w w:val="91"/>
              </w:rPr>
            </w:pPr>
            <w:hyperlink w:anchor="page64">
              <w:r>
                <w:rPr>
                  <w:rFonts w:ascii="Arial" w:cs="Arial" w:eastAsia="Arial" w:hAnsi="Arial"/>
                  <w:sz w:val="14"/>
                  <w:szCs w:val="14"/>
                  <w:color w:val="0000FF"/>
                  <w:w w:val="91"/>
                </w:rPr>
                <w:t>Form of RSU award agreement under 2022 Inducement Equity Plan.</w:t>
              </w:r>
            </w:hyperlink>
          </w:p>
        </w:tc>
        <w:tc>
          <w:tcPr>
            <w:tcW w:w="80" w:type="dxa"/>
            <w:vAlign w:val="bottom"/>
            <w:tcBorders>
              <w:top w:val="single" w:sz="8" w:color="0000FF"/>
            </w:tcBorders>
          </w:tcPr>
          <w:p>
            <w:pPr>
              <w:spacing w:after="0"/>
              <w:rPr>
                <w:sz w:val="13"/>
                <w:szCs w:val="13"/>
                <w:color w:val="auto"/>
              </w:rPr>
            </w:pPr>
          </w:p>
        </w:tc>
        <w:tc>
          <w:tcPr>
            <w:tcW w:w="5900" w:type="dxa"/>
            <w:vAlign w:val="bottom"/>
            <w:tcBorders>
              <w:top w:val="single" w:sz="8" w:color="CCEEFF"/>
            </w:tcBorders>
            <w:gridSpan w:val="6"/>
          </w:tcPr>
          <w:p>
            <w:pPr>
              <w:spacing w:after="0"/>
              <w:rPr>
                <w:sz w:val="13"/>
                <w:szCs w:val="13"/>
                <w:color w:val="auto"/>
              </w:rPr>
            </w:pPr>
          </w:p>
        </w:tc>
      </w:tr>
      <w:tr>
        <w:trPr>
          <w:trHeight w:val="154"/>
        </w:trPr>
        <w:tc>
          <w:tcPr>
            <w:tcW w:w="13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3"/>
                <w:szCs w:val="13"/>
                <w:color w:val="auto"/>
              </w:rPr>
            </w:pPr>
          </w:p>
        </w:tc>
        <w:tc>
          <w:tcPr>
            <w:tcW w:w="9880" w:type="dxa"/>
            <w:vAlign w:val="bottom"/>
            <w:gridSpan w:val="8"/>
            <w:shd w:val="clear" w:color="auto" w:fill="CCEEFF"/>
          </w:tcPr>
          <w:p>
            <w:pPr>
              <w:spacing w:after="0" w:line="155" w:lineRule="exact"/>
              <w:rPr>
                <w:rFonts w:ascii="Arial" w:cs="Arial" w:eastAsia="Arial" w:hAnsi="Arial"/>
                <w:sz w:val="14"/>
                <w:szCs w:val="14"/>
                <w:color w:val="0000FF"/>
                <w:w w:val="97"/>
              </w:rPr>
            </w:pPr>
            <w:hyperlink w:anchor="page74">
              <w:r>
                <w:rPr>
                  <w:rFonts w:ascii="Arial" w:cs="Arial" w:eastAsia="Arial" w:hAnsi="Arial"/>
                  <w:sz w:val="14"/>
                  <w:szCs w:val="14"/>
                  <w:color w:val="0000FF"/>
                  <w:w w:val="97"/>
                </w:rPr>
                <w:t>Certification Pursuant to Rules 13a-14(a) and 15d-14(a) Under The Securities Act of 1934, As Adopted Pursuant to Section 302 of the Sarbanes-Oxley Act of 2002</w:t>
              </w:r>
            </w:hyperlink>
          </w:p>
        </w:tc>
      </w:tr>
      <w:tr>
        <w:trPr>
          <w:trHeight w:val="32"/>
        </w:trPr>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9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94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1300" w:type="dxa"/>
            <w:vAlign w:val="bottom"/>
          </w:tcPr>
          <w:p>
            <w:pPr>
              <w:ind w:left="20"/>
              <w:spacing w:after="0" w:line="149"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3"/>
                <w:szCs w:val="13"/>
                <w:color w:val="auto"/>
              </w:rPr>
            </w:pPr>
          </w:p>
        </w:tc>
        <w:tc>
          <w:tcPr>
            <w:tcW w:w="9880" w:type="dxa"/>
            <w:vAlign w:val="bottom"/>
            <w:gridSpan w:val="8"/>
          </w:tcPr>
          <w:p>
            <w:pPr>
              <w:spacing w:after="0" w:line="149" w:lineRule="exact"/>
              <w:rPr>
                <w:rFonts w:ascii="Arial" w:cs="Arial" w:eastAsia="Arial" w:hAnsi="Arial"/>
                <w:sz w:val="14"/>
                <w:szCs w:val="14"/>
                <w:color w:val="0000FF"/>
                <w:w w:val="97"/>
              </w:rPr>
            </w:pPr>
            <w:hyperlink w:anchor="page75">
              <w:r>
                <w:rPr>
                  <w:rFonts w:ascii="Arial" w:cs="Arial" w:eastAsia="Arial" w:hAnsi="Arial"/>
                  <w:sz w:val="14"/>
                  <w:szCs w:val="14"/>
                  <w:color w:val="0000FF"/>
                  <w:w w:val="97"/>
                </w:rPr>
                <w:t>Certification Pursuant to Rules 13a-14(a) and 15d-14(a) Under The Securities Act of 1934, As Adopted Pursuant to Section 302 of the Sarbanes-Oxley Act of 2002</w:t>
              </w:r>
            </w:hyperlink>
          </w:p>
        </w:tc>
      </w:tr>
      <w:tr>
        <w:trPr>
          <w:trHeight w:val="166"/>
        </w:trPr>
        <w:tc>
          <w:tcPr>
            <w:tcW w:w="13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shd w:val="clear" w:color="auto" w:fill="CCEEFF"/>
          </w:tcPr>
          <w:p>
            <w:pPr>
              <w:spacing w:after="0"/>
              <w:rPr>
                <w:sz w:val="14"/>
                <w:szCs w:val="14"/>
                <w:color w:val="auto"/>
              </w:rPr>
            </w:pPr>
          </w:p>
        </w:tc>
        <w:tc>
          <w:tcPr>
            <w:tcW w:w="6920" w:type="dxa"/>
            <w:vAlign w:val="bottom"/>
            <w:tcBorders>
              <w:top w:val="single" w:sz="8" w:color="0000FF"/>
              <w:bottom w:val="single" w:sz="8" w:color="0000FF"/>
            </w:tcBorders>
            <w:gridSpan w:val="3"/>
            <w:shd w:val="clear" w:color="auto" w:fill="CCEEFF"/>
          </w:tcPr>
          <w:p>
            <w:pPr>
              <w:spacing w:after="0" w:line="155" w:lineRule="exact"/>
              <w:rPr>
                <w:rFonts w:ascii="Arial" w:cs="Arial" w:eastAsia="Arial" w:hAnsi="Arial"/>
                <w:sz w:val="14"/>
                <w:szCs w:val="14"/>
                <w:color w:val="0000FF"/>
                <w:w w:val="91"/>
              </w:rPr>
            </w:pPr>
            <w:hyperlink w:anchor="page76">
              <w:r>
                <w:rPr>
                  <w:rFonts w:ascii="Arial" w:cs="Arial" w:eastAsia="Arial" w:hAnsi="Arial"/>
                  <w:sz w:val="14"/>
                  <w:szCs w:val="14"/>
                  <w:color w:val="0000FF"/>
                  <w:w w:val="91"/>
                </w:rPr>
                <w:t>Certification Pursuant to 18 U.S.C. Section 1350, As Adopted Pursuant to Section 906 of the Sarbanes-Oxley Act of 2002</w:t>
              </w:r>
            </w:hyperlink>
          </w:p>
        </w:tc>
        <w:tc>
          <w:tcPr>
            <w:tcW w:w="234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620" w:type="dxa"/>
            <w:vAlign w:val="bottom"/>
            <w:tcBorders>
              <w:bottom w:val="single" w:sz="8" w:color="CCEEFF"/>
            </w:tcBorders>
            <w:gridSpan w:val="3"/>
            <w:shd w:val="clear" w:color="auto" w:fill="CCEEFF"/>
          </w:tcPr>
          <w:p>
            <w:pPr>
              <w:spacing w:after="0"/>
              <w:rPr>
                <w:sz w:val="14"/>
                <w:szCs w:val="14"/>
                <w:color w:val="auto"/>
              </w:rPr>
            </w:pPr>
          </w:p>
        </w:tc>
      </w:tr>
      <w:tr>
        <w:trPr>
          <w:trHeight w:val="154"/>
        </w:trPr>
        <w:tc>
          <w:tcPr>
            <w:tcW w:w="1300" w:type="dxa"/>
            <w:vAlign w:val="bottom"/>
          </w:tcPr>
          <w:p>
            <w:pPr>
              <w:ind w:left="20"/>
              <w:spacing w:after="0" w:line="149" w:lineRule="exact"/>
              <w:rPr>
                <w:sz w:val="20"/>
                <w:szCs w:val="20"/>
                <w:color w:val="auto"/>
              </w:rPr>
            </w:pPr>
            <w:r>
              <w:rPr>
                <w:rFonts w:ascii="Arial" w:cs="Arial" w:eastAsia="Arial" w:hAnsi="Arial"/>
                <w:sz w:val="14"/>
                <w:szCs w:val="14"/>
                <w:color w:val="auto"/>
              </w:rPr>
              <w:t>32.2**</w:t>
            </w:r>
          </w:p>
        </w:tc>
        <w:tc>
          <w:tcPr>
            <w:tcW w:w="100" w:type="dxa"/>
            <w:vAlign w:val="bottom"/>
          </w:tcPr>
          <w:p>
            <w:pPr>
              <w:spacing w:after="0"/>
              <w:rPr>
                <w:sz w:val="13"/>
                <w:szCs w:val="13"/>
                <w:color w:val="auto"/>
              </w:rPr>
            </w:pPr>
          </w:p>
        </w:tc>
        <w:tc>
          <w:tcPr>
            <w:tcW w:w="6920" w:type="dxa"/>
            <w:vAlign w:val="bottom"/>
            <w:tcBorders>
              <w:bottom w:val="single" w:sz="8" w:color="0000FF"/>
            </w:tcBorders>
            <w:gridSpan w:val="3"/>
          </w:tcPr>
          <w:p>
            <w:pPr>
              <w:spacing w:after="0" w:line="149" w:lineRule="exact"/>
              <w:rPr>
                <w:rFonts w:ascii="Arial" w:cs="Arial" w:eastAsia="Arial" w:hAnsi="Arial"/>
                <w:sz w:val="14"/>
                <w:szCs w:val="14"/>
                <w:color w:val="0000FF"/>
                <w:w w:val="91"/>
              </w:rPr>
            </w:pPr>
            <w:hyperlink w:anchor="page77">
              <w:r>
                <w:rPr>
                  <w:rFonts w:ascii="Arial" w:cs="Arial" w:eastAsia="Arial" w:hAnsi="Arial"/>
                  <w:sz w:val="14"/>
                  <w:szCs w:val="14"/>
                  <w:color w:val="0000FF"/>
                  <w:w w:val="91"/>
                </w:rPr>
                <w:t>Certification Pursuant to 18 U.S.C. Section 1350, As Adopted Pursuant to Section 906 of the Sarbanes-Oxley Act of 2002</w:t>
              </w:r>
            </w:hyperlink>
          </w:p>
        </w:tc>
        <w:tc>
          <w:tcPr>
            <w:tcW w:w="2960" w:type="dxa"/>
            <w:vAlign w:val="bottom"/>
            <w:gridSpan w:val="5"/>
          </w:tcPr>
          <w:p>
            <w:pPr>
              <w:spacing w:after="0"/>
              <w:rPr>
                <w:sz w:val="13"/>
                <w:szCs w:val="13"/>
                <w:color w:val="auto"/>
              </w:rPr>
            </w:pPr>
          </w:p>
        </w:tc>
      </w:tr>
      <w:tr>
        <w:trPr>
          <w:trHeight w:val="144"/>
        </w:trPr>
        <w:tc>
          <w:tcPr>
            <w:tcW w:w="14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101.INS*</w:t>
            </w:r>
          </w:p>
        </w:tc>
        <w:tc>
          <w:tcPr>
            <w:tcW w:w="9880" w:type="dxa"/>
            <w:vAlign w:val="bottom"/>
            <w:gridSpan w:val="8"/>
            <w:shd w:val="clear" w:color="auto" w:fill="CCEEFF"/>
          </w:tcPr>
          <w:p>
            <w:pPr>
              <w:spacing w:after="0" w:line="144" w:lineRule="exact"/>
              <w:rPr>
                <w:sz w:val="20"/>
                <w:szCs w:val="20"/>
                <w:color w:val="auto"/>
              </w:rPr>
            </w:pPr>
            <w:r>
              <w:rPr>
                <w:rFonts w:ascii="Arial" w:cs="Arial" w:eastAsia="Arial" w:hAnsi="Arial"/>
                <w:sz w:val="14"/>
                <w:szCs w:val="14"/>
                <w:color w:val="auto"/>
                <w:w w:val="98"/>
              </w:rPr>
              <w:t>Inline XBRL Instance Document - the instance document does not appear in the Interactive Data File because its XBRL tags are embedded within the Inline XBRL</w:t>
            </w:r>
          </w:p>
        </w:tc>
      </w:tr>
      <w:tr>
        <w:trPr>
          <w:trHeight w:val="180"/>
        </w:trPr>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8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document.</w:t>
            </w:r>
          </w:p>
        </w:tc>
      </w:tr>
      <w:tr>
        <w:trPr>
          <w:trHeight w:val="180"/>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9880" w:type="dxa"/>
            <w:vAlign w:val="bottom"/>
            <w:gridSpan w:val="8"/>
          </w:tcPr>
          <w:p>
            <w:pPr>
              <w:spacing w:after="0"/>
              <w:rPr>
                <w:sz w:val="20"/>
                <w:szCs w:val="20"/>
                <w:color w:val="auto"/>
              </w:rPr>
            </w:pPr>
            <w:r>
              <w:rPr>
                <w:rFonts w:ascii="Arial" w:cs="Arial" w:eastAsia="Arial" w:hAnsi="Arial"/>
                <w:sz w:val="14"/>
                <w:szCs w:val="14"/>
                <w:color w:val="auto"/>
              </w:rPr>
              <w:t>XBRL Taxonomy Extension Schema Document</w:t>
            </w:r>
          </w:p>
        </w:tc>
      </w:tr>
      <w:tr>
        <w:trPr>
          <w:trHeight w:val="18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101.CAL*</w:t>
            </w:r>
          </w:p>
        </w:tc>
        <w:tc>
          <w:tcPr>
            <w:tcW w:w="988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180"/>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9880" w:type="dxa"/>
            <w:vAlign w:val="bottom"/>
            <w:gridSpan w:val="8"/>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18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988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XBRL Taxonomy Extension Presentation Linkbase Document</w:t>
            </w:r>
          </w:p>
        </w:tc>
      </w:tr>
      <w:tr>
        <w:trPr>
          <w:trHeight w:val="180"/>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9880" w:type="dxa"/>
            <w:vAlign w:val="bottom"/>
            <w:gridSpan w:val="8"/>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181"/>
        </w:trPr>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5"/>
                <w:szCs w:val="15"/>
                <w:color w:val="auto"/>
              </w:rPr>
            </w:pPr>
          </w:p>
        </w:tc>
        <w:tc>
          <w:tcPr>
            <w:tcW w:w="988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Cover Page Interactive Data File (formatted in Inline XBRL and contained in Exhibit 101)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2" w:lineRule="exact"/>
        <w:rPr>
          <w:sz w:val="20"/>
          <w:szCs w:val="20"/>
          <w:color w:val="auto"/>
        </w:rPr>
      </w:pPr>
    </w:p>
    <w:p>
      <w:pPr>
        <w:ind w:right="7100" w:firstLine="5"/>
        <w:spacing w:after="0" w:line="261" w:lineRule="auto"/>
        <w:tabs>
          <w:tab w:leader="none" w:pos="25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Indicates management contract or compensatory plan or arrangement </w:t>
      </w:r>
      <w:r>
        <w:rPr>
          <w:rFonts w:ascii="Arial" w:cs="Arial" w:eastAsia="Arial" w:hAnsi="Arial"/>
          <w:sz w:val="16"/>
          <w:szCs w:val="16"/>
          <w:color w:val="auto"/>
        </w:rPr>
        <w:t xml:space="preserve">* </w:t>
      </w:r>
      <w:r>
        <w:rPr>
          <w:rFonts w:ascii="Arial" w:cs="Arial" w:eastAsia="Arial" w:hAnsi="Arial"/>
          <w:sz w:val="14"/>
          <w:szCs w:val="14"/>
          <w:color w:val="auto"/>
        </w:rPr>
        <w:t>Filed herewith</w:t>
      </w:r>
    </w:p>
    <w:p>
      <w:pPr>
        <w:spacing w:after="0" w:line="1" w:lineRule="exact"/>
        <w:rPr>
          <w:sz w:val="20"/>
          <w:szCs w:val="20"/>
          <w:color w:val="auto"/>
        </w:rPr>
      </w:pPr>
    </w:p>
    <w:p>
      <w:pPr>
        <w:ind w:left="380" w:hanging="375"/>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4"/>
          <w:szCs w:val="14"/>
          <w:color w:val="auto"/>
        </w:rPr>
        <w:t>Furnished herewith</w:t>
      </w:r>
    </w:p>
    <w:p>
      <w:pPr>
        <w:spacing w:after="0" w:line="2" w:lineRule="exact"/>
        <w:rPr>
          <w:sz w:val="20"/>
          <w:szCs w:val="20"/>
          <w:color w:val="auto"/>
        </w:rPr>
      </w:pPr>
    </w:p>
    <w:p>
      <w:pPr>
        <w:ind w:left="260" w:hanging="255"/>
        <w:spacing w:after="0" w:line="263"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3051F2"/>
        </w:rPr>
      </w:pPr>
      <w:hyperlink w:anchor="page2">
        <w:r>
          <w:rPr>
            <w:rFonts w:ascii="Arial" w:cs="Arial" w:eastAsia="Arial" w:hAnsi="Arial"/>
            <w:sz w:val="14"/>
            <w:szCs w:val="14"/>
            <w:u w:val="single" w:color="auto"/>
            <w:color w:val="3051F2"/>
          </w:rPr>
          <w:t>Tables of Contents</w:t>
        </w:r>
      </w:hyperlink>
    </w:p>
    <w:p>
      <w:pPr>
        <w:spacing w:after="0" w:line="200" w:lineRule="exact"/>
        <w:rPr>
          <w:sz w:val="20"/>
          <w:szCs w:val="20"/>
          <w:color w:val="auto"/>
        </w:rPr>
      </w:pPr>
    </w:p>
    <w:p>
      <w:pPr>
        <w:spacing w:after="0" w:line="314"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SIGNATURES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1934, the Registrant has duly caused this report to be signed on its behalf by the undersigned thereunto duly authorized.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3660" w:type="dxa"/>
            <w:vAlign w:val="bottom"/>
          </w:tcPr>
          <w:p>
            <w:pPr>
              <w:ind w:left="1960"/>
              <w:spacing w:after="0"/>
              <w:rPr>
                <w:sz w:val="20"/>
                <w:szCs w:val="20"/>
                <w:color w:val="auto"/>
              </w:rPr>
            </w:pPr>
            <w:r>
              <w:rPr>
                <w:rFonts w:ascii="Arial" w:cs="Arial" w:eastAsia="Arial" w:hAnsi="Arial"/>
                <w:sz w:val="14"/>
                <w:szCs w:val="14"/>
                <w:b w:val="1"/>
                <w:bCs w:val="1"/>
                <w:color w:val="auto"/>
              </w:rPr>
              <w:t>MOMENTUS INC.</w:t>
            </w:r>
          </w:p>
        </w:tc>
        <w:tc>
          <w:tcPr>
            <w:tcW w:w="4520" w:type="dxa"/>
            <w:vAlign w:val="bottom"/>
          </w:tcPr>
          <w:p>
            <w:pPr>
              <w:spacing w:after="0"/>
              <w:rPr>
                <w:sz w:val="16"/>
                <w:szCs w:val="16"/>
                <w:color w:val="auto"/>
              </w:rPr>
            </w:pPr>
          </w:p>
        </w:tc>
      </w:tr>
      <w:tr>
        <w:trPr>
          <w:trHeight w:val="382"/>
        </w:trPr>
        <w:tc>
          <w:tcPr>
            <w:tcW w:w="3080" w:type="dxa"/>
            <w:vAlign w:val="bottom"/>
          </w:tcPr>
          <w:p>
            <w:pPr>
              <w:spacing w:after="0"/>
              <w:rPr>
                <w:sz w:val="20"/>
                <w:szCs w:val="20"/>
                <w:color w:val="auto"/>
              </w:rPr>
            </w:pPr>
            <w:r>
              <w:rPr>
                <w:rFonts w:ascii="Arial" w:cs="Arial" w:eastAsia="Arial" w:hAnsi="Arial"/>
                <w:sz w:val="14"/>
                <w:szCs w:val="14"/>
                <w:color w:val="auto"/>
              </w:rPr>
              <w:t>Date: May 10, 2022</w:t>
            </w:r>
          </w:p>
        </w:tc>
        <w:tc>
          <w:tcPr>
            <w:tcW w:w="3660" w:type="dxa"/>
            <w:vAlign w:val="bottom"/>
          </w:tcPr>
          <w:p>
            <w:pPr>
              <w:ind w:left="2800"/>
              <w:spacing w:after="0"/>
              <w:rPr>
                <w:sz w:val="20"/>
                <w:szCs w:val="20"/>
                <w:color w:val="auto"/>
              </w:rPr>
            </w:pPr>
            <w:r>
              <w:rPr>
                <w:rFonts w:ascii="Arial" w:cs="Arial" w:eastAsia="Arial" w:hAnsi="Arial"/>
                <w:sz w:val="14"/>
                <w:szCs w:val="14"/>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John Rood</w:t>
            </w:r>
          </w:p>
        </w:tc>
      </w:tr>
      <w:tr>
        <w:trPr>
          <w:trHeight w:val="171"/>
        </w:trPr>
        <w:tc>
          <w:tcPr>
            <w:tcW w:w="3080" w:type="dxa"/>
            <w:vAlign w:val="bottom"/>
          </w:tcPr>
          <w:p>
            <w:pPr>
              <w:spacing w:after="0"/>
              <w:rPr>
                <w:sz w:val="14"/>
                <w:szCs w:val="14"/>
                <w:color w:val="auto"/>
              </w:rPr>
            </w:pPr>
          </w:p>
        </w:tc>
        <w:tc>
          <w:tcPr>
            <w:tcW w:w="3660" w:type="dxa"/>
            <w:vAlign w:val="bottom"/>
          </w:tcPr>
          <w:p>
            <w:pPr>
              <w:ind w:left="2800"/>
              <w:spacing w:after="0"/>
              <w:rPr>
                <w:sz w:val="20"/>
                <w:szCs w:val="20"/>
                <w:color w:val="auto"/>
              </w:rPr>
            </w:pPr>
            <w:r>
              <w:rPr>
                <w:rFonts w:ascii="Arial" w:cs="Arial" w:eastAsia="Arial" w:hAnsi="Arial"/>
                <w:sz w:val="14"/>
                <w:szCs w:val="14"/>
                <w:color w:val="auto"/>
              </w:rPr>
              <w:t>Name:</w:t>
            </w:r>
          </w:p>
        </w:tc>
        <w:tc>
          <w:tcPr>
            <w:tcW w:w="4520" w:type="dxa"/>
            <w:vAlign w:val="bottom"/>
          </w:tcPr>
          <w:p>
            <w:pPr>
              <w:spacing w:after="0"/>
              <w:rPr>
                <w:sz w:val="20"/>
                <w:szCs w:val="20"/>
                <w:color w:val="auto"/>
              </w:rPr>
            </w:pPr>
            <w:r>
              <w:rPr>
                <w:rFonts w:ascii="Arial" w:cs="Arial" w:eastAsia="Arial" w:hAnsi="Arial"/>
                <w:sz w:val="14"/>
                <w:szCs w:val="14"/>
                <w:color w:val="auto"/>
              </w:rPr>
              <w:t>John Rood</w:t>
            </w:r>
          </w:p>
        </w:tc>
      </w:tr>
      <w:tr>
        <w:trPr>
          <w:trHeight w:val="138"/>
        </w:trPr>
        <w:tc>
          <w:tcPr>
            <w:tcW w:w="3080" w:type="dxa"/>
            <w:vAlign w:val="bottom"/>
          </w:tcPr>
          <w:p>
            <w:pPr>
              <w:spacing w:after="0"/>
              <w:rPr>
                <w:sz w:val="12"/>
                <w:szCs w:val="12"/>
                <w:color w:val="auto"/>
              </w:rPr>
            </w:pPr>
          </w:p>
        </w:tc>
        <w:tc>
          <w:tcPr>
            <w:tcW w:w="3660" w:type="dxa"/>
            <w:vAlign w:val="bottom"/>
          </w:tcPr>
          <w:p>
            <w:pPr>
              <w:ind w:left="2800"/>
              <w:spacing w:after="0" w:line="139" w:lineRule="exact"/>
              <w:rPr>
                <w:sz w:val="20"/>
                <w:szCs w:val="20"/>
                <w:color w:val="auto"/>
              </w:rPr>
            </w:pPr>
            <w:r>
              <w:rPr>
                <w:rFonts w:ascii="Arial" w:cs="Arial" w:eastAsia="Arial" w:hAnsi="Arial"/>
                <w:sz w:val="14"/>
                <w:szCs w:val="14"/>
                <w:color w:val="auto"/>
              </w:rPr>
              <w:t>Title:</w:t>
            </w:r>
          </w:p>
        </w:tc>
        <w:tc>
          <w:tcPr>
            <w:tcW w:w="4520" w:type="dxa"/>
            <w:vAlign w:val="bottom"/>
          </w:tcPr>
          <w:p>
            <w:pPr>
              <w:spacing w:after="0" w:line="139" w:lineRule="exact"/>
              <w:rPr>
                <w:sz w:val="20"/>
                <w:szCs w:val="20"/>
                <w:color w:val="auto"/>
              </w:rPr>
            </w:pPr>
            <w:r>
              <w:rPr>
                <w:rFonts w:ascii="Arial" w:cs="Arial" w:eastAsia="Arial" w:hAnsi="Arial"/>
                <w:sz w:val="14"/>
                <w:szCs w:val="14"/>
                <w:color w:val="auto"/>
              </w:rPr>
              <w:t>Chief Executive Officer</w:t>
            </w:r>
          </w:p>
        </w:tc>
      </w:tr>
      <w:tr>
        <w:trPr>
          <w:trHeight w:val="180"/>
        </w:trPr>
        <w:tc>
          <w:tcPr>
            <w:tcW w:w="30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(Principal Executive Officer)</w:t>
            </w:r>
          </w:p>
        </w:tc>
      </w:tr>
      <w:tr>
        <w:trPr>
          <w:trHeight w:val="382"/>
        </w:trPr>
        <w:tc>
          <w:tcPr>
            <w:tcW w:w="3080" w:type="dxa"/>
            <w:vAlign w:val="bottom"/>
          </w:tcPr>
          <w:p>
            <w:pPr>
              <w:spacing w:after="0"/>
              <w:rPr>
                <w:sz w:val="20"/>
                <w:szCs w:val="20"/>
                <w:color w:val="auto"/>
              </w:rPr>
            </w:pPr>
            <w:r>
              <w:rPr>
                <w:rFonts w:ascii="Arial" w:cs="Arial" w:eastAsia="Arial" w:hAnsi="Arial"/>
                <w:sz w:val="14"/>
                <w:szCs w:val="14"/>
                <w:color w:val="auto"/>
              </w:rPr>
              <w:t>Date: May 10, 2022</w:t>
            </w:r>
          </w:p>
        </w:tc>
        <w:tc>
          <w:tcPr>
            <w:tcW w:w="3660" w:type="dxa"/>
            <w:vAlign w:val="bottom"/>
          </w:tcPr>
          <w:p>
            <w:pPr>
              <w:ind w:left="2800"/>
              <w:spacing w:after="0"/>
              <w:rPr>
                <w:sz w:val="20"/>
                <w:szCs w:val="20"/>
                <w:color w:val="auto"/>
              </w:rPr>
            </w:pPr>
            <w:r>
              <w:rPr>
                <w:rFonts w:ascii="Arial" w:cs="Arial" w:eastAsia="Arial" w:hAnsi="Arial"/>
                <w:sz w:val="14"/>
                <w:szCs w:val="14"/>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Jikun Kim</w:t>
            </w:r>
          </w:p>
        </w:tc>
      </w:tr>
      <w:tr>
        <w:trPr>
          <w:trHeight w:val="171"/>
        </w:trPr>
        <w:tc>
          <w:tcPr>
            <w:tcW w:w="3080" w:type="dxa"/>
            <w:vAlign w:val="bottom"/>
          </w:tcPr>
          <w:p>
            <w:pPr>
              <w:spacing w:after="0"/>
              <w:rPr>
                <w:sz w:val="14"/>
                <w:szCs w:val="14"/>
                <w:color w:val="auto"/>
              </w:rPr>
            </w:pPr>
          </w:p>
        </w:tc>
        <w:tc>
          <w:tcPr>
            <w:tcW w:w="3660" w:type="dxa"/>
            <w:vAlign w:val="bottom"/>
          </w:tcPr>
          <w:p>
            <w:pPr>
              <w:ind w:left="2800"/>
              <w:spacing w:after="0"/>
              <w:rPr>
                <w:sz w:val="20"/>
                <w:szCs w:val="20"/>
                <w:color w:val="auto"/>
              </w:rPr>
            </w:pPr>
            <w:r>
              <w:rPr>
                <w:rFonts w:ascii="Arial" w:cs="Arial" w:eastAsia="Arial" w:hAnsi="Arial"/>
                <w:sz w:val="14"/>
                <w:szCs w:val="14"/>
                <w:color w:val="auto"/>
              </w:rPr>
              <w:t>Name:</w:t>
            </w:r>
          </w:p>
        </w:tc>
        <w:tc>
          <w:tcPr>
            <w:tcW w:w="4520" w:type="dxa"/>
            <w:vAlign w:val="bottom"/>
          </w:tcPr>
          <w:p>
            <w:pPr>
              <w:spacing w:after="0"/>
              <w:rPr>
                <w:sz w:val="20"/>
                <w:szCs w:val="20"/>
                <w:color w:val="auto"/>
              </w:rPr>
            </w:pPr>
            <w:r>
              <w:rPr>
                <w:rFonts w:ascii="Arial" w:cs="Arial" w:eastAsia="Arial" w:hAnsi="Arial"/>
                <w:sz w:val="14"/>
                <w:szCs w:val="14"/>
                <w:color w:val="auto"/>
              </w:rPr>
              <w:t>Jikun Kim</w:t>
            </w:r>
          </w:p>
        </w:tc>
      </w:tr>
      <w:tr>
        <w:trPr>
          <w:trHeight w:val="138"/>
        </w:trPr>
        <w:tc>
          <w:tcPr>
            <w:tcW w:w="3080" w:type="dxa"/>
            <w:vAlign w:val="bottom"/>
          </w:tcPr>
          <w:p>
            <w:pPr>
              <w:spacing w:after="0"/>
              <w:rPr>
                <w:sz w:val="12"/>
                <w:szCs w:val="12"/>
                <w:color w:val="auto"/>
              </w:rPr>
            </w:pPr>
          </w:p>
        </w:tc>
        <w:tc>
          <w:tcPr>
            <w:tcW w:w="3660" w:type="dxa"/>
            <w:vAlign w:val="bottom"/>
          </w:tcPr>
          <w:p>
            <w:pPr>
              <w:ind w:left="2800"/>
              <w:spacing w:after="0" w:line="139" w:lineRule="exact"/>
              <w:rPr>
                <w:sz w:val="20"/>
                <w:szCs w:val="20"/>
                <w:color w:val="auto"/>
              </w:rPr>
            </w:pPr>
            <w:r>
              <w:rPr>
                <w:rFonts w:ascii="Arial" w:cs="Arial" w:eastAsia="Arial" w:hAnsi="Arial"/>
                <w:sz w:val="14"/>
                <w:szCs w:val="14"/>
                <w:color w:val="auto"/>
              </w:rPr>
              <w:t>Title:</w:t>
            </w:r>
          </w:p>
        </w:tc>
        <w:tc>
          <w:tcPr>
            <w:tcW w:w="4520" w:type="dxa"/>
            <w:vAlign w:val="bottom"/>
          </w:tcPr>
          <w:p>
            <w:pPr>
              <w:spacing w:after="0" w:line="139" w:lineRule="exact"/>
              <w:rPr>
                <w:sz w:val="20"/>
                <w:szCs w:val="20"/>
                <w:color w:val="auto"/>
              </w:rPr>
            </w:pPr>
            <w:r>
              <w:rPr>
                <w:rFonts w:ascii="Arial" w:cs="Arial" w:eastAsia="Arial" w:hAnsi="Arial"/>
                <w:sz w:val="14"/>
                <w:szCs w:val="14"/>
                <w:color w:val="auto"/>
              </w:rPr>
              <w:t>Chief Financial Officer</w:t>
            </w:r>
          </w:p>
        </w:tc>
      </w:tr>
      <w:tr>
        <w:trPr>
          <w:trHeight w:val="180"/>
        </w:trPr>
        <w:tc>
          <w:tcPr>
            <w:tcW w:w="30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(Principal Financial and Accounting Officer)</w:t>
            </w:r>
          </w:p>
        </w:tc>
      </w:tr>
      <w:tr>
        <w:trPr>
          <w:trHeight w:val="806"/>
        </w:trPr>
        <w:tc>
          <w:tcPr>
            <w:tcW w:w="3080" w:type="dxa"/>
            <w:vAlign w:val="bottom"/>
          </w:tcPr>
          <w:p>
            <w:pPr>
              <w:spacing w:after="0"/>
              <w:rPr>
                <w:sz w:val="24"/>
                <w:szCs w:val="24"/>
                <w:color w:val="auto"/>
              </w:rPr>
            </w:pPr>
          </w:p>
        </w:tc>
        <w:tc>
          <w:tcPr>
            <w:tcW w:w="3660" w:type="dxa"/>
            <w:vAlign w:val="bottom"/>
          </w:tcPr>
          <w:p>
            <w:pPr>
              <w:ind w:left="2480"/>
              <w:spacing w:after="0"/>
              <w:rPr>
                <w:sz w:val="20"/>
                <w:szCs w:val="20"/>
                <w:color w:val="auto"/>
              </w:rPr>
            </w:pPr>
            <w:r>
              <w:rPr>
                <w:rFonts w:ascii="Arial" w:cs="Arial" w:eastAsia="Arial" w:hAnsi="Arial"/>
                <w:sz w:val="14"/>
                <w:szCs w:val="14"/>
                <w:color w:val="auto"/>
              </w:rPr>
              <w:t>51</w:t>
            </w:r>
          </w:p>
        </w:tc>
        <w:tc>
          <w:tcPr>
            <w:tcW w:w="4520" w:type="dxa"/>
            <w:vAlign w:val="bottom"/>
          </w:tcPr>
          <w:p>
            <w:pPr>
              <w:spacing w:after="0"/>
              <w:rPr>
                <w:sz w:val="24"/>
                <w:szCs w:val="24"/>
                <w:color w:val="auto"/>
              </w:rPr>
            </w:pPr>
          </w:p>
        </w:tc>
      </w:tr>
    </w:tbl>
    <w:p>
      <w:pPr>
        <w:sectPr>
          <w:pgSz w:w="11900" w:h="16838" w:orient="portrait"/>
          <w:cols w:equalWidth="0" w:num="1">
            <w:col w:w="11280"/>
          </w:cols>
          <w:pgMar w:left="300" w:top="129" w:right="319" w:bottom="1440"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jc w:val="right"/>
        <w:ind w:right="60"/>
        <w:spacing w:after="0"/>
        <w:rPr>
          <w:sz w:val="20"/>
          <w:szCs w:val="20"/>
          <w:color w:val="auto"/>
        </w:rPr>
      </w:pPr>
      <w:r>
        <w:rPr>
          <w:rFonts w:ascii="Arial" w:cs="Arial" w:eastAsia="Arial" w:hAnsi="Arial"/>
          <w:sz w:val="14"/>
          <w:szCs w:val="14"/>
          <w:b w:val="1"/>
          <w:bCs w:val="1"/>
          <w:color w:val="auto"/>
        </w:rPr>
        <w:t>Exhibit 31.1</w:t>
      </w:r>
    </w:p>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ADOPTED PURSUANT TO SECTION 302 OF</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THE SARBANES-OXLEY ACT OF 2002</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I, John Rood, certify that:</w:t>
      </w:r>
    </w:p>
    <w:p>
      <w:pPr>
        <w:spacing w:after="0" w:line="316"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Momentus Inc.;</w:t>
      </w:r>
    </w:p>
    <w:p>
      <w:pPr>
        <w:spacing w:after="0" w:line="125" w:lineRule="exact"/>
        <w:rPr>
          <w:sz w:val="20"/>
          <w:szCs w:val="20"/>
          <w:color w:val="auto"/>
        </w:rPr>
      </w:pPr>
    </w:p>
    <w:p>
      <w:pPr>
        <w:ind w:left="520" w:right="80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sz w:val="20"/>
          <w:szCs w:val="20"/>
          <w:color w:val="auto"/>
        </w:rPr>
      </w:pPr>
    </w:p>
    <w:p>
      <w:pPr>
        <w:ind w:left="520" w:right="260" w:hanging="260"/>
        <w:spacing w:after="0" w:line="28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sz w:val="20"/>
          <w:szCs w:val="20"/>
          <w:color w:val="auto"/>
        </w:rPr>
      </w:pPr>
    </w:p>
    <w:p>
      <w:pPr>
        <w:ind w:left="520" w:right="10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1020" w:right="420" w:hanging="251"/>
        <w:spacing w:after="0" w:line="267" w:lineRule="auto"/>
        <w:tabs>
          <w:tab w:leader="none" w:pos="1013" w:val="left"/>
        </w:tabs>
        <w:numPr>
          <w:ilvl w:val="1"/>
          <w:numId w:val="1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4"/>
          <w:szCs w:val="14"/>
          <w:color w:val="auto"/>
        </w:rPr>
      </w:pPr>
    </w:p>
    <w:p>
      <w:pPr>
        <w:ind w:left="1020" w:right="80" w:hanging="251"/>
        <w:spacing w:after="0" w:line="368" w:lineRule="auto"/>
        <w:tabs>
          <w:tab w:leader="none" w:pos="101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2"/>
          <w:szCs w:val="12"/>
          <w:color w:val="auto"/>
        </w:rPr>
      </w:pPr>
    </w:p>
    <w:p>
      <w:pPr>
        <w:ind w:left="1020" w:right="260" w:hanging="251"/>
        <w:spacing w:after="0" w:line="281" w:lineRule="auto"/>
        <w:tabs>
          <w:tab w:leader="none" w:pos="1013" w:val="left"/>
        </w:tabs>
        <w:numPr>
          <w:ilvl w:val="1"/>
          <w:numId w:val="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1020" w:right="260" w:hanging="251"/>
        <w:spacing w:after="0" w:line="368" w:lineRule="auto"/>
        <w:tabs>
          <w:tab w:leader="none" w:pos="101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sz w:val="20"/>
          <w:szCs w:val="20"/>
          <w:color w:val="auto"/>
        </w:rPr>
      </w:pPr>
    </w:p>
    <w:p>
      <w:pPr>
        <w:ind w:left="520" w:right="60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4"/>
          <w:szCs w:val="14"/>
          <w:color w:val="auto"/>
        </w:rPr>
      </w:pPr>
    </w:p>
    <w:p>
      <w:pPr>
        <w:ind w:left="1020" w:right="620" w:hanging="251"/>
        <w:spacing w:after="0" w:line="281" w:lineRule="auto"/>
        <w:tabs>
          <w:tab w:leader="none" w:pos="1013" w:val="left"/>
        </w:tabs>
        <w:numPr>
          <w:ilvl w:val="1"/>
          <w:numId w:val="1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1020" w:hanging="251"/>
        <w:spacing w:after="0"/>
        <w:tabs>
          <w:tab w:leader="none" w:pos="10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504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By:</w:t>
            </w: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/s/John Rood</w:t>
            </w:r>
          </w:p>
        </w:tc>
        <w:tc>
          <w:tcPr>
            <w:tcW w:w="340" w:type="dxa"/>
            <w:vAlign w:val="bottom"/>
          </w:tcPr>
          <w:p>
            <w:pPr>
              <w:spacing w:after="0"/>
              <w:rPr>
                <w:sz w:val="14"/>
                <w:szCs w:val="14"/>
                <w:color w:val="auto"/>
              </w:rPr>
            </w:pPr>
          </w:p>
        </w:tc>
      </w:tr>
      <w:tr>
        <w:trPr>
          <w:trHeight w:val="192"/>
        </w:trPr>
        <w:tc>
          <w:tcPr>
            <w:tcW w:w="9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Name:</w:t>
            </w:r>
          </w:p>
        </w:tc>
        <w:tc>
          <w:tcPr>
            <w:tcW w:w="1140" w:type="dxa"/>
            <w:vAlign w:val="bottom"/>
            <w:gridSpan w:val="2"/>
          </w:tcPr>
          <w:p>
            <w:pPr>
              <w:spacing w:after="0"/>
              <w:rPr>
                <w:sz w:val="20"/>
                <w:szCs w:val="20"/>
                <w:color w:val="auto"/>
              </w:rPr>
            </w:pPr>
            <w:r>
              <w:rPr>
                <w:rFonts w:ascii="Arial" w:cs="Arial" w:eastAsia="Arial" w:hAnsi="Arial"/>
                <w:sz w:val="14"/>
                <w:szCs w:val="14"/>
                <w:color w:val="auto"/>
              </w:rPr>
              <w:t>John Rood</w:t>
            </w:r>
          </w:p>
        </w:tc>
      </w:tr>
      <w:tr>
        <w:trPr>
          <w:trHeight w:val="180"/>
        </w:trPr>
        <w:tc>
          <w:tcPr>
            <w:tcW w:w="960" w:type="dxa"/>
            <w:vAlign w:val="bottom"/>
          </w:tcPr>
          <w:p>
            <w:pPr>
              <w:spacing w:after="0"/>
              <w:rPr>
                <w:sz w:val="20"/>
                <w:szCs w:val="20"/>
                <w:color w:val="auto"/>
              </w:rPr>
            </w:pPr>
            <w:r>
              <w:rPr>
                <w:rFonts w:ascii="Arial" w:cs="Arial" w:eastAsia="Arial" w:hAnsi="Arial"/>
                <w:sz w:val="14"/>
                <w:szCs w:val="14"/>
                <w:color w:val="auto"/>
              </w:rPr>
              <w:t>Dated:</w:t>
            </w:r>
          </w:p>
        </w:tc>
        <w:tc>
          <w:tcPr>
            <w:tcW w:w="2220" w:type="dxa"/>
            <w:vAlign w:val="bottom"/>
          </w:tcPr>
          <w:p>
            <w:pPr>
              <w:ind w:left="580"/>
              <w:spacing w:after="0"/>
              <w:rPr>
                <w:sz w:val="20"/>
                <w:szCs w:val="20"/>
                <w:color w:val="auto"/>
              </w:rPr>
            </w:pPr>
            <w:r>
              <w:rPr>
                <w:rFonts w:ascii="Arial" w:cs="Arial" w:eastAsia="Arial" w:hAnsi="Arial"/>
                <w:sz w:val="14"/>
                <w:szCs w:val="14"/>
                <w:color w:val="auto"/>
              </w:rPr>
              <w:t>May 10, 2021</w:t>
            </w: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Title:</w:t>
            </w:r>
          </w:p>
        </w:tc>
        <w:tc>
          <w:tcPr>
            <w:tcW w:w="1140" w:type="dxa"/>
            <w:vAlign w:val="bottom"/>
            <w:gridSpan w:val="2"/>
          </w:tcPr>
          <w:p>
            <w:pPr>
              <w:spacing w:after="0"/>
              <w:rPr>
                <w:sz w:val="20"/>
                <w:szCs w:val="20"/>
                <w:color w:val="auto"/>
              </w:rPr>
            </w:pPr>
            <w:r>
              <w:rPr>
                <w:rFonts w:ascii="Arial" w:cs="Arial" w:eastAsia="Arial" w:hAnsi="Arial"/>
                <w:sz w:val="14"/>
                <w:szCs w:val="14"/>
                <w:color w:val="auto"/>
                <w:w w:val="93"/>
              </w:rPr>
              <w:t>Chief Executive Off</w:t>
            </w:r>
          </w:p>
        </w:tc>
      </w:tr>
    </w:tbl>
    <w:p>
      <w:pPr>
        <w:sectPr>
          <w:pgSz w:w="11900" w:h="16838" w:orient="portrait"/>
          <w:cols w:equalWidth="0" w:num="1">
            <w:col w:w="11340"/>
          </w:cols>
          <w:pgMar w:left="300" w:top="634" w:right="259" w:bottom="1440" w:gutter="0" w:footer="0" w:header="0"/>
        </w:sectPr>
      </w:pPr>
    </w:p>
    <w:bookmarkStart w:id="74" w:name="page75"/>
    <w:bookmarkEnd w:id="74"/>
    <w:p>
      <w:pPr>
        <w:jc w:val="right"/>
        <w:ind w:right="80"/>
        <w:spacing w:after="0"/>
        <w:rPr>
          <w:sz w:val="20"/>
          <w:szCs w:val="20"/>
          <w:color w:val="auto"/>
        </w:rPr>
      </w:pPr>
      <w:r>
        <w:rPr>
          <w:rFonts w:ascii="Arial" w:cs="Arial" w:eastAsia="Arial" w:hAnsi="Arial"/>
          <w:sz w:val="14"/>
          <w:szCs w:val="14"/>
          <w:b w:val="1"/>
          <w:bCs w:val="1"/>
          <w:color w:val="auto"/>
        </w:rPr>
        <w:t>Exhibit 31.2</w:t>
      </w:r>
    </w:p>
    <w:p>
      <w:pPr>
        <w:spacing w:after="0" w:line="12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ADOPTED PURSUANT TO SECTION 302 OF</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THE SARBANES-OXLEY ACT OF 2002</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I, Jikun Kim, certify that:</w:t>
      </w:r>
    </w:p>
    <w:p>
      <w:pPr>
        <w:spacing w:after="0" w:line="316"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Momentus Inc.;</w:t>
      </w:r>
    </w:p>
    <w:p>
      <w:pPr>
        <w:spacing w:after="0" w:line="125" w:lineRule="exact"/>
        <w:rPr>
          <w:sz w:val="20"/>
          <w:szCs w:val="20"/>
          <w:color w:val="auto"/>
        </w:rPr>
      </w:pPr>
    </w:p>
    <w:p>
      <w:pPr>
        <w:ind w:left="520" w:right="82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sz w:val="20"/>
          <w:szCs w:val="20"/>
          <w:color w:val="auto"/>
        </w:rPr>
      </w:pPr>
    </w:p>
    <w:p>
      <w:pPr>
        <w:ind w:left="520" w:right="28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sz w:val="20"/>
          <w:szCs w:val="20"/>
          <w:color w:val="auto"/>
        </w:rPr>
      </w:pPr>
    </w:p>
    <w:p>
      <w:pPr>
        <w:ind w:left="520" w:right="120" w:hanging="260"/>
        <w:spacing w:after="0" w:line="281"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1020" w:right="440" w:hanging="251"/>
        <w:spacing w:after="0" w:line="267" w:lineRule="auto"/>
        <w:tabs>
          <w:tab w:leader="none" w:pos="1013"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4"/>
          <w:szCs w:val="14"/>
          <w:color w:val="auto"/>
        </w:rPr>
      </w:pPr>
    </w:p>
    <w:p>
      <w:pPr>
        <w:ind w:left="1020" w:right="100" w:hanging="251"/>
        <w:spacing w:after="0" w:line="368" w:lineRule="auto"/>
        <w:tabs>
          <w:tab w:leader="none" w:pos="101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2"/>
          <w:szCs w:val="12"/>
          <w:color w:val="auto"/>
        </w:rPr>
      </w:pPr>
    </w:p>
    <w:p>
      <w:pPr>
        <w:ind w:left="1020" w:right="280" w:hanging="251"/>
        <w:spacing w:after="0" w:line="281" w:lineRule="auto"/>
        <w:tabs>
          <w:tab w:leader="none" w:pos="1013"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1020" w:right="280" w:hanging="251"/>
        <w:spacing w:after="0" w:line="368" w:lineRule="auto"/>
        <w:tabs>
          <w:tab w:leader="none" w:pos="101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sz w:val="20"/>
          <w:szCs w:val="20"/>
          <w:color w:val="auto"/>
        </w:rPr>
      </w:pPr>
    </w:p>
    <w:p>
      <w:pPr>
        <w:ind w:left="520" w:right="620" w:hanging="260"/>
        <w:spacing w:after="0" w:line="28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4"/>
          <w:szCs w:val="14"/>
          <w:color w:val="auto"/>
        </w:rPr>
      </w:pPr>
    </w:p>
    <w:p>
      <w:pPr>
        <w:ind w:left="1020" w:right="640" w:hanging="251"/>
        <w:spacing w:after="0" w:line="281" w:lineRule="auto"/>
        <w:tabs>
          <w:tab w:leader="none" w:pos="1013"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1020" w:hanging="251"/>
        <w:spacing w:after="0"/>
        <w:tabs>
          <w:tab w:leader="none" w:pos="10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By:</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/s/Jikun Kim</w:t>
            </w:r>
          </w:p>
        </w:tc>
      </w:tr>
      <w:tr>
        <w:trPr>
          <w:trHeight w:val="192"/>
        </w:trPr>
        <w:tc>
          <w:tcPr>
            <w:tcW w:w="9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Name:</w:t>
            </w:r>
          </w:p>
        </w:tc>
        <w:tc>
          <w:tcPr>
            <w:tcW w:w="7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Jikun Kim</w:t>
            </w:r>
          </w:p>
        </w:tc>
        <w:tc>
          <w:tcPr>
            <w:tcW w:w="340" w:type="dxa"/>
            <w:vAlign w:val="bottom"/>
          </w:tcPr>
          <w:p>
            <w:pPr>
              <w:spacing w:after="0"/>
              <w:rPr>
                <w:sz w:val="16"/>
                <w:szCs w:val="16"/>
                <w:color w:val="auto"/>
              </w:rPr>
            </w:pPr>
          </w:p>
        </w:tc>
      </w:tr>
      <w:tr>
        <w:trPr>
          <w:trHeight w:val="180"/>
        </w:trPr>
        <w:tc>
          <w:tcPr>
            <w:tcW w:w="960" w:type="dxa"/>
            <w:vAlign w:val="bottom"/>
          </w:tcPr>
          <w:p>
            <w:pPr>
              <w:spacing w:after="0"/>
              <w:rPr>
                <w:sz w:val="20"/>
                <w:szCs w:val="20"/>
                <w:color w:val="auto"/>
              </w:rPr>
            </w:pPr>
            <w:r>
              <w:rPr>
                <w:rFonts w:ascii="Arial" w:cs="Arial" w:eastAsia="Arial" w:hAnsi="Arial"/>
                <w:sz w:val="14"/>
                <w:szCs w:val="14"/>
                <w:color w:val="auto"/>
              </w:rPr>
              <w:t>Dated:</w:t>
            </w:r>
          </w:p>
        </w:tc>
        <w:tc>
          <w:tcPr>
            <w:tcW w:w="2220" w:type="dxa"/>
            <w:vAlign w:val="bottom"/>
          </w:tcPr>
          <w:p>
            <w:pPr>
              <w:ind w:left="580"/>
              <w:spacing w:after="0"/>
              <w:rPr>
                <w:sz w:val="20"/>
                <w:szCs w:val="20"/>
                <w:color w:val="auto"/>
              </w:rPr>
            </w:pPr>
            <w:r>
              <w:rPr>
                <w:rFonts w:ascii="Arial" w:cs="Arial" w:eastAsia="Arial" w:hAnsi="Arial"/>
                <w:sz w:val="14"/>
                <w:szCs w:val="14"/>
                <w:color w:val="auto"/>
              </w:rPr>
              <w:t>May 10, 2022</w:t>
            </w: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Title:</w:t>
            </w:r>
          </w:p>
        </w:tc>
        <w:tc>
          <w:tcPr>
            <w:tcW w:w="1120" w:type="dxa"/>
            <w:vAlign w:val="bottom"/>
            <w:gridSpan w:val="2"/>
          </w:tcPr>
          <w:p>
            <w:pPr>
              <w:spacing w:after="0"/>
              <w:rPr>
                <w:sz w:val="20"/>
                <w:szCs w:val="20"/>
                <w:color w:val="auto"/>
              </w:rPr>
            </w:pPr>
            <w:r>
              <w:rPr>
                <w:rFonts w:ascii="Arial" w:cs="Arial" w:eastAsia="Arial" w:hAnsi="Arial"/>
                <w:sz w:val="14"/>
                <w:szCs w:val="14"/>
                <w:color w:val="auto"/>
                <w:w w:val="95"/>
              </w:rPr>
              <w:t>Chief Financial Off</w:t>
            </w:r>
          </w:p>
        </w:tc>
      </w:tr>
    </w:tbl>
    <w:p>
      <w:pPr>
        <w:sectPr>
          <w:pgSz w:w="11900" w:h="16838" w:orient="portrait"/>
          <w:cols w:equalWidth="0" w:num="1">
            <w:col w:w="11360"/>
          </w:cols>
          <w:pgMar w:left="300" w:top="63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4"/>
          <w:szCs w:val="14"/>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05"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In connection with the Quarterly Report on Form 10-Q of Momentus Inc., a Delaware corporation (the “Company”), on Form 10-Q for the fiscal quarter ended March 31, 2022, as filed with the Securities and Exchange Commission on the date hereof (the “Form 10-Q”), I, John Rood, Chief Executive Officer of the Company, certify, pursuant to 18 U.S.C. section 1350, as adopted pursuant section 906 of the Sarbanes-Oxley Act of 2002, that to the best of our knowledge:</w:t>
      </w:r>
    </w:p>
    <w:p>
      <w:pPr>
        <w:spacing w:after="0" w:line="89"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Form 10-Q fully complies, in all material respects, with the requirements of section 13(a) or section 15(d) of the Securities Exchange Act of 1934, as amended; and</w:t>
      </w:r>
    </w:p>
    <w:p>
      <w:pPr>
        <w:spacing w:after="0" w:line="125" w:lineRule="exact"/>
        <w:rPr>
          <w:rFonts w:ascii="Arial" w:cs="Arial" w:eastAsia="Arial" w:hAnsi="Arial"/>
          <w:sz w:val="14"/>
          <w:szCs w:val="14"/>
          <w:color w:val="auto"/>
        </w:rPr>
      </w:pPr>
    </w:p>
    <w:p>
      <w:pPr>
        <w:ind w:left="500" w:hanging="240"/>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5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By:</w:t>
            </w: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/s/John Rood</w:t>
            </w:r>
          </w:p>
        </w:tc>
        <w:tc>
          <w:tcPr>
            <w:tcW w:w="560" w:type="dxa"/>
            <w:vAlign w:val="bottom"/>
          </w:tcPr>
          <w:p>
            <w:pPr>
              <w:spacing w:after="0"/>
              <w:rPr>
                <w:sz w:val="14"/>
                <w:szCs w:val="14"/>
                <w:color w:val="auto"/>
              </w:rPr>
            </w:pPr>
          </w:p>
        </w:tc>
      </w:tr>
      <w:tr>
        <w:trPr>
          <w:trHeight w:val="192"/>
        </w:trPr>
        <w:tc>
          <w:tcPr>
            <w:tcW w:w="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Name:</w:t>
            </w:r>
          </w:p>
        </w:tc>
        <w:tc>
          <w:tcPr>
            <w:tcW w:w="1360" w:type="dxa"/>
            <w:vAlign w:val="bottom"/>
            <w:gridSpan w:val="2"/>
          </w:tcPr>
          <w:p>
            <w:pPr>
              <w:spacing w:after="0"/>
              <w:rPr>
                <w:sz w:val="20"/>
                <w:szCs w:val="20"/>
                <w:color w:val="auto"/>
              </w:rPr>
            </w:pPr>
            <w:r>
              <w:rPr>
                <w:rFonts w:ascii="Arial" w:cs="Arial" w:eastAsia="Arial" w:hAnsi="Arial"/>
                <w:sz w:val="14"/>
                <w:szCs w:val="14"/>
                <w:color w:val="auto"/>
              </w:rPr>
              <w:t>John Rood</w:t>
            </w:r>
          </w:p>
        </w:tc>
      </w:tr>
      <w:tr>
        <w:trPr>
          <w:trHeight w:val="180"/>
        </w:trPr>
        <w:tc>
          <w:tcPr>
            <w:tcW w:w="940" w:type="dxa"/>
            <w:vAlign w:val="bottom"/>
          </w:tcPr>
          <w:p>
            <w:pPr>
              <w:spacing w:after="0"/>
              <w:rPr>
                <w:sz w:val="20"/>
                <w:szCs w:val="20"/>
                <w:color w:val="auto"/>
              </w:rPr>
            </w:pPr>
            <w:r>
              <w:rPr>
                <w:rFonts w:ascii="Arial" w:cs="Arial" w:eastAsia="Arial" w:hAnsi="Arial"/>
                <w:sz w:val="14"/>
                <w:szCs w:val="14"/>
                <w:color w:val="auto"/>
              </w:rPr>
              <w:t>Dated:</w:t>
            </w:r>
          </w:p>
        </w:tc>
        <w:tc>
          <w:tcPr>
            <w:tcW w:w="2220" w:type="dxa"/>
            <w:vAlign w:val="bottom"/>
          </w:tcPr>
          <w:p>
            <w:pPr>
              <w:ind w:left="580"/>
              <w:spacing w:after="0"/>
              <w:rPr>
                <w:sz w:val="20"/>
                <w:szCs w:val="20"/>
                <w:color w:val="auto"/>
              </w:rPr>
            </w:pPr>
            <w:r>
              <w:rPr>
                <w:rFonts w:ascii="Arial" w:cs="Arial" w:eastAsia="Arial" w:hAnsi="Arial"/>
                <w:sz w:val="14"/>
                <w:szCs w:val="14"/>
                <w:color w:val="auto"/>
              </w:rPr>
              <w:t>May 10, 2021</w:t>
            </w: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Title:</w:t>
            </w:r>
          </w:p>
        </w:tc>
        <w:tc>
          <w:tcPr>
            <w:tcW w:w="1360" w:type="dxa"/>
            <w:vAlign w:val="bottom"/>
            <w:gridSpan w:val="2"/>
          </w:tcPr>
          <w:p>
            <w:pPr>
              <w:spacing w:after="0"/>
              <w:rPr>
                <w:sz w:val="20"/>
                <w:szCs w:val="20"/>
                <w:color w:val="auto"/>
              </w:rPr>
            </w:pPr>
            <w:r>
              <w:rPr>
                <w:rFonts w:ascii="Arial" w:cs="Arial" w:eastAsia="Arial" w:hAnsi="Arial"/>
                <w:sz w:val="14"/>
                <w:szCs w:val="14"/>
                <w:color w:val="auto"/>
                <w:w w:val="94"/>
              </w:rPr>
              <w:t>Chief Executive Officer</w:t>
            </w:r>
          </w:p>
        </w:tc>
      </w:tr>
    </w:tbl>
    <w:p>
      <w:pPr>
        <w:spacing w:after="0" w:line="382"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80"/>
          </w:cols>
          <w:pgMar w:left="300" w:top="634" w:right="319" w:bottom="1440" w:gutter="0" w:footer="0" w:header="0"/>
        </w:sectPr>
      </w:pPr>
    </w:p>
    <w:bookmarkStart w:id="76" w:name="page77"/>
    <w:bookmarkEnd w:id="76"/>
    <w:p>
      <w:pPr>
        <w:jc w:val="right"/>
        <w:spacing w:after="0"/>
        <w:rPr>
          <w:sz w:val="20"/>
          <w:szCs w:val="20"/>
          <w:color w:val="auto"/>
        </w:rPr>
      </w:pPr>
      <w:r>
        <w:rPr>
          <w:rFonts w:ascii="Arial" w:cs="Arial" w:eastAsia="Arial" w:hAnsi="Arial"/>
          <w:sz w:val="14"/>
          <w:szCs w:val="14"/>
          <w:b w:val="1"/>
          <w:bCs w:val="1"/>
          <w:color w:val="auto"/>
        </w:rPr>
        <w:t>Exhibit 32.2</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05"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In connection with the Quarterly Report on Form 10-Q of Momentus Inc., a Delaware corporation (the “Company”), on Form 10-Q for the fiscal quarter ended March 31, 2022, as filed with the Securities and Exchange Commission on the date hereof (the “Form 10-Q”), I, Jikun Kim, Chief Financial Officer of the Company, certify, pursuant to 18 U.S.C. section 1350, as adopted pursuant section 906 of the Sarbanes-Oxley Act of 2002, that to the best of our knowledge:</w:t>
      </w:r>
    </w:p>
    <w:p>
      <w:pPr>
        <w:spacing w:after="0" w:line="89"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Form 10-Q fully complies, in all material respects, with the requirements of section 13(a) or section 15(d) of the Securities Exchange Act of 1934, as amended; and</w:t>
      </w:r>
    </w:p>
    <w:p>
      <w:pPr>
        <w:spacing w:after="0" w:line="125" w:lineRule="exact"/>
        <w:rPr>
          <w:rFonts w:ascii="Arial" w:cs="Arial" w:eastAsia="Arial" w:hAnsi="Arial"/>
          <w:sz w:val="14"/>
          <w:szCs w:val="14"/>
          <w:color w:val="auto"/>
        </w:rPr>
      </w:pPr>
    </w:p>
    <w:p>
      <w:pPr>
        <w:ind w:left="500" w:hanging="240"/>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58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By:</w:t>
            </w: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/s/Jikun Kim</w:t>
            </w:r>
          </w:p>
        </w:tc>
        <w:tc>
          <w:tcPr>
            <w:tcW w:w="520" w:type="dxa"/>
            <w:vAlign w:val="bottom"/>
          </w:tcPr>
          <w:p>
            <w:pPr>
              <w:spacing w:after="0"/>
              <w:rPr>
                <w:sz w:val="14"/>
                <w:szCs w:val="14"/>
                <w:color w:val="auto"/>
              </w:rPr>
            </w:pPr>
          </w:p>
        </w:tc>
      </w:tr>
      <w:tr>
        <w:trPr>
          <w:trHeight w:val="192"/>
        </w:trPr>
        <w:tc>
          <w:tcPr>
            <w:tcW w:w="9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Name:</w:t>
            </w:r>
          </w:p>
        </w:tc>
        <w:tc>
          <w:tcPr>
            <w:tcW w:w="1320" w:type="dxa"/>
            <w:vAlign w:val="bottom"/>
            <w:gridSpan w:val="2"/>
          </w:tcPr>
          <w:p>
            <w:pPr>
              <w:spacing w:after="0"/>
              <w:rPr>
                <w:sz w:val="20"/>
                <w:szCs w:val="20"/>
                <w:color w:val="auto"/>
              </w:rPr>
            </w:pPr>
            <w:r>
              <w:rPr>
                <w:rFonts w:ascii="Arial" w:cs="Arial" w:eastAsia="Arial" w:hAnsi="Arial"/>
                <w:sz w:val="14"/>
                <w:szCs w:val="14"/>
                <w:color w:val="auto"/>
              </w:rPr>
              <w:t>Jikun Kim</w:t>
            </w:r>
          </w:p>
        </w:tc>
      </w:tr>
      <w:tr>
        <w:trPr>
          <w:trHeight w:val="180"/>
        </w:trPr>
        <w:tc>
          <w:tcPr>
            <w:tcW w:w="960" w:type="dxa"/>
            <w:vAlign w:val="bottom"/>
          </w:tcPr>
          <w:p>
            <w:pPr>
              <w:spacing w:after="0"/>
              <w:rPr>
                <w:sz w:val="20"/>
                <w:szCs w:val="20"/>
                <w:color w:val="auto"/>
              </w:rPr>
            </w:pPr>
            <w:r>
              <w:rPr>
                <w:rFonts w:ascii="Arial" w:cs="Arial" w:eastAsia="Arial" w:hAnsi="Arial"/>
                <w:sz w:val="14"/>
                <w:szCs w:val="14"/>
                <w:color w:val="auto"/>
              </w:rPr>
              <w:t>Dated:</w:t>
            </w:r>
          </w:p>
        </w:tc>
        <w:tc>
          <w:tcPr>
            <w:tcW w:w="2200" w:type="dxa"/>
            <w:vAlign w:val="bottom"/>
          </w:tcPr>
          <w:p>
            <w:pPr>
              <w:ind w:left="560"/>
              <w:spacing w:after="0"/>
              <w:rPr>
                <w:sz w:val="20"/>
                <w:szCs w:val="20"/>
                <w:color w:val="auto"/>
              </w:rPr>
            </w:pPr>
            <w:r>
              <w:rPr>
                <w:rFonts w:ascii="Arial" w:cs="Arial" w:eastAsia="Arial" w:hAnsi="Arial"/>
                <w:sz w:val="14"/>
                <w:szCs w:val="14"/>
                <w:color w:val="auto"/>
              </w:rPr>
              <w:t>May 10, 2022</w:t>
            </w: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Title:</w:t>
            </w:r>
          </w:p>
        </w:tc>
        <w:tc>
          <w:tcPr>
            <w:tcW w:w="1320" w:type="dxa"/>
            <w:vAlign w:val="bottom"/>
            <w:gridSpan w:val="2"/>
          </w:tcPr>
          <w:p>
            <w:pPr>
              <w:spacing w:after="0"/>
              <w:rPr>
                <w:sz w:val="20"/>
                <w:szCs w:val="20"/>
                <w:color w:val="auto"/>
              </w:rPr>
            </w:pPr>
            <w:r>
              <w:rPr>
                <w:rFonts w:ascii="Arial" w:cs="Arial" w:eastAsia="Arial" w:hAnsi="Arial"/>
                <w:sz w:val="14"/>
                <w:szCs w:val="14"/>
                <w:color w:val="auto"/>
                <w:w w:val="94"/>
              </w:rPr>
              <w:t>Chief Financial Officer</w:t>
            </w:r>
          </w:p>
        </w:tc>
      </w:tr>
    </w:tbl>
    <w:p>
      <w:pPr>
        <w:spacing w:after="0" w:line="382"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lvl w:ilvl="1">
      <w:lvlJc w:val="left"/>
      <w:lvlText w:val="%2)"/>
      <w:numFmt w:val="lowerLetter"/>
      <w:start w:val="1"/>
    </w:lvl>
  </w:abstractNum>
  <w:abstractNum w:abstractNumId="13">
    <w:nsid w:val="519B500D"/>
    <w:multiLevelType w:val="hybridMultilevel"/>
    <w:lvl w:ilvl="0">
      <w:lvlJc w:val="left"/>
      <w:lvlText w:val="5"/>
      <w:numFmt w:val="bullet"/>
      <w:start w:val="1"/>
    </w:lvl>
    <w:lvl w:ilvl="1">
      <w:lvlJc w:val="left"/>
      <w:lvlText w:val="%2)"/>
      <w:numFmt w:val="lowerLetter"/>
      <w:start w:val="1"/>
    </w:lvl>
  </w:abstractNum>
  <w:abstractNum w:abstractNumId="14">
    <w:nsid w:val="431BD7B7"/>
    <w:multiLevelType w:val="hybridMultilevel"/>
    <w:lvl w:ilvl="0">
      <w:lvlJc w:val="left"/>
      <w:lvlText w:val="1"/>
      <w:numFmt w:val="bullet"/>
      <w:start w:val="1"/>
    </w:lvl>
  </w:abstractNum>
  <w:abstractNum w:abstractNumId="15">
    <w:nsid w:val="3F2DBA31"/>
    <w:multiLevelType w:val="hybridMultilevel"/>
    <w:lvl w:ilvl="0">
      <w:lvlJc w:val="left"/>
      <w:lvlText w:val="2"/>
      <w:numFmt w:val="bullet"/>
      <w:start w:val="1"/>
    </w:lvl>
  </w:abstractNum>
  <w:abstractNum w:abstractNumId="16">
    <w:nsid w:val="7C83E458"/>
    <w:multiLevelType w:val="hybridMultilevel"/>
    <w:lvl w:ilvl="0">
      <w:lvlJc w:val="left"/>
      <w:lvlText w:val="3"/>
      <w:numFmt w:val="bullet"/>
      <w:start w:val="1"/>
    </w:lvl>
  </w:abstractNum>
  <w:abstractNum w:abstractNumId="17">
    <w:nsid w:val="257130A3"/>
    <w:multiLevelType w:val="hybridMultilevel"/>
    <w:lvl w:ilvl="0">
      <w:lvlJc w:val="left"/>
      <w:lvlText w:val="4"/>
      <w:numFmt w:val="bullet"/>
      <w:start w:val="1"/>
    </w:lvl>
    <w:lvl w:ilvl="1">
      <w:lvlJc w:val="left"/>
      <w:lvlText w:val="%2)"/>
      <w:numFmt w:val="lowerLetter"/>
      <w:start w:val="1"/>
    </w:lvl>
  </w:abstractNum>
  <w:abstractNum w:abstractNumId="18">
    <w:nsid w:val="62BBD95A"/>
    <w:multiLevelType w:val="hybridMultilevel"/>
    <w:lvl w:ilvl="0">
      <w:lvlJc w:val="left"/>
      <w:lvlText w:val="5"/>
      <w:numFmt w:val="bullet"/>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72" Type="http://schemas.openxmlformats.org/officeDocument/2006/relationships/hyperlink" Target="https://www.sec.gov/Archives/edgar/data/1781162/000121390020030403/ea127854ex2-1_stableroad.htm" TargetMode="External"/><Relationship Id="rId73" Type="http://schemas.openxmlformats.org/officeDocument/2006/relationships/hyperlink" Target="https://www.sec.gov/Archives/edgar/data/0001781162/000121390022012082/ea156773ex99-1_momentu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2022-05-11T05:21:23Z</dcterms:created>
  <dcterms:modified xsi:type="dcterms:W3CDTF">2022-05-11T05:21:23Z</dcterms:modified>
</cp:coreProperties>
</file>