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31" w:lineRule="exact"/>
        <w:rPr>
          <w:sz w:val="24"/>
          <w:szCs w:val="24"/>
          <w:color w:val="auto"/>
        </w:rPr>
      </w:pPr>
    </w:p>
    <w:p>
      <w:pPr>
        <w:jc w:val="center"/>
        <w:ind w:left="3920" w:right="1100" w:hanging="2808"/>
        <w:spacing w:after="0" w:line="374" w:lineRule="auto"/>
        <w:tabs>
          <w:tab w:leader="none" w:pos="131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9" w:lineRule="exact"/>
        <w:rPr>
          <w:rFonts w:ascii="MS PGothic" w:cs="MS PGothic" w:eastAsia="MS PGothic" w:hAnsi="MS PGothic"/>
          <w:sz w:val="18"/>
          <w:szCs w:val="18"/>
          <w:color w:val="auto"/>
        </w:rPr>
      </w:pPr>
    </w:p>
    <w:p>
      <w:pPr>
        <w:ind w:left="1140" w:hanging="214"/>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3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001-39128</w:t>
      </w:r>
    </w:p>
    <w:p>
      <w:pPr>
        <w:spacing w:after="0" w:line="13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860" w:type="dxa"/>
            <w:vAlign w:val="bottom"/>
            <w:tcBorders>
              <w:bottom w:val="single" w:sz="8" w:color="auto"/>
            </w:tcBorders>
            <w:gridSpan w:val="2"/>
          </w:tcPr>
          <w:p>
            <w:pPr>
              <w:jc w:val="center"/>
              <w:ind w:left="570"/>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84-1905538</w:t>
            </w:r>
          </w:p>
        </w:tc>
      </w:tr>
      <w:tr>
        <w:trPr>
          <w:trHeight w:val="202"/>
        </w:trPr>
        <w:tc>
          <w:tcPr>
            <w:tcW w:w="4860" w:type="dxa"/>
            <w:vAlign w:val="bottom"/>
            <w:gridSpan w:val="2"/>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 of</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Pr>
          <w:p>
            <w:pPr>
              <w:jc w:val="center"/>
              <w:ind w:right="15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860" w:type="dxa"/>
            <w:vAlign w:val="bottom"/>
            <w:gridSpan w:val="2"/>
          </w:tcPr>
          <w:p>
            <w:pPr>
              <w:jc w:val="center"/>
              <w:ind w:left="570"/>
              <w:spacing w:after="0"/>
              <w:rPr>
                <w:sz w:val="20"/>
                <w:szCs w:val="20"/>
                <w:color w:val="auto"/>
              </w:rPr>
            </w:pPr>
            <w:r>
              <w:rPr>
                <w:rFonts w:ascii="Arial" w:cs="Arial" w:eastAsia="Arial" w:hAnsi="Arial"/>
                <w:sz w:val="18"/>
                <w:szCs w:val="18"/>
                <w:color w:val="auto"/>
                <w:w w:val="92"/>
              </w:rPr>
              <w:t>incorporation or organization)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00" w:type="dxa"/>
            <w:vAlign w:val="bottom"/>
          </w:tcPr>
          <w:p>
            <w:pPr>
              <w:jc w:val="center"/>
              <w:ind w:right="1510"/>
              <w:spacing w:after="0"/>
              <w:rPr>
                <w:sz w:val="20"/>
                <w:szCs w:val="20"/>
                <w:color w:val="auto"/>
              </w:rPr>
            </w:pPr>
            <w:r>
              <w:rPr>
                <w:rFonts w:ascii="Arial" w:cs="Arial" w:eastAsia="Arial" w:hAnsi="Arial"/>
                <w:sz w:val="18"/>
                <w:szCs w:val="18"/>
                <w:color w:val="auto"/>
                <w:w w:val="94"/>
              </w:rPr>
              <w:t>Identification Number)</w:t>
            </w:r>
          </w:p>
        </w:tc>
      </w:tr>
      <w:tr>
        <w:trPr>
          <w:trHeight w:val="319"/>
        </w:trPr>
        <w:tc>
          <w:tcPr>
            <w:tcW w:w="486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1"/>
              </w:rPr>
              <w:t>1345 Abbot Kinney Blvd.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55"/>
        </w:trPr>
        <w:tc>
          <w:tcPr>
            <w:tcW w:w="486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b w:val="1"/>
                <w:bCs w:val="1"/>
                <w:color w:val="auto"/>
                <w:w w:val="91"/>
              </w:rPr>
              <w:t>Venice, California</w:t>
            </w:r>
          </w:p>
        </w:tc>
        <w:tc>
          <w:tcPr>
            <w:tcW w:w="6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90291</w:t>
            </w:r>
          </w:p>
        </w:tc>
      </w:tr>
      <w:tr>
        <w:trPr>
          <w:trHeight w:val="230"/>
        </w:trPr>
        <w:tc>
          <w:tcPr>
            <w:tcW w:w="4860" w:type="dxa"/>
            <w:vAlign w:val="bottom"/>
            <w:gridSpan w:val="2"/>
          </w:tcPr>
          <w:p>
            <w:pPr>
              <w:jc w:val="center"/>
              <w:ind w:left="570"/>
              <w:spacing w:after="0"/>
              <w:rPr>
                <w:sz w:val="20"/>
                <w:szCs w:val="20"/>
                <w:color w:val="auto"/>
              </w:rPr>
            </w:pPr>
            <w:r>
              <w:rPr>
                <w:rFonts w:ascii="Arial" w:cs="Arial" w:eastAsia="Arial" w:hAnsi="Arial"/>
                <w:sz w:val="18"/>
                <w:szCs w:val="18"/>
                <w:color w:val="auto"/>
                <w:w w:val="92"/>
              </w:rPr>
              <w:t>(Address of principal executive offices)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00" w:type="dxa"/>
            <w:vAlign w:val="bottom"/>
          </w:tcPr>
          <w:p>
            <w:pPr>
              <w:jc w:val="center"/>
              <w:ind w:right="1490"/>
              <w:spacing w:after="0"/>
              <w:rPr>
                <w:sz w:val="20"/>
                <w:szCs w:val="20"/>
                <w:color w:val="auto"/>
              </w:rPr>
            </w:pPr>
            <w:r>
              <w:rPr>
                <w:rFonts w:ascii="Arial" w:cs="Arial" w:eastAsia="Arial" w:hAnsi="Arial"/>
                <w:sz w:val="18"/>
                <w:szCs w:val="18"/>
                <w:color w:val="auto"/>
                <w:w w:val="94"/>
              </w:rPr>
              <w:t>(Zip Code)</w:t>
            </w:r>
          </w:p>
        </w:tc>
      </w:tr>
      <w:tr>
        <w:trPr>
          <w:trHeight w:val="323"/>
        </w:trPr>
        <w:tc>
          <w:tcPr>
            <w:tcW w:w="7340" w:type="dxa"/>
            <w:vAlign w:val="bottom"/>
            <w:gridSpan w:val="7"/>
          </w:tcPr>
          <w:p>
            <w:pPr>
              <w:jc w:val="center"/>
              <w:ind w:left="3830"/>
              <w:spacing w:after="0"/>
              <w:rPr>
                <w:sz w:val="20"/>
                <w:szCs w:val="20"/>
                <w:color w:val="auto"/>
              </w:rPr>
            </w:pPr>
            <w:r>
              <w:rPr>
                <w:rFonts w:ascii="Arial" w:cs="Arial" w:eastAsia="Arial" w:hAnsi="Arial"/>
                <w:sz w:val="18"/>
                <w:szCs w:val="18"/>
                <w:color w:val="auto"/>
                <w:w w:val="90"/>
              </w:rPr>
              <w:t xml:space="preserve">Registrant’s telephone number: </w:t>
            </w:r>
            <w:r>
              <w:rPr>
                <w:rFonts w:ascii="Arial" w:cs="Arial" w:eastAsia="Arial" w:hAnsi="Arial"/>
                <w:sz w:val="18"/>
                <w:szCs w:val="18"/>
                <w:b w:val="1"/>
                <w:bCs w:val="1"/>
                <w:color w:val="auto"/>
                <w:w w:val="90"/>
              </w:rPr>
              <w:t>(883) 478-2253</w:t>
            </w:r>
          </w:p>
        </w:tc>
        <w:tc>
          <w:tcPr>
            <w:tcW w:w="3900" w:type="dxa"/>
            <w:vAlign w:val="bottom"/>
          </w:tcPr>
          <w:p>
            <w:pPr>
              <w:spacing w:after="0"/>
              <w:rPr>
                <w:sz w:val="24"/>
                <w:szCs w:val="24"/>
                <w:color w:val="auto"/>
              </w:rPr>
            </w:pPr>
          </w:p>
        </w:tc>
      </w:tr>
      <w:tr>
        <w:trPr>
          <w:trHeight w:val="338"/>
        </w:trPr>
        <w:tc>
          <w:tcPr>
            <w:tcW w:w="11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64"/>
        </w:trPr>
        <w:tc>
          <w:tcPr>
            <w:tcW w:w="4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Title of Each Class</w:t>
            </w:r>
          </w:p>
        </w:tc>
        <w:tc>
          <w:tcPr>
            <w:tcW w:w="24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Trading Symbol(s)</w:t>
            </w:r>
          </w:p>
        </w:tc>
        <w:tc>
          <w:tcPr>
            <w:tcW w:w="39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47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gridSpan w:val="2"/>
            <w:shd w:val="clear" w:color="auto" w:fill="CCEEFF"/>
          </w:tcPr>
          <w:p>
            <w:pPr>
              <w:jc w:val="center"/>
              <w:ind w:right="660"/>
              <w:spacing w:after="0" w:line="195" w:lineRule="exact"/>
              <w:rPr>
                <w:sz w:val="20"/>
                <w:szCs w:val="20"/>
                <w:color w:val="auto"/>
              </w:rPr>
            </w:pPr>
            <w:r>
              <w:rPr>
                <w:rFonts w:ascii="Arial" w:cs="Arial" w:eastAsia="Arial" w:hAnsi="Arial"/>
                <w:sz w:val="18"/>
                <w:szCs w:val="18"/>
                <w:color w:val="auto"/>
                <w:w w:val="95"/>
              </w:rPr>
              <w:t>SRACU</w:t>
            </w: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900" w:type="dxa"/>
            <w:vAlign w:val="bottom"/>
            <w:tcBorders>
              <w:top w:val="single" w:sz="8" w:color="auto"/>
            </w:tcBorders>
            <w:shd w:val="clear" w:color="auto" w:fill="CCEEFF"/>
          </w:tcPr>
          <w:p>
            <w:pPr>
              <w:jc w:val="center"/>
              <w:ind w:right="270"/>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and one-half of one Redeemable Warrant</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r>
      <w:tr>
        <w:trPr>
          <w:trHeight w:val="216"/>
        </w:trPr>
        <w:tc>
          <w:tcPr>
            <w:tcW w:w="4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Class A Common Stock, par value $0.0001 per share</w:t>
            </w:r>
          </w:p>
        </w:tc>
        <w:tc>
          <w:tcPr>
            <w:tcW w:w="660" w:type="dxa"/>
            <w:vAlign w:val="bottom"/>
          </w:tcPr>
          <w:p>
            <w:pPr>
              <w:spacing w:after="0"/>
              <w:rPr>
                <w:sz w:val="18"/>
                <w:szCs w:val="18"/>
                <w:color w:val="auto"/>
              </w:rPr>
            </w:pPr>
          </w:p>
        </w:tc>
        <w:tc>
          <w:tcPr>
            <w:tcW w:w="1820" w:type="dxa"/>
            <w:vAlign w:val="bottom"/>
            <w:gridSpan w:val="4"/>
          </w:tcPr>
          <w:p>
            <w:pPr>
              <w:jc w:val="center"/>
              <w:ind w:right="1140"/>
              <w:spacing w:after="0"/>
              <w:rPr>
                <w:sz w:val="20"/>
                <w:szCs w:val="20"/>
                <w:color w:val="auto"/>
              </w:rPr>
            </w:pPr>
            <w:r>
              <w:rPr>
                <w:rFonts w:ascii="Arial" w:cs="Arial" w:eastAsia="Arial" w:hAnsi="Arial"/>
                <w:sz w:val="18"/>
                <w:szCs w:val="18"/>
                <w:color w:val="auto"/>
                <w:w w:val="95"/>
              </w:rPr>
              <w:t>SRAC</w:t>
            </w:r>
          </w:p>
        </w:tc>
        <w:tc>
          <w:tcPr>
            <w:tcW w:w="3900" w:type="dxa"/>
            <w:vAlign w:val="bottom"/>
          </w:tcPr>
          <w:p>
            <w:pPr>
              <w:jc w:val="center"/>
              <w:ind w:right="270"/>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48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Redeemable Warrants, each whole warrant exercisable for one</w:t>
            </w:r>
          </w:p>
        </w:tc>
        <w:tc>
          <w:tcPr>
            <w:tcW w:w="66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jc w:val="center"/>
              <w:ind w:right="1140"/>
              <w:spacing w:after="0" w:line="201" w:lineRule="exact"/>
              <w:rPr>
                <w:sz w:val="20"/>
                <w:szCs w:val="20"/>
                <w:color w:val="auto"/>
              </w:rPr>
            </w:pPr>
            <w:r>
              <w:rPr>
                <w:rFonts w:ascii="Arial" w:cs="Arial" w:eastAsia="Arial" w:hAnsi="Arial"/>
                <w:sz w:val="18"/>
                <w:szCs w:val="18"/>
                <w:color w:val="auto"/>
                <w:w w:val="95"/>
              </w:rPr>
              <w:t>SRACW</w:t>
            </w:r>
          </w:p>
        </w:tc>
        <w:tc>
          <w:tcPr>
            <w:tcW w:w="3900" w:type="dxa"/>
            <w:vAlign w:val="bottom"/>
            <w:shd w:val="clear" w:color="auto" w:fill="CCEEFF"/>
          </w:tcPr>
          <w:p>
            <w:pPr>
              <w:jc w:val="center"/>
              <w:ind w:right="270"/>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share of Class A Common Stock at an exercise price of $11.50</w:t>
            </w: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r>
    </w:tbl>
    <w:p>
      <w:pPr>
        <w:spacing w:after="0" w:line="103"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7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418" w:right="339" w:bottom="1440" w:gutter="0" w:footer="0" w:header="0"/>
        </w:sectPr>
      </w:pPr>
    </w:p>
    <w:p>
      <w:pPr>
        <w:spacing w:after="0" w:line="56"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2">
            <w:col w:w="4700" w:space="720"/>
            <w:col w:w="5820"/>
          </w:cols>
          <w:pgMar w:left="320" w:top="418" w:right="339" w:bottom="1440" w:gutter="0" w:footer="0" w:header="0"/>
          <w:type w:val="continuous"/>
        </w:sect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Class A common stock held by non-affiliates of the registrant, based on the closing price of the Class A common stock on The Nasdaq Stock Market LLC on June 30, 2020, the last business day of the registrant’s most recently completed second fiscal quarter, was approximately $177.1 million.</w:t>
      </w:r>
    </w:p>
    <w:p>
      <w:pPr>
        <w:spacing w:after="0" w:line="8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5, 2021, there were 17,795,000 shares of Class A common stock and 4,312,500 shares of Class B common stock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200" w:type="dxa"/>
            <w:vAlign w:val="bottom"/>
            <w:gridSpan w:val="3"/>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17"/>
                <w:szCs w:val="17"/>
                <w:color w:val="auto"/>
              </w:rPr>
            </w:pPr>
          </w:p>
        </w:tc>
      </w:tr>
      <w:tr>
        <w:trPr>
          <w:trHeight w:val="480"/>
        </w:trPr>
        <w:tc>
          <w:tcPr>
            <w:tcW w:w="92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CCEEFF"/>
            </w:tcBorders>
          </w:tcPr>
          <w:p>
            <w:pPr>
              <w:spacing w:after="0"/>
              <w:rPr>
                <w:sz w:val="24"/>
                <w:szCs w:val="24"/>
                <w:color w:val="auto"/>
              </w:rPr>
            </w:pPr>
          </w:p>
        </w:tc>
        <w:tc>
          <w:tcPr>
            <w:tcW w:w="35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209"/>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1A.</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Risk Factors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1B.</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Unresolved Staff Comments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2.</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Properties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3.</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Legal Proceedings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4.</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Mine Safety Disclosures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r>
      <w:tr>
        <w:trPr>
          <w:trHeight w:val="216"/>
        </w:trPr>
        <w:tc>
          <w:tcPr>
            <w:tcW w:w="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PART II</w:t>
              </w:r>
            </w:hyperlink>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5.</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6.</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Selected Financial Data</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Item 7.</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7A.</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Quantitative and Qualitative Disclosures About Market Risk</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8.</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Financial Statements and Supplementary Data</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9.</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Changes in and Disagreements with Accountants on Accounting and Financial Disclosure</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9A.</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Controls and Procedures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Item 9B.</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Information</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PART III</w:t>
              </w:r>
            </w:hyperlink>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10.</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Directors, Executive Officers and Corporate Governance</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11.</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Executive Compensation</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12.</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Security Ownership of Certain Beneficial Owners and Management and Related Stockholder Matters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61</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13.</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Certain Relationships and Related Transactions, and Director Independence</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14.</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Principal Accounting Fees and Services</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92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920" w:type="dxa"/>
            <w:vAlign w:val="bottom"/>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PART IV</w:t>
              </w:r>
            </w:hyperlink>
          </w:p>
        </w:tc>
        <w:tc>
          <w:tcPr>
            <w:tcW w:w="3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920" w:type="dxa"/>
            <w:vAlign w:val="bottom"/>
            <w:shd w:val="clear" w:color="auto" w:fill="CCEEFF"/>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15.</w:t>
              </w:r>
            </w:hyperlink>
          </w:p>
        </w:tc>
        <w:tc>
          <w:tcPr>
            <w:tcW w:w="9200" w:type="dxa"/>
            <w:vAlign w:val="bottom"/>
            <w:gridSpan w:val="3"/>
            <w:shd w:val="clear" w:color="auto" w:fill="CCEEFF"/>
          </w:tcPr>
          <w:p>
            <w:pPr>
              <w:ind w:left="2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 and Financial Statement Schedules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r>
      <w:tr>
        <w:trPr>
          <w:trHeight w:val="230"/>
        </w:trPr>
        <w:tc>
          <w:tcPr>
            <w:tcW w:w="920" w:type="dxa"/>
            <w:vAlign w:val="bottom"/>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16.</w:t>
              </w:r>
            </w:hyperlink>
          </w:p>
        </w:tc>
        <w:tc>
          <w:tcPr>
            <w:tcW w:w="9200" w:type="dxa"/>
            <w:vAlign w:val="bottom"/>
            <w:gridSpan w:val="3"/>
          </w:tcPr>
          <w:p>
            <w:pPr>
              <w:ind w:left="2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Form 10-K Summary</w:t>
              </w:r>
            </w:hyperlink>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66</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report, including, without limitation, statements under the heading “Management’s Discussion and Analysis of Financial Condition and Results of Operations,” includes forward-looking statements within the meaning of Section 27A of the Securities Act of 1933 and Section 21E of the Securities Exchange Act of 1934.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ability to consummate any acquisition or other business combination and any other statements that are not statements of current or historical facts. These statements are based on management’s current expectations, but actual results may differ materially due to various factors, including, but not limited to:</w:t>
      </w:r>
    </w:p>
    <w:p>
      <w:pPr>
        <w:spacing w:after="0" w:line="178"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Momentus Inc., or any other initial business combination;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maintain the listing on, or the delisting of our securities from, Nasdaq or an inability to have our securities listed on Nasdaq or another national securities exchange following our initial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summarized under the heading “Summary Risk Factors” and described more fully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“Risk Factors” may not be exhaustive.</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t>Unless otherwise stated in this report, or the context otherwise requires, references to:</w:t>
      </w:r>
    </w:p>
    <w:p>
      <w:pPr>
        <w:spacing w:after="0" w:line="225" w:lineRule="exact"/>
        <w:rPr>
          <w:sz w:val="20"/>
          <w:szCs w:val="20"/>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 are to our Class A common stock and our Class B common stock, collectively;</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shares of our Class B common stock initially purchased by our sponsor in a private placement prior to our initial public offering, and the shares of our Class A common stock issued upon the conversion thereof as described herein;</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stockholders” are to our sponsor and any other holders of our founder shares (or their permitted transferees);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issued to our sponsor in a private placement simultaneously with the closing of our initial public offering;</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shares” are to shares of our Class A common stock sold as part of the units in our initial public offering (whether they were purchased in such offering or thereafter in the open market);</w:t>
      </w:r>
    </w:p>
    <w:p>
      <w:pPr>
        <w:spacing w:after="0" w:line="170" w:lineRule="exact"/>
        <w:rPr>
          <w:rFonts w:ascii="Arial" w:cs="Arial" w:eastAsia="Arial" w:hAnsi="Arial"/>
          <w:sz w:val="18"/>
          <w:szCs w:val="18"/>
          <w:color w:val="auto"/>
        </w:rPr>
      </w:pPr>
    </w:p>
    <w:p>
      <w:pPr>
        <w:jc w:val="both"/>
        <w:ind w:left="324" w:hanging="324"/>
        <w:spacing w:after="0" w:line="286" w:lineRule="auto"/>
        <w:tabs>
          <w:tab w:leader="none" w:pos="324"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shall only exist with respect to such public shares;</w:t>
      </w:r>
    </w:p>
    <w:p>
      <w:pPr>
        <w:spacing w:after="0" w:line="165" w:lineRule="exact"/>
        <w:rPr>
          <w:rFonts w:ascii="Arial" w:cs="Arial" w:eastAsia="Arial" w:hAnsi="Arial"/>
          <w:sz w:val="17"/>
          <w:szCs w:val="17"/>
          <w:color w:val="auto"/>
        </w:rPr>
      </w:pPr>
    </w:p>
    <w:p>
      <w:pPr>
        <w:jc w:val="both"/>
        <w:ind w:left="324" w:hanging="324"/>
        <w:spacing w:after="0" w:line="259"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warrants” are to our redeemable warrants sold as part of the units in our initial public offering (whether they were purchased in our initial public offering or thereafter in the open market) and to any private placement warrants or warrants issued upon conversion of working capital loans that are sold to third parties that are not initial purchasers or executive officers or directors (or permitted transferees) following the consummation of our initial business combination;</w:t>
      </w:r>
    </w:p>
    <w:p>
      <w:pPr>
        <w:spacing w:after="0" w:line="186"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are to the Securities and Exchange Commission;</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SRC-NI Holdings, LLC, a Delaware limited liability company;</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are to our redeemable warrants, which includes the public warrants as well as the private placement warrants to the extent they are no longer held by the initial purchasers of the private placement warrants or their permitted transferees;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“SRAC,” “company” or “our company” are to Stable Road Acquisition Corp.</w:t>
      </w:r>
    </w:p>
    <w:p>
      <w:pPr>
        <w:spacing w:after="0" w:line="200" w:lineRule="exact"/>
        <w:rPr>
          <w:sz w:val="20"/>
          <w:szCs w:val="20"/>
          <w:color w:val="auto"/>
        </w:rPr>
      </w:pPr>
    </w:p>
    <w:p>
      <w:pPr>
        <w:spacing w:after="0" w:line="234" w:lineRule="exact"/>
        <w:rPr>
          <w:sz w:val="20"/>
          <w:szCs w:val="20"/>
          <w:color w:val="auto"/>
        </w:rPr>
      </w:pPr>
    </w:p>
    <w:p>
      <w:pPr>
        <w:ind w:left="4884"/>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blank check company formed as a Delaware corporation for the purpose of effecting a merger, capital stock exchange, asset acquisition, stock purchase, reorganization or similar business combination with one or more businesses. Throughout this Report we will refer to this as our initial business combination. In November 2019, we closed our initial public offering for the sale of an aggregate of 17,250,000 units at a price of $10.00 per unit, yielding gross proceeds of $172,500,000. Simultaneous with the closing of such offering, SRAC consummated the sale of 545,000 private placement units at a price of $10.00 per unit ($5,450,000 in the aggregate) in a private placement. Such proceeds have been deposited in our trust account.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Momentus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7, 2020, we entered into an Agreement and Plan of Merger (the “Merger Agreement”), by and among SRAC, Project Marvel First Merger Sub, Inc., a Delaware corporation and wholly-owned subsidiary of SRAC (“First Merger Sub”), Project Marvel Second Merger Sub, LLC, a Delaware limited liability company and wholly-owned subsidiary of SRAC (“Second Merger Sub”), and Momentus Inc., a Delaware corporation (“Momentus”), pursuant to which, among other things: (a) First Merger Sub will merge with and into Momentus (“First Merger”), with Momentus being the surviving corporation of the First Merger and (b) immediately following the First Merger and as part of the same overall transaction as the First Merger, Momentus will merge with and into Second Merger Sub (the “Second Merger” and, together with the First Merger, the “Mergers”), with Second Merger Sub being the surviving company of the Second Merger. The Merger Agreement, the Mergers and the other transactions contemplated by the Merger Agreement are referred to herein as the “Proposed Transaction.”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$1,131,000,000, minus Momentus’ indebtedness for borrowed money as of the closing of the Mergers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7, 2020, we entered into Subscription Agreements with certain investors pursuant to which the investors have agreed to purchase an aggregate of 17,500,000 shares of Class A common stock in a private placement for $10.00 per share (the “Private Placement”). The proceeds from the Private Placement will be partially used to fund the Repurchase (as defined below) and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Concurrently with the execution of the Merger Agreement, Prime Movers Lab (“PML”), SRAC and Momentus entered into a repurchase agreement (the “Repurchase Agreement”) pursuant to which, amongst other things, SRAC has agreed to repurchase a certain number of shares of Class A common stock from PML, at a purchase price of $10.00 per share, immediately following the Closing (the “Repurchase”). The Repurchase is contingent on the amount of available cash SRAC has at the Closing from (a) the Private Placement (and any alternative financing arranged by SRAC and Momentus in the event the Private Placement becomes unavailable) and (b) the funds in SRAC’s trust account (after taking into account payments required to satisfy SRAC’s stockholder redemptions), after further deducting the amount of SRAC’s transaction expenses and Momentus’ transaction expenses (“Net Proceeds”) being in excess of $265 million. If Net Proceeds exceed $265,000,000 but are less than $280,000,000, the number of shares of Class A common stock subject to the Repurchase will be equal to the amount by which Net Proceeds exceed $250 million,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$10.00. In the event Net Proceeds are in excess of $280,000,000, the number of shares of Class A common stock subject to the Repurchase will be equal to $30,000,000,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$10.00. At the closing of the Repurchase, SRAC will be entitled to deduct from such cash payment an amount equal to 3.3% of such cash payment (representing PML’s obligation to pay Momentus a portion of its transaction expenses).</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additional information regarding the Proposed Transaction, Momentus, the Merger Agreement, the Subscription Agreements, the Repurchase Agreement and the other agreements entered into in connection with the Proposed Transaction, including risk and uncertainties with respect to Momentus and the parties’ ability to consummate the Proposed Transaction, see the Registration Statement on Form S-4, including a proxy statement/consent solicitation statement/prospectus included therein, initially filed by SRAC with the SEC on November 2, 2020, as subsequently amended.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as specifically discussed, this Report does not assume the Closing of the Proposed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team has broad experience in identifying targets and acquiring businesses through different economic cycles and under diverse market conditions. We believe our management team is well positioned to identify and evaluate businesses that would benefit from their skills and access to the public markets. We believe our management team offers extensive experience in growing and operating companies, as well as a deep network of contacts.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management team has over 60 years of combined professional experience and is led by Brian Kabot, the chief investment officer of Stable Road Capital, and Juan Manuel Quiroga, the chief investment officer of NALA Investments. Stable Road Capital is a single-family office managing a portfolio of investments across public securities, private credit, private equity, real estate and venture capital. NALA Investments is a single-family office with investment interests across various industries including communications, transportation, consumer products, real estate, technology and media. Stable Road Capital and NALA Investments manage, in the aggregate, over $1.0 billion of investment capital.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i w:val="1"/>
          <w:iCs w:val="1"/>
          <w:color w:val="auto"/>
        </w:rPr>
        <w:t>Brian Kabot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Mr. Kabot, our Chairman and Chief Executive Officer, has over 19 years of principal investing experience and has served as Chief Investment Officer of Stable Road Capital, a single-family office investment vehicle based in Los Angeles, California, since July 2017. In July 2019, Mr. Kabot was named a Strategic Advisor to The Cannabis ETF (NYSE: THCX), a newly-launched cannabis-oriented exchange-traded fund managed by Innovation Shares LLC. Since December 2018, Mr. Kabot has been a director of the Treehouse Real Estate Investment Trust, a private real estate investment trust, where he currently serves as the Chairman of the Investment Committee. Mr. Kabot has also served on the board of directors of Old Pal, LLC, a private cannabis brand company, since June 2018, and on the board of directors of Grenco Science LLC, a private developer of vape pens and portable vaporizers, since July 2019. From May 2016 to July 2017, Mr. Kabot was the Director of Research at Eschaton Opportunities Fund Management LP, a management company for two global value hedge funds. From January 2011 to April 2016, Mr. Kabot served as a partner and Deputy Portfolio Manager of Riverloft Capital Management L.P., or Riverloft Capital, a management company for an event-driven hedge fund. From March 2009 to December 2010, he served as a managing director at Gulf Coast Capital, a single-family office investment vehicle. From August 2006 to January 2009, Mr. Kabot ran the industrials, materials, and energy vertical for Sun Capital Partners’ cross cap structure/activist hedge fund. From February 2005 to July 2006, he served as a senior analyst at Reservoir Capital Group. Mr. Kabot also worked as an associate at Questor Management Company from May 2003 to February 2005, where he focused on acquiring distressed and bankrupt companies in the industrials, materials and energy sectors. From June 2000 to April 2003, Mr. Kabot served as an analyst in the merchant banking partners group at Donaldson, Lufkin &amp; Jenrette.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James Norris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Mr. Norris, our Chief Financial Officer, has more than 18 years of experience in the investment management industry. Since November 2018, Mr. Norris has served as the Chief Financial Officer of Stable Road Capital. Mr. Norris previously served as the Chief Financial Officer of Cycad Management LLC, a single family investment office, Chief Financial Officer and Chief Compliance Officer of Blue Jay Capital Management LLC, a SEC-registered investment management firm focused on equity investments in the healthcare sector, the Controller and Chief Compliance Officer of Expo Capital Management LLC, a SEC-registered investment management firm, and a Manager at PriceWaterhouseCoopers.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Juan Manuel Quiroga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Mr. Quiroga, our Chief Investment Officer, has over 20 years of experience in the financial sector, including 14 years of principal investing experience. Since August 2015, Mr. Quiroga has served as Chief Investment Officer of Nala Investments. From September 2007 to August 2015, Mr. Quiroga served as Senior Vice President of Darby Private Equity. From August 2005 to August 2007, Mr. Quiroga served as a Vice President of Market Intelligence at General Electric Capital Solutions. Prior to that, from 1996 to 1998 and from 2000 to 2003, Mr. Quiroga worked for Grupo Financiero Banorte in Mexico City and New York City, where he collaborated on the creation of an asset management and financial derivatives division. Mr. Quiroga currently serves on the board of directors of Acrecent Financial Corporation, Cobiscopr and Good Media Company.</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Past performance of our management team, Stable Road Capital or NALA Investments is not a guarantee either (i) of success with respect to any business combination we may consummate, including the Mergers, or (ii) that we will be able to identify a suitable candidate for our initial business combination. You should not rely on the historical performance record of our management team, Stable Road Capital or NALA Investments as indicative of our future performance. Additionally, in the course of their respective careers, members of our management team have been involved in businesses and deals that were unsuccessful. Our officers and directors have no other experience with blank check companies or special purpose acquisition companies. In addition, our executive officers and directors may have conflicts of interest with other entities to which they owe fiduciary or contractual obligations with respect to initial business combination opportunities.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strategy is to pursue one or more business combinations with companies that have an aggregate enterprise value in excess of $300 million, although target entities with a smaller enterprise value may be considered. We are seeking potential targets which we believe can materially grow revenue and earnings both organically and inorganically through the efforts of our management team. These may include targets that can benefit from access to capital in order to: (i) increase spending on strategic initiatives that are expected to generate favorable returns and which can accelerate revenue and earnings growth; (ii) invest in infrastructure or technology; or (iii) fundamentally restructure their business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identified the following general criteria and guidelines that we believe are consistent with our acquisition philosophy and our management’s experience, and that we believe are important in evaluating prospective target businesses. We use these criteria and guidelines to evaluate acquisition opportunities, but we may decide to enter into our initial business combination with a target business that does not meet these criteria and guidelines.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seeking a business combination with one or more companies that we believe possess some or all of the following characteristics:</w:t>
      </w:r>
    </w:p>
    <w:p>
      <w:pPr>
        <w:spacing w:after="0" w:line="23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highly scalable;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strong intellectual property including brands, technology, software, methods, etc.;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an institutional mindset/infrastructure;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a strong professional management team with deep networks within its industry and the ability to adapt to a quickly changing business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potential to achieve significant growth in revenue and earnings;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potential to generate attractive returns on invested capital, with incremental investment opportunities that will allow the company to increase earnings;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strong intellectual property, a defensible business model, a strong competitive position established customer relationships, and sustainable margins;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potential to grow via add-on acquisitions or is viewed as an appropriate platform for a future roll-up strategy;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Can benefit from additional managerial guidance and strategic initiatives to reposition the company, accelerate growth or refocus the business on strategies that will result in value creation;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well received by financial markets as a public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the potential to generate risk-adjusted returns that are attractive for our stockholders.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criteria are not intended to be exhaustive. We initially intended to focus our search for target businesses within the cannabis industry as described in the prospectus for our initial public offering, however, our efforts were not limited to that industry and spanned companies in various industries that had the potential to meet the other criteria and guidelines set forth in the prospectus. After initially evaluating several companies operating in the cannabis industry, we expanded our search to include companies operating in other high growth industries. In considering the Proposed Transaction with Momentus, our board of directors determined that the business combination was an attractive business opportunity that met the vast majority of the criteria and guidelines above, although not weighted or in any order of significance.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leveraged and will continue to leverage the following competitive strengths in seeking to achieve our business strategy: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Experienced management team with proven expertise in deploying capital within numerous industries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that our management team’s long and diverse transaction experience provides us with a competitive advantage. Our Chairman and Chief Executive Officer has over 19 years of principal investing experience across a number of industries as an owner or financier and our Chief Investment Officer has over 14 years of principal investing experience. Stable Road Capital and NALA Investments manage, in the aggregate, over $1.0 billion of investment capital. Our management team also has extensive experience acquiring companies for private equity investors. Their transaction history includes control private equity investments, distressed debt for control transactions, and a hostile takeover of a public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Leveraging management’s extensive experience in capital markets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management team has substantial cross capital structure experience in both the private and public markets. Their transaction experience includes private and public companies as well as debt and equity investments across various stages of a company’s lifecycle. In addition, our management team has also overseen portfolios that invested in a wide variety of transactions, including private equity, public equities, private and public credit, real estate, and venture capital. We view this broad experience in capital markets to be a competitive advantage in sourcing a prospective business combination.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Implementing operational best practices and financial structuring opportunities post-closing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leveraged and will continue to leverage our management team’s principal investing experience to develop and implement strategies to improve the operational and financial performance of the business combination target to create a platform for growth. Specifically, our management team intends to evaluate opportunities for industry consolidation in the target’s core lines of business as well as opportunities to vertically or horizontally integrate with other industry participants. We also intend to structure and execute a business combination that will provide the target business with a capital structure that provides flexibility to grow organically and through strategic acquisitions or divestitures to drive shareholder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our management team’s operational and investment track record provides us with a deep understanding of challenges faced by operators and owners of high growth businesses. Our diligence includes an assessment of the company’s competitive advantage through meetings with management and key employees, key customers, interactions with consultants and experts within our network, visits of key operating facilities and a review of financial, legal and operational documents. We also have the ability to bring creative solutions from a capital structure, growth, vision and operational standpoint to unlock shareholder value. In addition, we have retained and worked with financial advisors and legal counsel as well as industry consultants to conduct due diligence, develop strategic plans, and implement operational strategies.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Stable Road Capital, NALA Investments, or our sponsor, officers or directors. In the event we seek to complete our initial business combination with a company that is affiliated with Stable Road Capital, NALA Investments or our sponsor, officers or directors, we, or a committee of independent directors, will obtain an opinion from an independent investment banking firm or another independent entity that commonly renders valuation opinions that our initial business combination is fair to our company from a financial point of view.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7" w:lineRule="auto"/>
        <w:rPr>
          <w:sz w:val="20"/>
          <w:szCs w:val="20"/>
          <w:color w:val="auto"/>
        </w:rPr>
      </w:pPr>
      <w:r>
        <w:rPr>
          <w:rFonts w:ascii="Arial" w:cs="Arial" w:eastAsia="Arial" w:hAnsi="Arial"/>
          <w:sz w:val="18"/>
          <w:szCs w:val="18"/>
          <w:color w:val="auto"/>
        </w:rPr>
        <w:t>Members of our management team directly or indirectly own our founders shares, common stock and/or private placement units,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officers and directors presently have fiduciary or contractual obligations to other entities, including Stable Road Capital and NALA Investments,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need to obtain additional financing either to complete our initial business combination or because we become obligated to redeem a significant number of our public shares upon completion of our initial business combination. We intend to acquire a company with an enterprise value significantly above the net proceeds of our initial public offering and the sale of the placement units. Depending on the size of the transaction or the number of public shares we become obligated to redeem, we may potentially utilize several additional financing sources, including but not limited to the issuance of additional securities to the sellers of a target business, debt issued by banks or other lenders or the owners of the target, a private placement to raise additional funds, or a combination of the foregoing. If we are unable to complete our initial business combination because we do not have sufficient funds available to us, we will be forced to cease operations and liquidate the trust account. In addition, following our initial business combination, if cash on hand is insufficient to meet our obligations or our working capital needs, we may need to obtain additional financing.</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growth, cost savings and acquisition opportunities, and accessing the financial markets to optimize the company’s capital structure. Subsequent to the closing of the initial business combination we expect to pursue initiatives through participation on the board of directors, through direct involvement with company operations or contacting former managers and advisors when necessary.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a Public Company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our structure makes us an attractive business combination partner to target businesses. As a public company, we offer a target business an alternative to the traditional initial public offering through a merger or other business combination with us. Following an initial business combination, we believe the target business would have greater access to capital and additional means of creating management incentives that are better aligned with stockholders’ interests than it would as a private company. A target business can further benefit by augmenting its profile among potential new customers and vendors and aid in attracting talented employees. In a business combination transaction with us, the owners of the target business may, for example, exchange their shares of stock in the target business for our shares of Class A common stock (or shares of a new holding company) or for a combination of our shares of Class A common stock and cash, allowing us to tailor the consideration to the specific needs of the sellers.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there are various costs and obligations associated with being a public company,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marketing and road show efforts that may not be present to the same extent in connection with an initial business combination with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and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November 13, 2024, (b) in which we have total annual gross revenue of at least $1.07 billion, or (c) in which we are deemed to be a large accelerated filer, which means the market value of</w:t>
      </w:r>
    </w:p>
    <w:p>
      <w:pPr>
        <w:jc w:val="both"/>
        <w:spacing w:after="0" w:line="209" w:lineRule="auto"/>
        <w:rPr>
          <w:sz w:val="20"/>
          <w:szCs w:val="20"/>
          <w:color w:val="auto"/>
        </w:rPr>
      </w:pPr>
      <w:r>
        <w:rPr>
          <w:rFonts w:ascii="Arial" w:cs="Arial" w:eastAsia="Arial" w:hAnsi="Arial"/>
          <w:sz w:val="18"/>
          <w:szCs w:val="18"/>
          <w:color w:val="auto"/>
        </w:rPr>
        <w:t>our Class A common stock that is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funds available in the trust account for an initial business combination in the amount of $166,207,749 (as of December 31, 2020), after payment of $6,900,000 of deferred underwriting fees,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We intend to effectuate our initial business combination using cash from the proceeds of our initial public offering and the private placement of the placement units, the proceeds of the sale of our shares in connection with our initial business combination (pursuant to backstop agreements we may enter into), shares issued to the owners of the target, debt issued by banks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seek to raise additional funds through a private offering of debt or equity securities in connection with the completion of our initial business combination, and we may effectuate our initial business combination using the proceeds of such offering rather than using the amounts held in the trust account. In addition, we intend to target businesses larger than we could acquire with the net proceeds of our initial public offering and the sale of the placement units, and may as a result be required to seek additional financing to complete such proposed initial business combination. Subject to compliance with applicable securities laws, we would expect to complete such financing only simultaneously with the completion of our initial business combination. In the case of an initial business combination funded with assets other than the trust account assets, our proxy materials or tender offer documents disclosing the initial business combination would disclose the terms of the financing and, only if required by law, we would seek stockholder approval of such financing. There are no prohibitions on our ability to raise additional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a Target Business and Structuring of our Initial Business Combination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M&amp;A transactions of comparable businesses. If our board of directors is not able to independently determine the fair market value of our initial business combination, we will obtain an opinion from an independent investment banking firm or another independent entity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intend to satisfy the 80% requirement even if our securities are not listed on Nasdaq at the time of our initial business combination. We do not intend to purchase multiple businesses in unrelated industries in conjunction with our initial business combination. Subject to this requirement, our management has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In evaluating a prospective business target, we conduct a thorough due diligence review, which encompasses, among other things, meetings with incumbent management and employees, document reviews, interviews of customers and suppliers, inspection of facilities, as well as a review of financial and other information that will be made available to us.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Business Diversification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In addition, we intend to focus our search for an initial business combination in a single industry. By completing our initial business combination with only a single entity, our lack of diversification may:</w:t>
      </w:r>
    </w:p>
    <w:p>
      <w:pPr>
        <w:spacing w:after="0" w:line="188" w:lineRule="exact"/>
        <w:rPr>
          <w:sz w:val="20"/>
          <w:szCs w:val="20"/>
          <w:color w:val="auto"/>
        </w:rPr>
      </w:pPr>
    </w:p>
    <w:p>
      <w:pPr>
        <w:ind w:left="980" w:right="1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closely scrutinize the management of a prospective target business when evaluating the desirability of effecting our initial business combination with that business, our assessment of the target business’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there is no assurance that members of our management team will have significant experience or knowledge relating to the operations of the particular target business.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assurance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an initial business combination, we may seek to recruit additional managers to supplement the incumbent management of the target business. There is no assurance that we will have the ability to recruit additional managers, or that additional managers will have the requisite skills, knowledge or experience necessary to enhance the incumbent management.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Stockholders May Not Have the Ability to Approve Our Initial Business Combination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may conduct redemptions without a stockholder vote pursuant to the tender offer rules of the SEC. However, we will seek stockholder approval if it is required by law or applicable stock exchange rule, or we may decide to seek stockholder approval for business or other legal reasons.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25"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 shares of Class A common stock that will be equal to or in excess of 20% of the number of shares of our Class A common stock then outstanding;</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of our directors, officers or substantial stockholders (as defined by Nasdaq rules) has a 5% or greater interest (or such persons collectively have a 10% or greater interest), directly or indirectly, in the target business or assets to be acquired or otherwise and the present or potential issuance of common stock could result in an increase in outstanding common shares or voting power of 5% or more; or</w:t>
      </w:r>
    </w:p>
    <w:p>
      <w:pPr>
        <w:spacing w:after="0" w:line="148"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Proposed Transaction with Momentus will require the approval of our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sponsor, initial stockholders, directors, officers, advisors or their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their affiliates may purchase in such transactions, subject to compliance with applicable law and Nasdaq rules. However, they have no current commitments, plans or intentions to engage in such transactions and have not formulated any terms or conditions for any such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72" w:lineRule="auto"/>
        <w:rPr>
          <w:sz w:val="20"/>
          <w:szCs w:val="20"/>
          <w:color w:val="auto"/>
        </w:rPr>
      </w:pPr>
      <w:r>
        <w:rPr>
          <w:rFonts w:ascii="Arial" w:cs="Arial" w:eastAsia="Arial" w:hAnsi="Arial"/>
          <w:sz w:val="17"/>
          <w:szCs w:val="17"/>
          <w:color w:val="auto"/>
        </w:rPr>
        <w:t>Our sponsor, officers, directors and/or their affiliates may identify the stockholders with whom our sponsor, officers, directors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Our sponsor, officers, directors, advisors or their affiliates will only purchase shares if such purchases comply with Regulation M under the Exchange Act and the other federal securities laws.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purchases by our sponsor, officers, directors and/or their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and/or their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 for Public Stockholders upon Completion of our Initial Business Combination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as of December 31, 2020, approximately $10.04 per public share. The per-share amount we will distribute to investors who properly redeem their shares will not be reduced by the deferred underwriting commissions we will pay to the underwriter. Our sponsor, officers and directors have entered into a letter agreement with us, pursuant to which they have agreed to waive their redemption rights with respect to any founder shares and (along with Cantor Fitzgerald &amp; Co. (“Cantor”)) placement shares and any public shares held by them in connection with the completion of our initial business combination.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will provide our public stockholders with the opportunity to redeem all or a portion of their shares of Class A common stock upon the completion of our initial business combination either (i) in connection with a stockholder meeting called to approve the initial business combination or (ii)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the law or stock exchange listing requirement. Under Nasdaq rules,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If we structure an initial business combination with a target company in a manner that requires stockholder approval, we will not have discretion as to whether to seek a stockholder vote to approve the proposed initial business combination. We may conduct redemptions without a stockholder vote pursuant to the tender offer rules of the SEC unless stockholder approval is required by law or stock exchange listing requirements or we choose to seek stockholder approval for business or other legal reasons. So long as we maintain a listing for our securities on Nasdaq, we are required to comply with such rules.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 pursuant to our amended and restated certificate of incorporation:</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conduct the redemptions pursuant to Rule 13e-4 and Regulation 14E of the Exchange Act, which regulate issuer tender offers,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public announcement of our initial business combination, we or our sponsor will terminate any plan established in accordance with Rule 10b5-1 to purchase shares of our Class A common stock in the open market if we elect to redeem our public shares through a tender offer, to comply with Rule 14e-5 under the Exchange Act.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are not purchased by our sponsor, which number will be based on the requirement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stock exchange listing requirement, or we decide to obtain stockholder approval for business or other legal reasons, we will, pursuant to our amended and restated certificate of incorporation:</w:t>
      </w:r>
    </w:p>
    <w:p>
      <w:pPr>
        <w:spacing w:after="0" w:line="170" w:lineRule="exact"/>
        <w:rPr>
          <w:sz w:val="20"/>
          <w:szCs w:val="20"/>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event that we seek stockholder approval of our initial business combination, we will distribute proxy materials and, in connection therewith, provide our public stockholders with the redemption rights described above upon completion of the initial business combination.</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 this quorum and pursuant to the letter agreement, our sponsor, officers and directors have agreed to vote their founder shares and placement shares and any public shares purchased (including in open market and privately 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and placement shares, we would need only 6,196,251, or approximately 35.9%, of the 17,250,000 public shares sold in our initial public offering to be voted in favor of an initial business combination (assuming all outstanding shares are voted) in order to have our initial business combination approved.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86" w:lineRule="auto"/>
        <w:rPr>
          <w:sz w:val="20"/>
          <w:szCs w:val="20"/>
          <w:color w:val="auto"/>
        </w:rPr>
      </w:pPr>
      <w:r>
        <w:rPr>
          <w:rFonts w:ascii="Arial" w:cs="Arial" w:eastAsia="Arial" w:hAnsi="Arial"/>
          <w:sz w:val="16"/>
          <w:szCs w:val="16"/>
          <w:color w:val="auto"/>
        </w:rPr>
        <w:t>Our amended and restated certificate of incorporation provides that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w:t>
      </w:r>
    </w:p>
    <w:p>
      <w:pPr>
        <w:spacing w:after="0" w:line="1"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cash consideration to be paid to the target or its owners, (ii) cash to be transferred to the target for working capital or other general corporate purposes or</w:t>
      </w:r>
    </w:p>
    <w:p>
      <w:pPr>
        <w:spacing w:after="0" w:line="32" w:lineRule="exact"/>
        <w:rPr>
          <w:rFonts w:ascii="Arial" w:cs="Arial" w:eastAsia="Arial" w:hAnsi="Arial"/>
          <w:sz w:val="16"/>
          <w:szCs w:val="16"/>
          <w:color w:val="auto"/>
        </w:rPr>
      </w:pPr>
    </w:p>
    <w:p>
      <w:pPr>
        <w:jc w:val="both"/>
        <w:ind w:firstLine="8"/>
        <w:spacing w:after="0" w:line="253" w:lineRule="auto"/>
        <w:tabs>
          <w:tab w:leader="none" w:pos="3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retention of cash to satisfy other conditions in accordance with the terms of the proposed initial business combination.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Class A common stock submitted for redemption will be returned to the holders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our initial public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an aggregate of 15% or more of the shares sold in our initial public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our initial public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Stock Certificates in Connection with Redemption Rights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require our public stockholders seeking to exercise their redemption rights, whether they are record holders or hold their shares in “street name,” to either tender their certificates to our transfer agent up to two business days prior to the vote on the proposal to approve the initial business combination, or to deliver their shares to the transfer agent electronically using the Depository Trust Company’s DWAC (Deposit/Withdrawal At Custodian) System, at the holder’s option. The proxy materials that we will furnish to holders of our public shares in connection with our initial business combination will indicate whether we are requiring public stockholders to satisfy such delivery requirements. Accordingly, a public stockholder would have up to two days prior to the vote on the initial business combination to tender its shares if it wishes to seek to exercise its redemption rights. Given the relatively short exercise period, it is advisable for stockholders to use electronic delivery of their public shares.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the tendering broker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48"/>
        <w:spacing w:after="0" w:line="288"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stockholders’ vote on an initial business combination, and a holder could simply vote against a proposed initial business combination and check a box on the proxy card indicating such holder was seeking to exercise his or her redemption rights. After the initial business combination was approved, the company would contact such stockholder to arrange for him or her to deliver his or her certificate to verify ownership. As a result, the stockholder then had an “option window” after the completion of the initial business combination during which he or she could monitor the price of the company’s stock in the market. If the price rose above the redemption price, he or she could sell his or her shares in the open market before actually delivering his or her shares to the company for cancellation. As a result, the redemption rights, to which stockholders were aware they needed to commit before the stockholder meeting, would become “option” rights surviving past the completion of the initial business combination until the redeeming holder delivered its certificate. The requirement for physical or electronic delivery prior to the meeting ensures that a redeeming holder’s election to redeem is irrevocable once the initial business combination is approved.</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request to redeem such shares, once made, may be withdrawn at any time up to the date of the stockholder meeting.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our initial proposed initial business combination is not completed, we may continue to try to complete an initial business combination with a different target until 18 months from the closing of our initial public offering, or until May 13, 2021, unless we obtain stockholder approval to amend our amended and restated certificate of incorporation to extend the date by which we must complete our initial business combination (the “extension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amended and restated certificate of incorporation provides that we will have only 18 months from the closing of our initial public offering, or until May 13, 2021, to complete our initial business combination, including the proposed business combination with Momentus. If we are unable to complete our initial business combination by May 13, 2021 or the extension date, as applicable,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by May 13, 2021 or the extension date, as applicable.</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and (along with Cantor) placement shares held by them if we fail to complete our initial business combination by May 13, 2021 or the extension date, as applicable. However, if our sponsor, officers or directors acquire public shares after our initial public offering, they will be entitled to liquidating distributions from the trust account with respect to such public shares if we fail to complete our initial business combination by May 13, 2021 or the extension date, as applicable.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redemptions in connection with our initial business combination or to redeem 100% of our public shares if we do not complete our initial business combination , or until May 13, 2021 or the extension date, as applicable,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expect that all costs and expenses associated with implementing our plan of dissolution, as well as payments to any creditors, will be funded from amounts remaining out of the approximately $214,811 of proceeds held outside the trust account (as of December 31, 2020), although there is no assurance that there will be sufficient funds for such purpose. We will depend on sufficient interest being earned on the proceeds held in the trust account to pay any tax obligations we may owe. However, if those funds are not sufficient to cover the costs and expenses associated with implementing our plan of dissolution, to the extent that there is any interest accrued in the trust account not required to pay taxes on interest income earned on the trust account balance, we may request the trustee to release to us an additional amount of up to $100,000 of such accrued interest to pay those costs and expenses.</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were to expend all of the net proceeds of our initial public offering and the sale of the placement units, other than the proceeds deposited in the trust account, and without taking into account interest, if any, earned on the trust account,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There is no assurance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there is no assurance that we will have funds sufficient to pay or provide for all creditors’ claims.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we have sought and will continue to seek to have all vendors, service providers, prospective target businesses or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WithumSmith+Brown, PC, our independent registered public accounting firm, and the underwriter of the offering, will not execute agreements with us waiving such claims to the monies held in the trust account.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87" w:lineRule="auto"/>
        <w:rPr>
          <w:sz w:val="20"/>
          <w:szCs w:val="20"/>
          <w:color w:val="auto"/>
        </w:rPr>
      </w:pPr>
      <w:r>
        <w:rPr>
          <w:rFonts w:ascii="Arial" w:cs="Arial" w:eastAsia="Arial" w:hAnsi="Arial"/>
          <w:sz w:val="16"/>
          <w:szCs w:val="16"/>
          <w:color w:val="auto"/>
        </w:rPr>
        <w:t>In addition, there is no guarantee that such entities will agree to waive any claims they may have in the future as a result of, or arising out of, any negotiations, contracts or agreements with us and will not seek recourse against the trust account for any reason.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if, for example, the cost of such legal action is deemed by the independent directors to be too high relative to the amount recoverable or if the independent directors determine that a favorable outcome is not likely. We have not asked our sponsor to reserve for such indemnification obligations and we cannot assure you that our sponsor would be able to satisfy those obligations. Accordingly, we cannot assure you that due to claims of creditors the actual value of the per-share redemption price will not be less than $10.00 per public share.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have access to approximately $214,810 of proceeds held outside the trust account (as of December 31, 2020) from the proceeds of our initial public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by May 13, 2021 or the extension date, as applicable, may be considered a liquidating distribution under Delaware law. Delaware law provides that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85"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our public shares in the event we do not complete our initial business combination by May 13, 2021 or the extension date, as applicable,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by May 13, 2021 or the extension date, as applicable,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Accordingly, it is our intention to redeem our public shares as soon as reasonably possible following May 13, 2021 or the extension date, as applicable,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are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 of our initial public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earlier to occur of: (i) the completion of our initial business combination, (ii) the redemption of any public shares properly tendered in connection with a stockholder vote to amend any provisions of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the extension date, as applicable, or (B) with respect to any other provision relating to stockholders’ rights or pre-initial business combination activity, and (iii) the redemption of all of our public shares if we are unable to complete our business combination by May 13, 2021 or the extension date, as applicable, subject to applicable law. In no other circumstances will a stockholder have any right or interest of any kind to or in the trust account. In the event we seek stockholder approval in connection with our initial business combination, a stockholder’s voting in connection with the initial business combination alone will not result in a stockholder’s redeeming its shares to us for an applicable pro rata share of the trust account. Such stockholder must have also exercised its redemption rights as described above. These provisions of our amended and restated certificate of incorporation, like all provisions of our amended and restated certificate of incorporation, may be amended with a stockholder vote. In particular, our amended and restated certificate of incorporation may be amended with the affirmative vote of the holders of at least 65% of all then outstanding shares of our common stock to extend the May 13, 2021 deadline by which we must have completed our business combination.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have encountered and may continue to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is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have three officers. These individuals are not obligated to devote any specific number of hours to our matters but they intend to devote as much of their time as they deem necessary, in the exercise of their respective business judgment, to our affairs and intend to continue doing so until we have completed our initial business combination. The amount of time they devote in any time period will vary based on whether a target business has been selected for our initial business combination and the stage of the initial business combination process we are in. We do not intend to have any full time employees prior to the completion of our initial business combination. We do not have an employment agreement with any member of our management team.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units, Class A common stock and warrants are registered under the Exchange Act and have reporting obligations, including the requirement that we file annual, quarterly and current reports with the SEC. In accordance with the requirements of the Exchange Act, this Report contains financial statements audited and reported on by our independent registered public accountants.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the tender offer materials or proxy solicitation materials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GAAP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91" w:lineRule="auto"/>
        <w:rPr>
          <w:sz w:val="20"/>
          <w:szCs w:val="20"/>
          <w:color w:val="auto"/>
        </w:rPr>
      </w:pPr>
      <w:r>
        <w:rPr>
          <w:rFonts w:ascii="Arial" w:cs="Arial" w:eastAsia="Arial" w:hAnsi="Arial"/>
          <w:sz w:val="16"/>
          <w:szCs w:val="16"/>
          <w:color w:val="auto"/>
        </w:rPr>
        <w:t>We are required to evaluate our internal control procedures for the fiscal year ending December 31, 2020 as required by the Sarbanes-Oxley Act. Only in the event we are deemed to be a large accelerated filer or an accelerated filer will we be required to have our internal control procedures audited.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 We have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November 13, 2024, (b) in which we have total annual gross revenue of at least $1.07 billion, or (c) in which we are deemed to be a large accelerated filer, which means the market value of</w:t>
      </w:r>
    </w:p>
    <w:p>
      <w:pPr>
        <w:jc w:val="both"/>
        <w:ind w:right="20"/>
        <w:spacing w:after="0" w:line="209" w:lineRule="auto"/>
        <w:rPr>
          <w:sz w:val="20"/>
          <w:szCs w:val="20"/>
          <w:color w:val="auto"/>
        </w:rPr>
      </w:pPr>
      <w:r>
        <w:rPr>
          <w:rFonts w:ascii="Arial" w:cs="Arial" w:eastAsia="Arial" w:hAnsi="Arial"/>
          <w:sz w:val="18"/>
          <w:szCs w:val="18"/>
          <w:color w:val="auto"/>
        </w:rPr>
        <w:t>our shares of Class A common stock that are held by non-affiliates exceeds $700 million as of the prior June 30</w:t>
      </w:r>
      <w:r>
        <w:rPr>
          <w:rFonts w:ascii="Arial" w:cs="Arial" w:eastAsia="Arial" w:hAnsi="Arial"/>
          <w:sz w:val="29"/>
          <w:szCs w:val="29"/>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color w:val="auto"/>
        </w:rPr>
        <w:t>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You should carefully consider all of the following risk factors and all other information contained in this Report, including the financial statements. If any of the following risks occur, our business, financial condition or results of operations may be materially and adversely affected. In that event, the trading price of our securities could decline, and you could lose all or part of your investment. The risk factors described below are not necessarily exhaustive and you are encouraged to perform your own investigation with respect to us and our business.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In addition to the risks and uncertainties set forth below, we face certain material risks and uncertainties related to the Proposed Transaction with Momentus. In addition, if we succeed in effecting the Proposed Transaction with Momentus, we will face additional and different risks and uncertainties related to the business of Momentus. Such material risks are set forth in the Registration Statement on Form S-4, including a proxy statement/consent solicitation statement/prospectus included therein, initially filed by SRAC with the SEC on November 2, 2020, as subsequently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 summary of certain material risks of which we are aware. You should carefully consider this summary, together with the more detailed description of each risk factor contained below.</w:t>
      </w:r>
    </w:p>
    <w:p>
      <w:pPr>
        <w:spacing w:after="0" w:line="170" w:lineRule="exact"/>
        <w:rPr>
          <w:sz w:val="20"/>
          <w:szCs w:val="20"/>
          <w:color w:val="auto"/>
        </w:rPr>
      </w:pPr>
    </w:p>
    <w:p>
      <w:pPr>
        <w:ind w:left="980" w:right="1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an early stage company with no operating history and no revenues, and you have no basis on which to evaluate our ability to achieve our business objective.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initial stockholders have agreed to vote in favor of such initial business combination, regardless of how our public stockholders vote.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324" w:hanging="324"/>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within the prescribed time frame may give potential target businesses leverage over us in negotiating an initial business combination.</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complete our initial business combination within the prescribed time frame.</w:t>
      </w:r>
    </w:p>
    <w:p>
      <w:pPr>
        <w:spacing w:after="0" w:line="225"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seek stockholder approval of our initial business combination, our sponsor, directors, officers, advisors and their affiliates may elect to purchase shares or warrants from public stockholders, which may influence a vote on a proposed initial business combination and reduce the public “float” of our Class A common stock.</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certain other blank check companies.</w:t>
      </w:r>
    </w:p>
    <w:p>
      <w:pPr>
        <w:spacing w:after="0" w:line="225"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Because of our limited resources and the significant competition for business combination opportunities, it may be more difficult for us to complete our initial business combination.</w:t>
      </w:r>
    </w:p>
    <w:p>
      <w:pPr>
        <w:spacing w:after="0" w:line="170"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net proceeds of our initial public offering and the sale of the placement units not being held in the trust account are insufficient to allow us to operate until May 13, 2021 or the extension date, as applicable, we may be unable to complete our initial business combination, in which case our public stockholders may only receive $10.00 per share, or less than such amount in certain circumstances, and our warrants will expire worthless.</w:t>
      </w:r>
    </w:p>
    <w:p>
      <w:pPr>
        <w:spacing w:after="0" w:line="186" w:lineRule="exact"/>
        <w:rPr>
          <w:rFonts w:ascii="Arial" w:cs="Arial" w:eastAsia="Arial" w:hAnsi="Arial"/>
          <w:sz w:val="18"/>
          <w:szCs w:val="18"/>
          <w:color w:val="auto"/>
        </w:rPr>
      </w:pPr>
    </w:p>
    <w:p>
      <w:pPr>
        <w:jc w:val="both"/>
        <w:ind w:left="324" w:hanging="324"/>
        <w:spacing w:after="0" w:line="25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net proceeds of our initial public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7"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hold an annual meeting of stockholders until after the consummation of our initial business combination, which could delay the opportunity for our stockholders to elect directors.</w:t>
      </w:r>
    </w:p>
    <w:p>
      <w:pPr>
        <w:spacing w:after="0" w:line="170" w:lineRule="exact"/>
        <w:rPr>
          <w:rFonts w:ascii="Arial" w:cs="Arial" w:eastAsia="Arial" w:hAnsi="Arial"/>
          <w:sz w:val="18"/>
          <w:szCs w:val="18"/>
          <w:color w:val="auto"/>
        </w:rPr>
      </w:pPr>
    </w:p>
    <w:p>
      <w:pPr>
        <w:jc w:val="both"/>
        <w:ind w:left="324" w:hanging="324"/>
        <w:spacing w:after="0" w:line="263"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not registered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Past performance by our management team may not be indicative of future performance of an investment in us.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seek business combination opportunities in industries or sectors which may or may not be outside of our management’s area of expertise.</w:t>
      </w:r>
    </w:p>
    <w:p>
      <w:pPr>
        <w:spacing w:after="0" w:line="170" w:lineRule="exact"/>
        <w:rPr>
          <w:rFonts w:ascii="Arial" w:cs="Arial" w:eastAsia="Arial" w:hAnsi="Arial"/>
          <w:sz w:val="18"/>
          <w:szCs w:val="18"/>
          <w:color w:val="auto"/>
        </w:rPr>
      </w:pPr>
    </w:p>
    <w:p>
      <w:pPr>
        <w:ind w:left="324" w:hanging="324"/>
        <w:spacing w:after="0" w:line="342" w:lineRule="auto"/>
        <w:tabs>
          <w:tab w:leader="none" w:pos="3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23" w:lineRule="exact"/>
        <w:rPr>
          <w:rFonts w:ascii="Arial" w:cs="Arial" w:eastAsia="Arial" w:hAnsi="Arial"/>
          <w:sz w:val="16"/>
          <w:szCs w:val="16"/>
          <w:color w:val="auto"/>
        </w:rPr>
      </w:pPr>
    </w:p>
    <w:p>
      <w:pPr>
        <w:ind w:left="324" w:hanging="324"/>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70" w:lineRule="exact"/>
        <w:rPr>
          <w:rFonts w:ascii="Arial" w:cs="Arial" w:eastAsia="Arial" w:hAnsi="Arial"/>
          <w:sz w:val="18"/>
          <w:szCs w:val="18"/>
          <w:color w:val="auto"/>
        </w:rPr>
      </w:pPr>
    </w:p>
    <w:p>
      <w:pPr>
        <w:ind w:left="324" w:right="20" w:hanging="324"/>
        <w:spacing w:after="0" w:line="277" w:lineRule="auto"/>
        <w:tabs>
          <w:tab w:leader="none" w:pos="3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Resources could be wasted in researching business combinations that are not completed, which could materially adversely affect subsequent attempts to locate and acquire or merge with another business.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officers, directors, security holders and their respective affiliates may have competitive pecuniary interests that conflict with our interests.</w:t>
      </w:r>
    </w:p>
    <w:p>
      <w:pPr>
        <w:spacing w:after="0" w:line="248" w:lineRule="exact"/>
        <w:rPr>
          <w:rFonts w:ascii="Arial" w:cs="Arial" w:eastAsia="Arial" w:hAnsi="Arial"/>
          <w:sz w:val="16"/>
          <w:szCs w:val="16"/>
          <w:color w:val="auto"/>
        </w:rPr>
      </w:pPr>
    </w:p>
    <w:p>
      <w:pPr>
        <w:ind w:left="324" w:right="20" w:hanging="324"/>
        <w:spacing w:after="0" w:line="342" w:lineRule="auto"/>
        <w:tabs>
          <w:tab w:leader="none" w:pos="3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33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4" w:name="page25"/>
    <w:bookmarkEnd w:id="24"/>
    <w:p>
      <w:pPr>
        <w:jc w:val="both"/>
        <w:ind w:left="98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only be able to complete one business combination with the proceeds of our initial public offering, and the sale of the placement units, which will cause us to be solely dependent on a single business which may have a limited number of services and limited operating activities.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initial stockholders may exert a substantial influence on actions requiring a stockholder vote, potentially in a manner that you do not support.</w:t>
      </w:r>
    </w:p>
    <w:p>
      <w:pPr>
        <w:spacing w:after="0" w:line="170"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early stage company with no operating history and no revenues, and you have no basis on which to evaluate our ability to achieve our business objective.</w:t>
      </w:r>
    </w:p>
    <w:p>
      <w:pPr>
        <w:spacing w:after="0" w:line="16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are an early stage company with no operating results. Because we lack an operating history, you have no basis upon which to evaluate our ability to achieve our business objective of completing our initial business combination with one or more target businesses. We may be unable to complete our initial business combination. If we fail to complete our initial business combination, we will never generate any operating revenues.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securities are currently listed on Nasdaq. However,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Class A common stock and warrants are listed on Nasdaq, our units, Class A common stock and warrants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will not be entitled to protections normally afforded to investors of certain other blank check companies.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the net proceeds of our initial public offering and the sale of the placement units are intended to be used to complete an initial business combination with a target business that has not been identified, we may be deemed to be a “blank check” company under the United States securities laws. However, because we have net tangible assets in excess of $5,000,000, we are exempt from rules promulgated by the SEC to protect investors in blank check companies, such as Rule 419. Accordingly, investors are not afforded the benefits or protections of those rules. Moreover, if our initial public offering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initial stockholders may exert a substantial influence on actions requiring a stockholder vote, potentially in a manner that you do not support.</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initial stockholders beneficially own shares representing approximately 21.8% of our issued and outstanding shares of common stock. Accordingly, they may exert a substantial influence on actions requiring a stockholder vote, potentially in a manner that you do not support, including amendments to our amended and restated certificate of incorporation and approval of major corporate transactions. If our initial stockholders purchase any additional shares of common stock in the aftermarket or in privately negotiated transactions, this would increase their control. Factors that would be considered in making such additional purchases would include consideration of the current trading price of our Class A common stock. In addition, our board of directors, whose members were elected by our initial stockholders, is divided into three classes, each of which generally serves for a term of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sponsor paid an aggregate of $25,000 for the founder shares, or approximately $0.006 per founder share. As a result of this low initial price, our sponsor, its affiliates and our management team stand to make a substantial profit even if an initial business combination subsequently declines in value or is unprofitable for our public stockholders.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low acquisition cost of our founder shares, our sponsor, its affiliates and our management team could make a substantial profit even if we select and consummate an initial business combination with an acquisition target that subsequently declines in value or is unprofitable for our public stockholders. Thus, such parties may have more of an economic incentive for us to enter into an initial business combination with a riskier, weaker-performing or financially unstable business, or an entity lacking an established record of revenues or earnings, than would be the case if such parties had paid the full offering price for their founder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82" w:lineRule="auto"/>
        <w:rPr>
          <w:sz w:val="20"/>
          <w:szCs w:val="20"/>
          <w:color w:val="auto"/>
        </w:rPr>
      </w:pPr>
      <w:r>
        <w:rPr>
          <w:rFonts w:ascii="Arial" w:cs="Arial" w:eastAsia="Arial" w:hAnsi="Arial"/>
          <w:sz w:val="18"/>
          <w:szCs w:val="18"/>
          <w:b w:val="1"/>
          <w:bCs w:val="1"/>
          <w:color w:val="auto"/>
        </w:rPr>
        <w:t>Unlike other similarly structured blank check companies, our initial stockholders will receive additional shares of Class A common stock if we issue shares to consummate an initial business combination.</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founder shares will automatically convert into Class A common stock at the time of our initial business combination, or earlier at the option of the holders, on a one-for-one basis, subject to adjustment as provided herein. In the case that additional shares of Class A common stock, or equity-linked securities convertible or exercisable for Class A common stock, are issued or deemed issued in excess of the amounts offered in our initial public offering and related to the closing of the initial business combination, the ratio at which founder shares shall convert into Class A common stock will be adjusted so that the number of Class A common stock issuable upon conversion of all founder shares will equal, in the aggregate, on an as-converted basis, 20% of the total number of all outstanding shares of common stock upon completion of the initial business combination, excluding the placement shares and any shares or equity-linked securities issued, or to be issued, to any seller in the business combination and any private placement-equivalent warrants issued to our sponsor or its affiliates upon conversion of loans made to us. This is different from other similarly structured blank check companies in which the initial stockholder will only be issued an aggregate of 20% of the total number of shares to be outstanding prior to the initial business combination. Additionally, the aforementioned adjustment will not take into account any shares of Class A common stock redeemed in connection with the business combination. Accordingly, the holders of the founder shares could receive additional shares of Class A common stock even if the additional shares of Class A common stock, or equity-linked securities convertible or exercisable for Class A common stock, are issued or deemed issued solely to replace those shares that were redeemed in connection with the business combination. The foregoing may make it more difficult and expensive for us to consummate an initial business combination.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each unit contains one-half of one redeemable warrant and only a whole warrant may be exercised, the units may be worth less than units of other blank check companies.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unit contains one-half of one redeemable warrant. No fractional warrants will be issued upon separation of the units and only whole warrants will trade. Accordingly, unless you purchase at least two units, you will not be able to receive or trade a whole warrant.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provision of our warrant agreement may make it more difficult for use to consummate an initial business combination.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Unlike most blank check companies, if</w:t>
      </w:r>
    </w:p>
    <w:p>
      <w:pPr>
        <w:spacing w:after="0" w:line="225"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issue additional shares of Class A common stock or equity-linked securities for capital raising purposes in connection with the closing of our initial business combination at a Newly Issued Price of less than $9.20 per share;</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Value is below $9.20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right="2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exceeds $250 million as of the prior June 30, or (2) our annual revenues exceeded $100 million during such completed fiscal year and the market value of our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Initial Business Combination</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Our public stockholders may not be afforded an opportunity to vote on our proposed initial business combination, which means we may complete our initial business combination even if a majority of our public stockholders do not support such a combination.</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public shares do not approve of the initial business combination we complete.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have agreed to vote in favor of such initial business combination, regardless of how our public stockholders vote.</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letter agreement, our sponsor, officers and directors have agreed to vote their founder shares and placement shares, as well as any public shares purchased after our initial public offering (including in open market and privately negotiated transactions), in favor of our initial business combination. As a result, in addition to our initial stockholders’ founder shares and placement shares, we would need only 6,196,251, or approximately 35.9%, of the 17,250,000 public shares sold in our initial public offering to be voted in favor of an initial business combination (assuming all outstanding shares are voted) in order to have our initial business combination approved. Our initial stockholders beneficially own shares representing approximately 21.8%of our outstanding shares of common stock.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as we approach our dissolution deadline, which could undermine our ability to complete our initial business combination on terms that would produce value for our stockholders.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an initial business combination will be aware that we must complete our initial business combination within 18 months from the closing of our initial public offering, or by May 13, 2021 or the extension date, as applicable.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directors, officers, advisors and their affiliates may elect to purchase shares or warrants from public stockholders, which may influence a vote on a proposed initial business combination and reduce the public “float” of our Class A common stock.</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their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342" w:lineRule="auto"/>
        <w:rPr>
          <w:sz w:val="20"/>
          <w:szCs w:val="20"/>
          <w:color w:val="auto"/>
        </w:rPr>
      </w:pPr>
      <w:r>
        <w:rPr>
          <w:rFonts w:ascii="Arial" w:cs="Arial" w:eastAsia="Arial" w:hAnsi="Arial"/>
          <w:sz w:val="16"/>
          <w:szCs w:val="16"/>
          <w:color w:val="auto"/>
        </w:rPr>
        <w:t>In addition, if such purchases are made, the public “float” of our Class A common stock or public warrants and the number of beneficial holders of our securities may be reduced, possibly making it difficult to maintain the quotation, listing or trading of our securities on a national securities exchange.</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Class A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redemptions in connection with our initial business combination or to redeem 100% of our public shares if we do not complete our initial business combination within 18 months from the closing of our initial public offering, or by May 13, 2021 or the extension date, as applicable, or (B) with respect to any other provision relating to stockholders’ rights or pre-initial business combination activity and (iii) the redemption of our public shares if we are unable to complete an initial business combination within 18 months from the closing of our initial public offering, or by May 13, 2021 or the extension date, as applicable,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7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If the net proceeds of our initial public offering and the sale of the placement units not being held in the trust account are insufficient to allow us to operate until May 13, 2021 or the extension date, as applicable, we may be unable to complete our initial business combination, in which case our public stockholders may only receive $10.00 per share, or less than such amount in certain circumstances, and our warrants will expire worthless.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funds available to us outside of the trust account may not be sufficient to allow us to operate until May 13, 2021 or the extension date, as applicable, assuming that our initial business combination is not completed during that time. We believe that the funds available to us outside of the trust account as of December 31, 2020 of $214,811 and the additional $600,000 of funds loaned to us by Stable Road Capital, LLC and DIBALYD Investments, an affiliate of Nala Investments, in February 2021 (which funds are held outside of the trust account) are sufficient to allow us to operate until May 13, 2021 or the extension date,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upon our liquidation.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303" w:lineRule="auto"/>
        <w:rPr>
          <w:sz w:val="20"/>
          <w:szCs w:val="20"/>
          <w:color w:val="auto"/>
        </w:rPr>
      </w:pPr>
      <w:r>
        <w:rPr>
          <w:rFonts w:ascii="Arial" w:cs="Arial" w:eastAsia="Arial" w:hAnsi="Arial"/>
          <w:sz w:val="16"/>
          <w:szCs w:val="16"/>
          <w:b w:val="1"/>
          <w:bCs w:val="1"/>
          <w:color w:val="auto"/>
        </w:rPr>
        <w:t>If the net proceeds of our initial public offering and the sale of the placement units not being held in the trust account are insufficient, it could limit the amount available to fund our search for a target business or businesses and complete our initial business combination and we will depend on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5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Of the net proceeds of our initial public offering and the sale of the placement units, only approximately $214,811 (as of December 31, 2020) is available to us outside the trust account to fund our working capital requirements. In February 2021, Stable Road Capital, LLC and DIBALYD Investments, an affiliate of Nala Investments, loaned us $600,000 pursuant to non-interest bearing promissory notes, which funds are available to be used for working capital expenses. If we are required to seek additional capital, we would need to borrow funds from our sponsor, management team or other third parties to operate or may be forced to liquidate. None of our sponsor, members of our management team nor any of their affiliates is under any obligation to advance funds to us in such circumstances. Any such advances would be repaid only from funds to be held outside the trust account or from funds released to us upon completion of our initial business combination. Up to $1,500,000 of such loans may be convertible into units, at a price of $10.00 per unit at the option of the lender, upon consummation of our initial business combination. The units would be identical to the placement units.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surface all material issues that may be present inside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Although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stockholders who choose to remain stockholders following the initial business combination could suffer a reduction in the value of their shares. Such stockholders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executive officers.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8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We may seek business combination opportunities in industries or sectors which may or may not be outside of our management’s area of expertise.</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consummate a business combination with a company in any industry we choose and are not limited to any particular industry or type of business.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than a direct investment, if an opportunity were available, in an initial business combination candidate. In the event we elect to pursue a business combination outside of the areas of our management’s expertise, our management’s expertise may not be directly applicable to its evaluation or operation, and the information contained herein regarding the areas of our management’s expertise would not be relevant to an understanding of the business that we elect to acquire. As a result, our management may not be able to adequately ascertain or assess all of the significant risk factors. Accordingly, any stockholders who choose to remain stockholders following our initial business combination could suffer a reduction in the value of their shares. Such stockholders are unlikely to have a remedy for such reduction in value.</w:t>
      </w:r>
    </w:p>
    <w:p>
      <w:pPr>
        <w:spacing w:after="0" w:line="17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We may seek business combination opportunities with a financially unstable business or an entity lacking an established record of revenue, cash flow or earnings, which could subject us to volatile revenues, cash flows or earnings or difficulty in retaining key personnel.</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we complete our initial business combination with a financially unstable business or an entity lacking an established record of revenues or earnings, we may be affected by numerous risks inherent in the operations of the business with which we combine. These risks include volatile revenues or earnings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not required to obtain a fairness opinion and consequently, you may have no assurance from an independent source that the price we are paying for the business is fair to our company from a financial point of view.</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entity that commonly renders valuation opinions that the price we are paying is fair to our company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Class A common stock.</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an agreement entered into concurrently with our initial public offering, our initial stockholders and their permitted transferees can demand that we register the placement units, the placement shares, the placement warrants, the shares of Class A common stock issuable upon exercise of the placement warrants, the shares of Class A common stock issuable upon conversion of the founder shares and holders of units that may be issued upon conversion of working capital loans may demand that we register such units, Class A common stock, warrants or the Class A common stock issuable upon exercise of such units and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securities owned by our initial stockholders or holders of working capital loans or their respective permitted transferees are registered.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61"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on the liquidation of our trust account and our warrants will expire worthless. In certain circumstances, our public stockholders may receive less than $10.00 per share on the redemption of their shares.</w:t>
      </w:r>
    </w:p>
    <w:p>
      <w:pPr>
        <w:spacing w:after="0" w:line="16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prior to or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stockholders who choose to remain stockholders following the initial business combination could suffer a reduction in the value of their shares. Such stockholders are unlikely to have a remedy for such reduction in value.</w:t>
      </w:r>
    </w:p>
    <w:p>
      <w:pPr>
        <w:spacing w:after="0" w:line="160"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Our officers and directors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officers and directors are not required to, and do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Our independent directors may also serve as officers or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Certain of our officers and directors are now, and all of them may in the future become, affiliated with entities engaged in business activities similar to those intended to be conducted by us (and they may also participate in the formation of, or become officers or directors of, other special purpose acquisition companies) and, accordingly, may have conflicts of interest in allocating their time and determining to which entity a particular business opportunity should be presented.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we consummate our initial business combination, we will continue to engage in the business of identifying and combining with one or more businesses. Our sponsor and officers and directors are, and may in the future become, affiliated with entities (such as operating companies or investment vehicles) that are engaged in a similar business, and they may also participate in the formation of, or become officers or directors of, other special purpose acquisition companies.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officers and directors also may become aware of business opportunities which may be appropriate for presentation to us and the other entities to which they owe certain fiduciary or contractual duties.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82" w:lineRule="auto"/>
        <w:rPr>
          <w:sz w:val="20"/>
          <w:szCs w:val="20"/>
          <w:color w:val="auto"/>
        </w:rPr>
      </w:pPr>
      <w:r>
        <w:rPr>
          <w:rFonts w:ascii="Arial" w:cs="Arial" w:eastAsia="Arial" w:hAnsi="Arial"/>
          <w:sz w:val="18"/>
          <w:szCs w:val="18"/>
          <w:b w:val="1"/>
          <w:b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light of the involvement of our sponsor, officers and directors with other entities, we may decide to acquire one or more businesses affiliated with our sponsor, officers or directors. Our directors also serve as officers and board members for other entities. Such entities may compete with us for business combination opportunities. Despite our agreement to obtain an opinion from an independent investment banking firm or another independent entity that commonly renders valuation opinions, regarding the fairness to our stockholders from a financial point of view of an initial business combination with one or more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w:t>
      </w:r>
    </w:p>
    <w:p>
      <w:pPr>
        <w:spacing w:after="0" w:line="16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June 2019, our sponsor purchased an aggregate of 4,312,500 founder shares for an aggregate purchase price of $25,000, or approximately $0.006 per share. The founder shares will be worthless if we do not complete an initial business combination. Our sponsor and Cantor purchased an aggregate of 545,000 placement units at a price of $10.00 per unit, for a purchase price of $5,450,000. Each placement unit consists of one share of Class A common stock and one-half of one warrant. Each whole warrant is exercisable to purchase one whole share of common stock at $11.50 per share. These securities will also be worthless if we do not complete an initial business combination. Holders of founder shares have agreed (A) to vote any shares owned by them in favor of any proposed initial business combination and (B) not to redeem any founder shares in connection with a stockholder vote to approve a proposed initial business combination.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16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no commitments as of the date of this Report to issue any notes or other debt securities, or to otherwise incur outstanding debt,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our initial public offering, and the sale of the placement units, which will cause us to be solely dependent on a single business which may have a limited number of services and limited operating activities. This lack of diversification may negatively impact our operating results and profitability.</w:t>
      </w:r>
    </w:p>
    <w:p>
      <w:pPr>
        <w:spacing w:after="0" w:line="18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Of the net proceeds from our initial public offering and the sale of the placement units, $172,500,000 is available to complete our initial business combination and pay related fees and expenses (which includes $6,900,000 for the payment of deferred underwriting commissions).</w:t>
      </w:r>
    </w:p>
    <w:p>
      <w:pPr>
        <w:spacing w:after="0" w:line="14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may not be able to maintain control of a target business after our initial business combination.</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a majority of the public warrants (which may include public warrants acquired by our sponsor or its affiliates in our initial public offering or thereafter in the open market).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94" w:lineRule="auto"/>
        <w:rPr>
          <w:sz w:val="20"/>
          <w:szCs w:val="20"/>
          <w:color w:val="auto"/>
        </w:rPr>
      </w:pPr>
      <w:r>
        <w:rPr>
          <w:rFonts w:ascii="Arial" w:cs="Arial" w:eastAsia="Arial" w:hAnsi="Arial"/>
          <w:sz w:val="16"/>
          <w:szCs w:val="16"/>
          <w:b w:val="1"/>
          <w:b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65%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amended and restated certificate of incorporation provides that any of its provisions related to pre-initial business combination activity (including the requirement to deposit proceeds of our initial public offering and the private placement of warrants into the trust account and not release such amounts except in specified circumstances, and to provide redemption rights to public stockholders as described herein and including to permit us to withdraw funds from the trust account such that the per share amount investors will receive upon any redemption or liquidation is substantially reduced or eliminated)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We may not issue additional securities that can vote on amendments to our amended and restated certificate of incorporation. Our initial stockholders, who collectively beneficially own up to approximately 21.8% of our common stock,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redemptions in connection with our initial business combination or to redeem 100% of our public shares if we do not complete our initial business combination by May 13, 2021, or (ii) with respect to any other provision relating to stockholders’ rights or pre-initial business combination activity, unless we provide our public stockholders with the opportunity to redeem their shares of Class A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targeting businesses larger than we could acquire with the net proceeds of our initial public offering and the sale of the placement units.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If we are unable to complete our initial business combination, our public stockholders may receive only approximately $10.00 per share plus any pro rata interest earned on the funds held in the trust account and not previously released to us to pay our taxes on the liquidation of our trust account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statements may also be required to be prepared in accordance with GAAP in connection with our current report on Form 8-K announcing the closing of our initial business combination within four business days following such closing.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404 of the Sarbanes-Oxley Act requires that we evaluate and report on our system of internal controls beginning with this Report.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company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right="20"/>
        <w:spacing w:after="0" w:line="282"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Class A common stock and could entrench management.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amended and restated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Redemption of Shares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our board of directors may complete an initial business combination without seeking stockholder approval, public stockholders may not have the right or opportunity to vote on the initial business combination, unless we seek such stockholder vote. 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right="20"/>
        <w:spacing w:after="0" w:line="282"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may seek to enter into an initial business combination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initial business combination. Furthermore, we will only redeem our public shares so long as (after such redemption) our net tangible assets will be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each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are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 in the issuance of Class A shares on a greater than one-to-one basis upon conversion of the Class B common stock at the time of our business combination.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stockholders who properly exercise their redemption rights will not be reduced by the deferred underwriting commission and after such redemptions, the per-share value of shares held by non-redeeming stockholders will reflect our obligation to pay the deferred underwriting commissions.</w:t>
      </w:r>
    </w:p>
    <w:p>
      <w:pPr>
        <w:spacing w:after="0" w:line="17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82"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15% or more of our Class A common stock, you will lose the ability to redeem all such shares in excess of 15% of our Class A common stock.</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or more of the shares sold in our initial public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share.</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placing of funds in the trust account may not protect those funds from third-party claims against us. Although we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WithumSmith+Brown, PC, our independent registered public accounting firm, and the underwriter of our initial public offering, will not execute agreements with us waiving such claims to the monies held in the trust account.</w:t>
      </w:r>
    </w:p>
    <w:p>
      <w:pPr>
        <w:spacing w:after="0" w:line="1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Our sponsor has agreed that it will be liable to us if and to the extent any claims by a third party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Risks Related to Class A Common Stock</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We have not registered the shares of Class A common stock issuable upon exercise of the warrants under the Securities Act or any state securities laws at this time, and such registration may not be in place when an investor desires to exercise warrants, thus precluding such investor from being able to exercise its warrants except on a cashless basis. If the issuance of the shares upon exercise of warrants is not registered, qualified or exempt from registration or qualification, the holder of such warrant will not be entitled to exercise such warrant and such warrant may have no value and expire worthless.</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not registered the shares of Class A common stock issuable upon exercise of the warrants issued in our initial public offering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for the registration under the Securities Act of the shares of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issued in our initial public offering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We will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issued in our initial public offering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our initial public offering. However, there may be instances in which holders of our public warrants may be unable to exercise such public warrants but holders of our placement warrants may be able to exercise such placement warrants.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spacing w:after="0" w:line="282" w:lineRule="auto"/>
        <w:rPr>
          <w:sz w:val="20"/>
          <w:szCs w:val="20"/>
          <w:color w:val="auto"/>
        </w:rPr>
      </w:pPr>
      <w:r>
        <w:rPr>
          <w:rFonts w:ascii="Arial" w:cs="Arial" w:eastAsia="Arial" w:hAnsi="Arial"/>
          <w:sz w:val="18"/>
          <w:szCs w:val="18"/>
          <w:b w:val="1"/>
          <w:bCs w:val="1"/>
          <w:color w:val="auto"/>
        </w:rPr>
        <w:t>If you exercise your public warrants on a “cashless basis,” you will receive fewer shares of Class A common stock from such exercise than if you were to exercise such warrants for cash.</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Class A common stock 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exercise warrants on a cashless basis in accordance with Section 3(a)(9) of the Securities Act or another exemption. Second,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(as defined in the next sentence) by (y) the fair market value. The “fair market value” is the average reported last sale price of the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a majority of the then 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warrants are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(which may include public warrants acquired by our sponsor or its affiliates in our initial public offering or thereafter in the open market). Accordingly, we may amend the terms of the public warrants in a manner adverse to a holder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warrants, convert the warrants into cash or stock, shorten the exercise period or decrease the number of shares of our Class A common stock purchasable upon exercise of a warrant.</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warrants and founder shares may have an adverse effect on the market price of our Class A common stock and make it more difficult to effectuate our initial business combination.</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issued warrants to purchase 8,625,000 shares of our Class A common stock as part of the units offered in our initial public offering and, simultaneously with the closing of our initial public offering, we issued an aggregate of 272,500 placement warrants. Our initial stockholders currently beneficially own an aggregate of 4,312,500 founder shares. The founder shares are convertible into shares of Class A common stock on a one-for-one basis, subject to adjustment as set forth herein. In addition, if our sponsor makes any working capital loans, up to $1,500,000 of such loans may be convertible into units, at a price of $10.00 per unit at the option of the lender, upon consummation of our initial business combination. The units would be identical to the placement units. To the extent we issue shares of Class A common stock to effectuate an initial business combination, the potential for the issuance of a substantial number of additional shares of Class A common stock upon exercise of these warrants and conversion rights could make us a less attractive business combination vehicle to a target business. Any such issuance will increase the number of issued and outstanding shares of our Class A common stock and reduce the value of the shares of Class A common stock issued to complete the initial business combination. Therefore, our warrants and founder shares may make it more difficult to effectuate an initial business combination or increase the cost of acquiring the target business.</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placement warrants included in the placement units are identical to the warrants sold as part of the units in our initial public offering except that, so long as they are held by our sponsor or its permitted transferees, (i) they will not be redeemable by us, (ii) they (including the Class A common stock issuable upon exercise of these warrants) may not, subject to certain limited exceptions, be transferred, assigned or sold by our sponsor until 30 days after the completion of our initial business combination and (iii) they may be exercised by the holders on a cashless basis.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303" w:lineRule="auto"/>
        <w:rPr>
          <w:sz w:val="20"/>
          <w:szCs w:val="20"/>
          <w:color w:val="auto"/>
        </w:rPr>
      </w:pPr>
      <w:r>
        <w:rPr>
          <w:rFonts w:ascii="Arial" w:cs="Arial" w:eastAsia="Arial" w:hAnsi="Arial"/>
          <w:sz w:val="16"/>
          <w:szCs w:val="16"/>
          <w:b w:val="1"/>
          <w:bCs w:val="1"/>
          <w:color w:val="auto"/>
        </w:rPr>
        <w:t>We may issue additional common stock or preferred stock to complete our initial business combination or under an employee incentive plan after completion of our initial business combination. We may also issue shares of Class A common stock upon the conversion of the Class B common stock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amended and restated certificate of incorporation authorizes the issuance of up to 100,000,000 shares of Class A common stock, par value $0.0001 per share, 10,000,000 shares of Class B common stock, par value $0.0001 per share, and 1,000,000 shares of preferred stock, par value $0.0001 per share. There are 73,307,500 and 5,687,500 authorized but unissued shares of Class A common stock and Class B common stock, respectively, available for issuance as of December 31, 2020, which amount takes into account the shares of Class A common stock reserved for issuance upon exercise of outstanding warrants but not the shares of Class A common stock issuable upon conversion of Class B common stock. There are currently no shares of preferred stock issued and outstanding. Shares of Class B common stock are convertible into shares of our Class A common stock initially at a one-for-one ratio but subject to adjustment as set forth herein, including in certain circumstances in which we issue Class A common stock or equity-linked securities related to our initial business combination.</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issue a substantial number of additional shares of common or preferred stock to complete our initial business combination or under an employee incentive plan after completion of our initial business combination (although our amended and restated certificate of incorporation provides that we may not issue securities that can vote with common stockholders on matters related to our pre-initial business combination activity). We may also issue shares of Class A common stock upon conversion of the Class B common stock at a ratio greater than one-to-one at the time of our initial business combination as a result of the anti-dilution provisions contained in our amended and restated certificate of incorporation. However, our amended and restated certificate of incorporation provides, among other things, that prior to our initial business combination, we may not issue additional shares of capital stock that would entitle the holders thereof to (i) receive funds from the trust account or (ii) vote on any initial business combination. These provisions of our amended and restated certificate of incorporation, like all provisions of our amended and restated certificate of incorporation, may be amended with the approval of our stockholders. However, our executive officers and directors have agreed, pursuant to a written agreement with us, that they will not propose any amendment to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the extension date, as applicable,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General Risks</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do not believe that our principal activities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The trust account is intended as a holding place for funds pending the earliest to occur of:</w:t>
      </w:r>
    </w:p>
    <w:p>
      <w:pPr>
        <w:spacing w:after="0" w:line="2" w:lineRule="exact"/>
        <w:rPr>
          <w:sz w:val="20"/>
          <w:szCs w:val="20"/>
          <w:color w:val="auto"/>
        </w:rPr>
      </w:pPr>
    </w:p>
    <w:p>
      <w:pPr>
        <w:jc w:val="both"/>
        <w:ind w:firstLine="8"/>
        <w:spacing w:after="0" w:line="281" w:lineRule="auto"/>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completion of our initial business combination; (ii) the redemption of any public shares properly submitted in connection with a stockholder vote to amend our amended and restated certificate of incorporation (A) to modify the substance or timing of our obligation to allow redemptions in connection with our initial business combination or to redeem 100% of our public shares if we do not complete our initial business combination by May 13, 2021 or the extension date, as applicable, or (B) with respect to any other provision relating to stockholders’ rights or pre-initial business combination activity; or</w:t>
      </w:r>
    </w:p>
    <w:p>
      <w:pPr>
        <w:spacing w:after="0" w:line="2" w:lineRule="exact"/>
        <w:rPr>
          <w:rFonts w:ascii="Arial" w:cs="Arial" w:eastAsia="Arial" w:hAnsi="Arial"/>
          <w:sz w:val="16"/>
          <w:szCs w:val="16"/>
          <w:color w:val="auto"/>
        </w:rPr>
      </w:pPr>
    </w:p>
    <w:p>
      <w:pPr>
        <w:jc w:val="both"/>
        <w:ind w:firstLine="8"/>
        <w:spacing w:after="0" w:line="270" w:lineRule="auto"/>
        <w:tabs>
          <w:tab w:leader="none" w:pos="32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absent an initial business combination by May 13, 2021 or the extension date, as applicable,,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on the liquidation of our trust account and our warrants will expire worthless.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upon our executive officers and directors and their departure could adversely affect our ability to operate.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executive officers and directors, at least until we have completed our initial business combination.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requirements of being a public company may strain our resources and divert management’s attention.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of 2002 (the “Sarbanes Oxley Act”), the Dodd-Frank Wall Street Reform and Consumer Protection Act, the listing requirements of Nasdaq and other applicable securities rules and regulations, Compliance with these rules and regulations increase our legal and financial compliance costs, make some activities more difficult, time-consuming or costly and increase demand on our systems and resources, particularly after we are no longer an “emerging growth company.”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employees in the future or engage outside consultants to comply with these requirements, which will increase our costs and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for our securities may not develop, which would adversely affect the liquidity and price of our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Past performance by our management team may not be indicative of future performance of an investment in us.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our management team’s or advisors’ performance as indicative of our future performance of an investment in the company or the returns the company will, or is likely to, generate going forward. Additionally, in the course of their respective careers, members of our management team have been involved in businesses and deals that were unsuccessful. Our officers and directors have not had experience with blank check companies or special purpose acquisition companies in the past.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2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effect our initial business combination with a company with operations or opportunities outside of the United States, we would be subject to any special considerations or risks associated with companies operating in an international setting, including any of the following:</w:t>
      </w:r>
    </w:p>
    <w:p>
      <w:pPr>
        <w:spacing w:after="0" w:line="146"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not be able to adequately address these additional risks. If we were unable to do so, our operations might suffer, which may adversely impact our results of operations and financial condition.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18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Although we expect to have insurance coverage with respect to the assets and operations of our target business, such insurance coverage will be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Fraudulent or illegal activity by employees, contractors and consultants may adversely affect our business, financial condition or results of operations.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potential target business may be exposed to the risk that any of its employees, independent contractors or consultants may engage in fraudulent or other illegal activity. Misconduct by these parties could include intentional, reckless and/or negligent conduct or disclosure of unauthorized activities that violate (i) government regulations, (ii) manufacturing standards, (iii) federal, state and provincial healthcare fraud and abuse laws and regulations, or (iv) laws that require the true, complete and accurate reporting of financial information or data. It may not always be possible for the potential target business to identify and deter misconduct by its employees and other third parties, and the precautions taken by the potential target business to detect and prevent this activity may not be effective in controlling unknown or unmanaged risks or losses or in protecting the potential target business from governmental investigations or other actions or lawsuits stemming from a failure to be in compliance with such laws or regulations. If any such actions are instituted against the potential target business, and it is not successful in defending itself or asserting its rights, those actions could have a significant impact on the business of the potential target business, including the imposition of civil, criminal and administrative penalties, damages, monetary fines, contractual damages, reputational harm, diminished profits and future earnings, and curtailment of the operations of the potential target business, any of which could have a material adverse effect on the potential target’s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own any real estate or other physical properties materially important to our operation. We currently maintain our principal executive offices at 1345 Abbot Kinney Blvd., Venice, California 90291. The cost for this space is included in the $10,000 per-month aggregate fee our sponsor charges us for general and administrative services. We consider our current office space, combined with the other office space otherwise available to our executive officers, adequate for our current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On December 3, 2020, a purported stockholder of SRAC filed a complaint against us and our board of directors in the United States District Court for the Southern District of New York, in a case captioned </w:t>
      </w:r>
      <w:r>
        <w:rPr>
          <w:rFonts w:ascii="Arial" w:cs="Arial" w:eastAsia="Arial" w:hAnsi="Arial"/>
          <w:sz w:val="18"/>
          <w:szCs w:val="18"/>
          <w:i w:val="1"/>
          <w:iCs w:val="1"/>
          <w:color w:val="auto"/>
        </w:rPr>
        <w:t>Wallace v. Stable Road Acquisition Corp., et al.</w:t>
      </w:r>
      <w:r>
        <w:rPr>
          <w:rFonts w:ascii="Arial" w:cs="Arial" w:eastAsia="Arial" w:hAnsi="Arial"/>
          <w:sz w:val="18"/>
          <w:szCs w:val="18"/>
          <w:color w:val="auto"/>
        </w:rPr>
        <w:t xml:space="preserve">, No. 1:20-cv-10193, alleging that our Registration Statement on Form S-4, originally filed with the SEC on November 2, 2020, omitted certain material information regarding the Proposed Transaction with Momentus, in violation of the securities laws. As relief, the complaint seeks an injunction barring us from proceeding with a stockholder vote with respect to, or consummating, the Proposed Transaction absent additional disclosures, as well as unspecified costs and damages. On December 9, 2020, another purported stockholder of filed a complaint against us and our board of directors in the Supreme Court of the State of New York for the County of New York, in a case captioned </w:t>
      </w:r>
      <w:r>
        <w:rPr>
          <w:rFonts w:ascii="Arial" w:cs="Arial" w:eastAsia="Arial" w:hAnsi="Arial"/>
          <w:sz w:val="18"/>
          <w:szCs w:val="18"/>
          <w:i w:val="1"/>
          <w:iCs w:val="1"/>
          <w:color w:val="auto"/>
        </w:rPr>
        <w:t>Ciccotelli v. Stable Road Acquisition Corp., et al.</w:t>
      </w:r>
      <w:r>
        <w:rPr>
          <w:rFonts w:ascii="Arial" w:cs="Arial" w:eastAsia="Arial" w:hAnsi="Arial"/>
          <w:sz w:val="18"/>
          <w:szCs w:val="18"/>
          <w:color w:val="auto"/>
        </w:rPr>
        <w:t xml:space="preserve">, No. 656895/2020, raising similar allegations and seeking similar relief as the complaint from the </w:t>
      </w:r>
      <w:r>
        <w:rPr>
          <w:rFonts w:ascii="Arial" w:cs="Arial" w:eastAsia="Arial" w:hAnsi="Arial"/>
          <w:sz w:val="18"/>
          <w:szCs w:val="18"/>
          <w:i w:val="1"/>
          <w:iCs w:val="1"/>
          <w:color w:val="auto"/>
        </w:rPr>
        <w:t>Wallace</w:t>
      </w:r>
      <w:r>
        <w:rPr>
          <w:rFonts w:ascii="Arial" w:cs="Arial" w:eastAsia="Arial" w:hAnsi="Arial"/>
          <w:sz w:val="18"/>
          <w:szCs w:val="18"/>
          <w:color w:val="auto"/>
        </w:rPr>
        <w:t xml:space="preserve"> action.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January 2021, the SEC’s Division of Enforcement informed SRAC that it was investigating certain disclosures made in filings with the SEC, including in connection with the Business Combination. SRAC is fully cooperating with the SEC’s investigation.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outcome of these matters cannot be determined at this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set forth above, to the knowledge of our management, there is no material litigation currently pending against us, any of our officers or directors in their capacity as such or against any of our property.</w:t>
      </w:r>
    </w:p>
    <w:p>
      <w:pPr>
        <w:spacing w:after="0" w:line="166" w:lineRule="exact"/>
        <w:rPr>
          <w:sz w:val="20"/>
          <w:szCs w:val="20"/>
          <w:color w:val="auto"/>
        </w:rPr>
      </w:pPr>
    </w:p>
    <w:p>
      <w:pPr>
        <w:jc w:val="center"/>
        <w:ind w:right="876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units, Class A common stock and warrants are each traded on the Nasdaq Capital Market under the symbols “SRACU,” “SRAC” and “SRACW,” respectively. Our units commenced public trading on November 8, 2019, and our Class A common stock and warrants commenced separate public trading on December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 2021, there were three holders of record of our units, one holder of record of our Class A common stock and one holder of record of our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The following discussion and analysis of the Company’s financial condition and results of operations should be read in conjunction with our audited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blank check company incorporated as a Delaware corporation and formed for the purpose of effecting a merger, capital stock exchange, asset acquisition, stock purchase, reorganization or similar business combination (“Business Combination”) with one or more businesses. We intend to effectuate our initial Business Combination using cash from the proceeds our initial public offering (“Initial Public Offering”) and the private placement of the placement units (“Placement Units”), the proceeds of the sale of our shares in connection with our initial Business Combination (pursuant to backstop agreements we may enter into), shares issued to the owners of the target, debt issued to banks or other lenders or the owners of the target, or a combination of the foregoing.</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our initial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with Momentus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October 7, 2020, we entered into the Merger Agreement with First Merger Sub, Second Merger Sub and Momentus. The Merger Agreement, the Mergers and the other transactions contemplated by the Merger Agreement are referred to herein as the “Proposed Transaction”.</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$1,131,000,000, minus Momentus’ indebtedness for borrowed money as of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7, 2020, we entered into Subscription Agreements with certain investors pursuant to which the investors have agreed to purchase an aggregate of 17,500,000 shares of Class A common stock in a private placement for $10.00 per share (“Private Placement”). The proceeds from the Private Placement will be partially used to fund the Repurchase and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Concurrently with the execution of the Merger Agreement, PML, SRAC and Momentus entered into a Repurchase Agreement pursuant to which, amongst other things, SRAC has agreed to repurchase a certain number of shares of Class A common stock from PML, at a purchase price of $10.00 per share, immediately following the Closing (the “Repurchase”). The Repurchase is contingent on the amount of available cash SRAC has at the Closing from</w:t>
      </w:r>
    </w:p>
    <w:p>
      <w:pPr>
        <w:spacing w:after="0" w:line="2" w:lineRule="exact"/>
        <w:rPr>
          <w:sz w:val="20"/>
          <w:szCs w:val="20"/>
          <w:color w:val="auto"/>
        </w:rPr>
      </w:pPr>
    </w:p>
    <w:p>
      <w:pPr>
        <w:jc w:val="both"/>
        <w:ind w:firstLine="8"/>
        <w:spacing w:after="0" w:line="251" w:lineRule="auto"/>
        <w:tabs>
          <w:tab w:leader="none" w:pos="2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Private Placement (and any alternative financing arranged by SRAC and Momentus in the event the Private Placement becomes unavailable) and (b) the funds in SRAC’s trust account (after taking into account payments required to satisfy SRAC’s stockholder redemptions), after further deducting the amount of SRAC’s transaction expenses and Momentus’ transaction expenses (“</w:t>
      </w:r>
      <w:r>
        <w:rPr>
          <w:rFonts w:ascii="Arial" w:cs="Arial" w:eastAsia="Arial" w:hAnsi="Arial"/>
          <w:sz w:val="18"/>
          <w:szCs w:val="18"/>
          <w:u w:val="single" w:color="auto"/>
          <w:color w:val="auto"/>
        </w:rPr>
        <w:t>Net Proceeds</w:t>
      </w:r>
      <w:r>
        <w:rPr>
          <w:rFonts w:ascii="Arial" w:cs="Arial" w:eastAsia="Arial" w:hAnsi="Arial"/>
          <w:sz w:val="18"/>
          <w:szCs w:val="18"/>
          <w:color w:val="auto"/>
        </w:rPr>
        <w:t xml:space="preserve">”) being in excess of $265 million. If Net Proceeds exceed $265,000,000 but are less than $280,000,000, the number of shares of Class A common stock subject to the Repurchase will be equal to the amount by which Net Proceeds exceed $250 million,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$10.00. In the event Net Proceeds are in excess of $280,000,000, the number of shares of Class A common stock subject to the Repurchase will be equal to $30,000,000,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$10.00. At the closing of the Repurchase, SRAC will be entitled to deduct from such cash payment an amount equal to 3.3% of such cash payment (representing PML’s obligation to pay Momentus a portion of its transaction expenses).</w:t>
      </w:r>
    </w:p>
    <w:p>
      <w:pPr>
        <w:spacing w:after="0" w:line="1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additional information regarding the Proposed Transaction, Momentus, the Merger Agreement, the Subscription Agreements, the Repurchase Agreement and the other agreements entered into in connection with the Proposed Transaction, including risk and uncertainties with respect to Momentus and the parties’ ability to consummate the Proposed Transaction, see the Registration Statement on Form S-4, including a proxy statement/consent solicitation statement/prospectus included therein, initially filed by SRAC with the SEC on November 2, 2020, as subsequently amended.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our Initial Public Offering, described below, identifying a target for our initial Business Combination and we do not expect to generate any operating revenues until after completion of our initial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completing our initial Business Combination, including the Proposed Transaction with Momentus.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2020, we had net loss of $2,765,450, which consists of operating costs of $3,720,975 and a provision for income taxes of $178,866, offset by interest income on marketable securities held in the Trust Account of $1,134,391.</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period from May 28, 2019 (date of inception) through December 31, 2019, we had net income of $62,359, which consists of interest income on marketable securities held in the trust account of $346,011, offset by operating costs of $236,085 and a provision for income taxes of $47,567.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13, 2019, we consummated our Initial Public Offering of 17,250,000 Units, which included the full exercise by the underwriter of the over-allotment option to purchase an additional 2,250,000 Units, at $10.00 per Unit, generating gross proceeds of $172,500,000. Simultaneously with the closing of our Initial Public Offering, we consummated the sale of 545,000 Placement Units to the sponsor and Cantor at a price of $10.00 per Placement Unit, generating gross proceeds of $5,450,000.</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Initial Public Offering, the exercise of the over-allotment option and the sale of the Placement Units, a total of $172,500,000 was placed in the Trust Account. We incurred $10,924,857 in transaction costs, including $3,450,000 of underwriting fees, $6,900,000 of deferred underwriting fees and $574,857 of other offering costs.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2020, cash used in operating activities was $1,751,026. Net loss of $2,765,450 was impact by interest earned on marketable securities held in the Trust Account of $1,134,391 and changes in operating assets and liabilities, which provided $2,148,815 of cash from operating activities.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period from May 28, 2019 (inception) through December 31, 2019, cash used in operating activities was $356,959. Net income of $62,359 was offset by interest earned on marketable securities held in the trust account of $346,011 and changes in operating assets and liabilities, which used $73,307 of cash from operating activities.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2020, we had cash and marketable securities in the Trust Account of $173,107,749. We intend to use substantially all of the funds held in the Trust Account, including any amounts representing interest earned on the Trust Account (less deferred underwriting commissions) to complete our initial Business Combination. We may withdraw interest to pay taxes. During the year ended December 31, 2020, we withdrew $872,653 of interest income from the Trust Account principally to pay for federal and state income taxes. To the extent that our capital stock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 had cash of $214,811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our initial Business Combination.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fund working capital deficiencies or finance transaction costs in connection with our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units identical to the Placement Units, at a price of $10.00 per unit at the option of the lender.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90" w:lineRule="auto"/>
        <w:rPr>
          <w:sz w:val="20"/>
          <w:szCs w:val="20"/>
          <w:color w:val="auto"/>
        </w:rPr>
      </w:pPr>
      <w:r>
        <w:rPr>
          <w:rFonts w:ascii="Arial" w:cs="Arial" w:eastAsia="Arial" w:hAnsi="Arial"/>
          <w:sz w:val="16"/>
          <w:szCs w:val="16"/>
          <w:color w:val="auto"/>
        </w:rPr>
        <w:t>If our estimate of the costs of identifying a target business, undertaking in-depth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complete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2021, Stable Road Capital and DIBALYD Investments, an affiliate of Nala Investments, each loaned $300,000 to us pursuant to non-interest bearing promissory notes in order to finance transaction and working capital costs. The promissory notes mature upon the earlier of June 30, 2021 or the consummation of our initial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our assessment of going concern considerations in accordance with Financial Accounting Standard Board’s Accounting Standards Update (“ASU”) 2014-15, “Disclosures of Uncertainties about an Entity’s Ability to Continue as a Going Concern,” we have until May 13, 2021 or the extension date, as applicable, to consummate a Business Combination. It is uncertain that we will be able to consummate a Business Combination by this time. If a Business Combination is not consummated by this date, there will be a mandatory liquidation and subsequent dissolution. Management has determined that the mandatory liquidation, should a Business Combination not occur, and potential subsequent dissolution raises substantial doubt about our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an affiliate of our sponsor a monthly fee of $10,000 for office space, utilities and administrative support provided to the Company. We began incurring these fees on November 8, 2019 and will continue to incur these fees monthly until the earlier of the completion of the initial Business Combination and the Company’s liquidation.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underwriter is entitled to deferred commissions of $0.40 per unit of the gross proceeds from the Units sold in the Initial Public Offering, or $6,900,000 in the aggregate. The deferred commissions will become payable to the underwriter from the amounts held in the Trust Account solely in the event that we complete a Business Combination, subject to the terms of the underwriting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accounts for our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shares of Class A common stock subject to possible redemption are presented as temporary equity, outside of the stockholders’ equity section of our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common share, basic and diluted for Class A redeemable common stock is calculated by dividing the interest income earned on the Trust Account, net of applicable taxes, by the weighted average number of shares of Class A redeemable common stock outstanding for the period. Net loss per common share, basic and diluted for and Class B non-redeemable common stock is calculated by dividing net income (loss) adjusted for net income attributable to Class A redeemable common stock, by the weighted average number of shares of Class B non-redeemable common stock outstanding for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 were not subject to any market or interest rate risk. Following the consummation of our Initial Public Offering, the net proceeds of our Initial Public Offering, including amounts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16 of this Report and is included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72"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defined in Rules 13a-15(f) and 15d-15(f) under the Exchange Act. Our internal control over financial reporting is designed to provide reasonable assurance regarding the reliability of financial reporting and the presentation of financial statements for external purposes in accordance with U.S. generally accepted accounting principles. Internal control over financial reporting includes those policies and procedures that:</w:t>
      </w:r>
    </w:p>
    <w:p>
      <w:pPr>
        <w:spacing w:after="0" w:line="187" w:lineRule="exact"/>
        <w:rPr>
          <w:sz w:val="20"/>
          <w:szCs w:val="20"/>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preparation of this Report, our management assessed the effectiveness of our internal control over financial reporting as of December 31, 2020. In making this assessment, it used the criteria set forth by the Committee of Sponsoring Organizations of the Treadway Commission (“COSO”) in Internal Control—Integrated Framework (2013 framework). Based on such assessment, our management concluded that, as of December 31, 2020, our internal control over financial reporting was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report does not include an attestation report of our independent registered public accounting firm due to a transition period established by the rules of the SEC for newly public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of this report, our directors and officers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74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Brian Kabot</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James Norris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Juan Manuel Quiroga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Chief Investment Officer and Secretary</w:t>
            </w:r>
          </w:p>
        </w:tc>
      </w:tr>
      <w:tr>
        <w:trPr>
          <w:trHeight w:val="216"/>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Marc Lehmann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Kellen O’Keefe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James Hofmockel</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 Kono</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Brian Kabot </w:t>
      </w:r>
      <w:r>
        <w:rPr>
          <w:rFonts w:ascii="Arial" w:cs="Arial" w:eastAsia="Arial" w:hAnsi="Arial"/>
          <w:sz w:val="16"/>
          <w:szCs w:val="16"/>
          <w:color w:val="auto"/>
        </w:rPr>
        <w:t>has served as our Chief Executive Officer and Chairman since inception. Mr. Kabot has over 19 years of principal investing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and has served as Chief Investment Officer of Stable Road Capital, a single-family office investment vehicle based in Los Angeles, California, since July 2017. In July 2019, Mr. Kabot was named a Strategic Advisor to The Cannabis ETF (NYSE: THCX), a newly-launched cannabis-oriented exchange-traded fund managed by Innovation Shares LLC. Since December 2018, Mr. Kabot has been a director of the Treehouse Real Estate Investment Trust, a private real estate investment trust, where he currently serves as the Chairman of the Investment Committee. Mr. Kabot has also served on the board of directors of Old Pal, LLC, a private cannabis brand company, since June 2018, and on the board of directors of Grenco Science LLC, a private developer of vape pens and portable vaporizers, since July 2019. From May 2016 to July 2017, Mr. Kabot was the Director of Research at Eschaton Opportunities Fund Management LP, a management company for two global value hedge funds. From January 2011 to April 2016, Mr. Kabot served as a partner and Deputy Portfolio Manager of Riverloft Capital Management L.P., or Riverloft Capital, a management company for an event-driven hedge fund. From March 2009 to December 2010, he served as a managing director at Gulf Coast Capital, a single-family office investment vehicle. From August 2006 to January 2009, Mr. Kabot ran the industrials, materials, and energy vertical for Sun Capital Partners’ cross cap structure/activist hedge fund. From February 2005 to July 2006, he served as a senior analyst at Reservoir Capital Group. Mr. Kabot also worked as an associate at Questor Management Company from May 2003 to February 2005, where he focused on acquiring distressed and bankrupt companies in the industrials, materials and energy sectors. From June 2000 to April 2003, Mr. Kabot served as an analyst in the merchant banking partners group at Donaldson, Lufkin &amp; Jenrette. Mr. Kabot received a Bachelor of Science in Hotel and Restaurant Administration from Cornell University. Mr. Kabot is well qualified to serve as a director due to his extensive investing and advisory experience in numerous industries.</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James Norris </w:t>
      </w:r>
      <w:r>
        <w:rPr>
          <w:rFonts w:ascii="Arial" w:cs="Arial" w:eastAsia="Arial" w:hAnsi="Arial"/>
          <w:sz w:val="17"/>
          <w:szCs w:val="17"/>
          <w:color w:val="auto"/>
        </w:rPr>
        <w:t>has served as our Chief Financial Officer since inception and as a director. Mr. Norris has more than 18 years of experience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management industry. Since November 2018, Mr. Norris has served as the Chief Financial Officer of Stable Road Capital, LLC. From October 2017 to September 2018, Mr. Norris served as the Chief Financial Officer of Cycad Management LLC, a single family investment office. From April 2013 to October 2017, Mr. Norris served as the Chief Financial Officer and Chief Compliance Officer of Blue Jay Capital Management LLC, a SEC-registered investment management firm focused on equity investments in the healthcare sector. From September 2012 to April 2013, Mr. Norris served as the Controller of Kennedy-Wilson Holdings Inc. (NYSE:KW), a global real estate company. From January 2010 to July 2012, Mr. Norris served as the Controller and Chief Compliance Officer of Expo Capital Management LLC, a SEC-registered investment management firm. From September 2004 to July 2009, Mr. Norris served as Manager at PriceWaterhouseCoopers in the United Kingdom and the United States, specializing in investment management. From September 2001 to August 2004, Mr. Norris served as an accountant at Ainsworth’s Chartered Accountants in the United Kingdom. Mr. Norris received a Bachelor of Arts in Accounting and Finance from the University of Glamorgan in the United Kingdom. He is a certified public accountant and is a fellow member of the Association of Chartered Certified Accountants. Mr. Norris is well qualified to serve as a director due to his extensive investment management experience.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Juan Manuel Quiroga </w:t>
      </w:r>
      <w:r>
        <w:rPr>
          <w:rFonts w:ascii="Arial" w:cs="Arial" w:eastAsia="Arial" w:hAnsi="Arial"/>
          <w:sz w:val="18"/>
          <w:szCs w:val="18"/>
          <w:color w:val="auto"/>
        </w:rPr>
        <w:t>has served as our Chief Investment Officer since inception. Mr. Quiroga has over 20 years of experience in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sector, including 14 years of principal investing experience. Since August 2015, Mr. Quiroga has served as Chief Investment Officer of Nala Investments. From September 2007 to August 2015, Mr. Quiroga served as Senior Vice President of Darby Private Equity. From August 2005 to August 2007, Mr. Quiroga served as a Vice President of Market Intelligence at General Electric Capital Solutions. Prior to that, from 1996 to 1998 and from 2000 to 2003, Mr. Quiroga worked for Grupo Financiero Banorte in Mexico City and New York City, where he collaborated on the creation of an asset management and financial derivatives division. Mr. Quiroga currently serves on the board of directors of Acrecent Financial Corporation, Cobiscopr and Good Media Company. Mr. Quiroga received a Bachelor of Arts in Management, Finance and International Business from the Universidad Panamericana in Mexico, a Graduate Diploma in Finance from Universis Pompeu Fabra in Spain and a Master of Business Administration from the University of Chicago Booth School of Business.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Marc Lehmann </w:t>
      </w:r>
      <w:r>
        <w:rPr>
          <w:rFonts w:ascii="Arial" w:cs="Arial" w:eastAsia="Arial" w:hAnsi="Arial"/>
          <w:sz w:val="18"/>
          <w:szCs w:val="18"/>
          <w:color w:val="auto"/>
        </w:rPr>
        <w:t>is one of our independent directors. Mr. Lehman has served as the Managing Member of Flamingo Drive Partners, LLC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predecessor, an investment firm involved in public markets, real estate and start-up investing, since July 2016. Since November 2018, Mr. Lehmann has served as a director of Green Growth Brands Inc. (CSE:GGB; OTCQB:GGBXF), a producer and seller of cannabis and CBD products. Mr. Lehmann served as the General Partner of Riverloft Capital from January 2011 to June 2016. From May 2002 to June 2010, Mr. Lehmann served as a Partner and Director of Research at JANA Partners LLC, a hedge fund. From July 1999 to May 2002, he served as an analyst at Appaloosa Management LP, an opportunistic hedge fund portfolio. He began his career as an analyst at Morgan Stanley (February 1995-September 2005) and Lehman Brothers Holdings Inc. (February 1994-February 1995). He then served as a lead analyst at SAC Capital, LP from September 1995 to June 1997. Mr. Lehmann received a Bachelor of Science in Finance and International Business from New York University and a Master of Business Administration from The Wharton School at the University of Pennsylvania. Mr. Lehmann is well qualified to serve as a director due to his extensive investing and advisory experience in the cannabis industry.</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Kellen O’Keefe </w:t>
      </w:r>
      <w:r>
        <w:rPr>
          <w:rFonts w:ascii="Arial" w:cs="Arial" w:eastAsia="Arial" w:hAnsi="Arial"/>
          <w:sz w:val="16"/>
          <w:szCs w:val="16"/>
          <w:color w:val="auto"/>
        </w:rPr>
        <w:t>is one of our independent directors. Since July 2019, Mr. O’Keefe has served as the Chief Strategy Officer of Flower One</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Inc. (CSE:FONE; OTCQX:FLOOF), a cannabis cultivation, production, processing and custom packaging company. Since January 2013, he has served as an advisor to MedPOINT Management, Inc., which provides managed care management services to independent physician associations and hospitals. From January 2016 to June 2019, Mr. O’Keefe served as a partner and Senior Vice President of Business Development at MedMen Enterprises, which owns and operates cannabis facilities in the greater Los Angeles area. Between March 2015 and November 2015, he served as Director of Business Development at Engage BDR, an advertising company. From September 2011 to September 2012, Mr. O’Keefe served as the Director of Business Development of Rocket Frog Games LLC, a B2B social casino provider. From May 2008 to September 2011, Mr. O’Keefe was the West Coast Account Director for Voice Media Group, a media and technology company. Mr. O’Keefe is a co-Founder of Learn to Ride, which develops experiences for celebrities and children suffering from chronic and/or life threatening conditions. Mr. O’Keefe received a Bachelor of Science in Business Administration and Management from University of Arizona. Mr. O’Keefe is well qualified to serve as a director due to his extensive business development experience.</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James Hofmockel </w:t>
      </w:r>
      <w:r>
        <w:rPr>
          <w:rFonts w:ascii="Arial" w:cs="Arial" w:eastAsia="Arial" w:hAnsi="Arial"/>
          <w:sz w:val="17"/>
          <w:szCs w:val="17"/>
          <w:color w:val="auto"/>
        </w:rPr>
        <w:t>is one of our independent directors. Mr. Hofmockel has over 30 years of experience in the financial sector as an entrepreneur,</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 and advisor, including nearly 20 years of principal investing and completion of numerous capital-raising and M&amp;A transactions in the public and private markets. Since July 2007, Mr. Hofmockel has been the managing partner of Hofmockel Investments, LLC, and since September 2018, (312) Investments, LLC, both private investment and financial advisory firms. From September 2000 to June 2009, Mr. Hofmockel served as a Principal in the private equity firm Cardinal Growth, L.P., where he led a number of investments and was a board member of several portfolio companies, and co-founded Diamond Communication Solutions, Inc. From 1998 to 2000, he served as a Vice President at Resource Financial Corporation, an investment banking and merchant banking firm, and Mr. Hofmockel worked in investment banking in the financial institutions groups of Salomon Brothers (1996–1998) and Bear Stearns (1994–1996). Between December 1988 and July 1992, Mr. Hofmockel was a certified public accountant working in KPMG’s financial services group in tax and consulting. Mr. Hofmockel received a Bachelor of Science in Accounting from Purdue University and a Master of Business Administration from the University of Chicago Booth School of Business. Mr. Hofmockel is well qualified to serve as a director due to his extensive investing and advisory experience.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94" w:lineRule="auto"/>
        <w:rPr>
          <w:sz w:val="20"/>
          <w:szCs w:val="20"/>
          <w:color w:val="auto"/>
        </w:rPr>
      </w:pPr>
      <w:r>
        <w:rPr>
          <w:rFonts w:ascii="Arial" w:cs="Arial" w:eastAsia="Arial" w:hAnsi="Arial"/>
          <w:sz w:val="16"/>
          <w:szCs w:val="16"/>
          <w:b w:val="1"/>
          <w:bCs w:val="1"/>
          <w:color w:val="auto"/>
        </w:rPr>
        <w:t>Ann Kono</w:t>
      </w:r>
      <w:r>
        <w:rPr>
          <w:rFonts w:ascii="Arial" w:cs="Arial" w:eastAsia="Arial" w:hAnsi="Arial"/>
          <w:sz w:val="16"/>
          <w:szCs w:val="16"/>
          <w:color w:val="auto"/>
        </w:rPr>
        <w:t>, is one of our independent directors. Ms. Kono has more than 20 years of experience in the financial services industry. Ms. Kono is</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the Chief Executive Officer of the Leda Advisory Group, a strategy consulting firm focusing on growth-stage startups that she founded in January 2019. From April 2007 to December 2018, Ms. Kono was a senior executive and most recently a partner and Chief Information and Risk Officer of Ares Management LLC (NYSE: ARES). Ms. Kono currently serves on the board of directors of Treehouse Real Estate Investment Trust, a private real estate investment trust. Ms. Kono earned a bachelor’s degree in business administration from Boston University and a master’s degree in business administration from the University of Southern California. Ms. Kono is well qualified to serve as a director due to her extensive advisory experience.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Classes and Terms of Office of Officers and Directors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board of directors consists of six directors and is divided into three classes with only one class of directors being elected in each year and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Class I directors, consisting of Messrs. O’Keefe and Hofmockel and Ms. Kono, will expire at our first annual meeting of stockholders. The term of office of the Class II of directors, consisting of Messrs. Norris and Lehmann, will expire at the second annual meeting of stockholders. The term of office of the Class III directors, consisting of Mr. Kabot, will expire at the third annual meeting of stockholders.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President, Vice Presidents, Secretary, Treasurer, Assistant Secretaries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Messrs. Lehmann, O’Keefe and Hofmockel and Ms. Kono are “independent directors” as defined in the Nasdaq listing standards and applicable SEC rules. Our independent directors will have regularly scheduled meetings at which only independent directors are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None of our officers has received any cash compensation for services rendered to us. Commencing with our initial public offering in November 2019, we have agreed to pay an affiliate of our sponsor a total of $10,000 per month for office space, utilities and administrative support. Upon completion of our initial business combination or our liquidation, we will cease paying these monthly fees. Other than as set forth elsewhere in this report, no compensation of any kind, including any finder’s fee, reimbursement, consulting fee or monies in respect of any payment of a loan, will be paid by us to our sponsor, officers, directors or advisors or any affiliate of our sponsor, officers, directors or advisors,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advisors or our or their affiliates. Any such payments prior to an initial business combination will be made using funds to be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an audit committee of the board of directors. Messrs. Lehmann, O’Keefe and Hofmockel serve as members of our audit committee, and Mr. Lehmann chairs the audit committee. Under the Nasdaq listing standards and applicable SEC rules, we are required to have at least three members of the audit committee, all of whom must be independent. Each of Messrs. Lehmann, O’Keefe and Hofmockel meet the independent director standard under Nasdaq listing standards and under Rule 10-A-3(b)(1) of the Exchange Act.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Lehmann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an audit committee charter, which details the principal functions of the audit committee, including:</w:t>
      </w:r>
    </w:p>
    <w:p>
      <w:pPr>
        <w:spacing w:after="0" w:line="225"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980" w:right="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established a compensation committee of the board of directors. Messrs. Lehmann, O’Keefe and Hofmockel serve as members of our compensation committee. Under the Nasdaq listing standards and applicable SEC rules, we are required to have at least two members of the compensation committee, all of whom must be independent. Messrs. Lehmann, O’Keefe and Hofmockel are independent and Mr. O’Keefe chairs the compensation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adopted a compensation committee charter, which details the principal functions of the compensation committee, including:</w:t>
      </w:r>
    </w:p>
    <w:p>
      <w:pPr>
        <w:spacing w:after="0" w:line="225" w:lineRule="exact"/>
        <w:rPr>
          <w:sz w:val="20"/>
          <w:szCs w:val="20"/>
          <w:color w:val="auto"/>
        </w:rPr>
      </w:pPr>
    </w:p>
    <w:p>
      <w:pPr>
        <w:jc w:val="both"/>
        <w:ind w:left="980" w:hanging="324"/>
        <w:spacing w:after="0" w:line="263"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as indicated above, other than the payment to an affiliate of our sponsor of $10,000 per month, for up to 18 months, for office space, utilities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3" w:name="page64"/>
    <w:bookmarkEnd w:id="63"/>
    <w:p>
      <w:pPr>
        <w:jc w:val="both"/>
        <w:ind w:firstLine="648"/>
        <w:spacing w:after="0" w:line="259"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Messrs. Lehmann, O’Keefe and Hofmockel and Ms. Kono. In accordance with Rule 5605 of the Nasdaq rules, all such directors are independent. As there is no standing nominating committee, we do not have a nominating committee charter in place.</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Documents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filed a copy of our form of Code of Ethics, our audit committee charter, our nominating committee charter and compensation committee charter as exhibits to the registration statement filed in connection with our initial public offering.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a registered class of our equity securities to file with the SEC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 Based solely on our review of such forms furnished to us and written representations from certain reporting persons, we believe that all reports applicable to our executive officers, directors and greater than 10% beneficial owners were filed in a timely manner in accordance with Section 16(a) of the Exchange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Director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None of our officers has received any cash compensation for services rendered to us. We pay an affiliate of our sponsor a total of $10,000 per month for office space, utilities and administrative support. Upon completion of our initial business combination or our liquidation, we will cease paying these monthly fees. No compensation of any kind, including any finder’s fee, reimbursement, consulting fee or monies in respect of any payment of a loan, will be paid by us to our sponsor, officers and directors, or any affiliate of our sponsor or officers, prior to, or in connection with any services rendered in order to effectuate, the consummation of our initial business combination (regardless of the type of transaction that it is). However, these individuals are reimbursed for any out-of-pocket expenses incurred in connection with activities on our behalf such as identifying potential target businesses and performing due diligence on suitable business combinations. Any such payments prior to an initial business combination will be made using funds held outside the trust account. Other than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1, 2021 based on information obtained from the persons named below, with respect to the beneficial ownership of shares of our common stock, by:</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executive officers and directors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firstLine="648"/>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9"/>
              </w:rPr>
              <w:t>Class A Common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Class B Common</w:t>
            </w: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9"/>
              </w:rPr>
              <w:t>Stock</w:t>
            </w:r>
          </w:p>
        </w:tc>
        <w:tc>
          <w:tcPr>
            <w:tcW w:w="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b w:val="1"/>
                <w:bCs w:val="1"/>
                <w:color w:val="auto"/>
                <w:w w:val="89"/>
              </w:rPr>
              <w:t>Stock</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440"/>
              <w:spacing w:after="0" w:line="202" w:lineRule="exact"/>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3"/>
          </w:tcPr>
          <w:p>
            <w:pPr>
              <w:jc w:val="center"/>
              <w:ind w:right="440"/>
              <w:spacing w:after="0" w:line="202" w:lineRule="exact"/>
              <w:rPr>
                <w:sz w:val="20"/>
                <w:szCs w:val="20"/>
                <w:color w:val="auto"/>
              </w:rPr>
            </w:pPr>
            <w:r>
              <w:rPr>
                <w:rFonts w:ascii="Arial" w:cs="Arial" w:eastAsia="Arial" w:hAnsi="Arial"/>
                <w:sz w:val="18"/>
                <w:szCs w:val="18"/>
                <w:b w:val="1"/>
                <w:bCs w:val="1"/>
                <w:color w:val="auto"/>
                <w:w w:val="93"/>
              </w:rPr>
              <w:t>Number of</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Shares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Name and Address of Beneficial Owner </w:t>
            </w:r>
            <w:r>
              <w:rPr>
                <w:rFonts w:ascii="Arial" w:cs="Arial" w:eastAsia="Arial" w:hAnsi="Arial"/>
                <w:sz w:val="29"/>
                <w:szCs w:val="29"/>
                <w:b w:val="1"/>
                <w:bCs w:val="1"/>
                <w:color w:val="auto"/>
                <w:vertAlign w:val="superscript"/>
              </w:rPr>
              <w:t>(1)</w:t>
            </w:r>
          </w:p>
        </w:tc>
        <w:tc>
          <w:tcPr>
            <w:tcW w:w="100" w:type="dxa"/>
            <w:vAlign w:val="bottom"/>
            <w:vMerge w:val="restart"/>
          </w:tcPr>
          <w:p>
            <w:pPr>
              <w:spacing w:after="0"/>
              <w:rPr>
                <w:sz w:val="18"/>
                <w:szCs w:val="18"/>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Beneficially</w:t>
            </w:r>
          </w:p>
        </w:tc>
        <w:tc>
          <w:tcPr>
            <w:tcW w:w="600" w:type="dxa"/>
            <w:vAlign w:val="bottom"/>
          </w:tcPr>
          <w:p>
            <w:pPr>
              <w:ind w:left="140"/>
              <w:spacing w:after="0"/>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Beneficially</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77"/>
        </w:trPr>
        <w:tc>
          <w:tcPr>
            <w:tcW w:w="58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Class</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6"/>
              </w:rPr>
              <w:t>Owned</w:t>
            </w:r>
            <w:r>
              <w:rPr>
                <w:rFonts w:ascii="Arial" w:cs="Arial" w:eastAsia="Arial" w:hAnsi="Arial"/>
                <w:sz w:val="29"/>
                <w:szCs w:val="29"/>
                <w:b w:val="1"/>
                <w:bCs w:val="1"/>
                <w:color w:val="auto"/>
                <w:w w:val="86"/>
                <w:vertAlign w:val="superscript"/>
              </w:rPr>
              <w:t>(2)</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Class</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SRC-NI Holdings, LLC</w:t>
            </w:r>
            <w:r>
              <w:rPr>
                <w:rFonts w:ascii="Arial" w:cs="Arial" w:eastAsia="Arial" w:hAnsi="Arial"/>
                <w:sz w:val="29"/>
                <w:szCs w:val="29"/>
                <w:color w:val="auto"/>
                <w:vertAlign w:val="superscript"/>
              </w:rPr>
              <w:t>(1) (2)</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495,000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4,136,029</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59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Brian Kabot</w:t>
            </w:r>
            <w:r>
              <w:rPr>
                <w:rFonts w:ascii="Arial" w:cs="Arial" w:eastAsia="Arial" w:hAnsi="Arial"/>
                <w:sz w:val="29"/>
                <w:szCs w:val="29"/>
                <w:color w:val="auto"/>
                <w:vertAlign w:val="superscript"/>
              </w:rPr>
              <w:t>(1)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495,000</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4,136,029</w:t>
            </w:r>
          </w:p>
        </w:tc>
        <w:tc>
          <w:tcPr>
            <w:tcW w:w="2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59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Juan Manuel Quiroga</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495,000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4,136,029</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57"/>
        </w:trPr>
        <w:tc>
          <w:tcPr>
            <w:tcW w:w="59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Edward K. Freedman</w:t>
            </w:r>
            <w:r>
              <w:rPr>
                <w:rFonts w:ascii="Arial" w:cs="Arial" w:eastAsia="Arial" w:hAnsi="Arial"/>
                <w:sz w:val="29"/>
                <w:szCs w:val="29"/>
                <w:color w:val="auto"/>
                <w:vertAlign w:val="superscript"/>
              </w:rPr>
              <w:t>(1)(3)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495,000</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4,312,500</w:t>
            </w:r>
          </w:p>
        </w:tc>
        <w:tc>
          <w:tcPr>
            <w:tcW w:w="2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Norris</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Marc Lehmann</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Kellen O’Keefe</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James Hofmockel</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 Kono</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All executive officers and directors as a group (7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495,000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4,312,500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59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HGC Investment Management Inc.</w:t>
            </w:r>
            <w:r>
              <w:rPr>
                <w:rFonts w:ascii="Arial" w:cs="Arial" w:eastAsia="Arial" w:hAnsi="Arial"/>
                <w:sz w:val="29"/>
                <w:szCs w:val="29"/>
                <w:color w:val="auto"/>
                <w:vertAlign w:val="superscript"/>
              </w:rPr>
              <w:t>(4)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1,487,170</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8.4%</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9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683 Capital Management, LLC</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962,892</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5.4%</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Susquehanna Securities, LLC</w:t>
            </w:r>
            <w:r>
              <w:rPr>
                <w:rFonts w:ascii="Arial" w:cs="Arial" w:eastAsia="Arial" w:hAnsi="Arial"/>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1,171,717</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6.6%</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75"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SRC-NI Holdings, LLC, our sponsor, is the record holder of the shares reported herein. Each of our officers and directors is, directly or indirectly, a member of our sponsor. The business address of our sponsor is 1345 Abbot Kinney Blvd., Venice, California 90291. Our sponsor’s board of managers is comprised of Edward K. Freedman, Brian Kabot and Juan Manuel Quiroga. Consequently, each of these individuals may be deemed the beneficial owner of the founder shares held by our sponsor and shares voting and dispositive control over such securities. Each of these individuals disclaims beneficial ownership over any securities owned by our sponsor in which he does not have any pecuniary interest.</w:t>
      </w:r>
    </w:p>
    <w:p>
      <w:pPr>
        <w:spacing w:after="0" w:line="17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shares of Class B common stock, as well as placement shares. Founder shares are convertible into shares of Class A common stock on a one-for-one basis, subject to adjustment.</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176,471 founder shares held by SRAC PIPE Partners LLC (“SRAC Partners”). Stable Road Capital LLC is the managing member of SRAC Partners, and Edward Freedman is the sole member of Stable Road Capital LLC. As such, Mr. Freedman may be deemed to possess beneficial ownership of the securities held directly by SRAC Partners. Mr. Freedman disclaims any beneficial ownership of the securities held directly by SRAC Partners other than to the extent of any pecuniary interest he may have therein.</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According to Schedule 13G filed with the SEC on February 14, 2020 by HGC Investment Management Inc. HGC Investment Management Inc. serves as the investment manager to HGC Arbitrage Fund LP, an Ontario limited partnership (the “Fund”), with respect to the Class A common stock held by HGC Investment Management Inc. on behalf of the Fund. The business address of HGC Investment Management Inc. is 366 Adelaide, Suite 601, Toronto, Ontario M5V 1R9, Canada.</w:t>
      </w:r>
    </w:p>
    <w:p>
      <w:pPr>
        <w:spacing w:after="0" w:line="18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According to a Schedule 13G/A filed with the SEC on February 16, 2021 by 683 Capital Management, LLC, 683 Capital Partners, LP and Ari Zweiman. The business address of each of the foregoing is 3 Columbus Circle, Suite 2205, New York, NY 10019.</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According to a Schedule 13G filed with the SEC on February 16, 2021 by Susquehanna Securities, LLC. The business address of the foregoing is 401 E. City Avenue Suite 220, Bala Cynwyd, PA 19004.</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The table above does not include the shares of common stock underlying the private placement warrants held by our sponsor because these securities are not exercisable within 60 days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2019, we issued an aggregate of 4,312,500 founder shares to our sponsor for an aggregate purchase price of $25,000 in cash, or approximately $0.006 per share. The number of founder shares issued was determined based on the expectation that such founder shares would represent 20% of the outstanding shares upon completion of our initial public offering (excluding the placement units and underlying securities). The founder shares (including the Class A common stock issuable upon exercise thereof) may not, subject to certain limited exceptions, be transferred, assigned or sold by the holder.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sponsor and Cantor purchased an aggregate of 545,000 placement units at a price of $10.00 per unit, for a purchase price of $5,450,000. There will be no redemption rights or liquidating distributions from the trust account with respect to the founder shares, placement shares or placement warrants, which will expire worthless if we do not consummate a business combination within the allotted 18 month period.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pay Stable Road Capital, LLC, an affiliate of our sponsor, a total of $10,000 per month for office space, utilities and administrative support.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completion of our initial business combination or our liquidation, we will cease paying these monthly fees.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than the foregoing, no compensation of any kind, including any finder’s fee, reimbursement, consulting fee or monies in respect of any payment of a loan, will be paid by us to our sponsor, officers, directors or advisors or any affiliate of our sponsor, officers, directors or advisors prior to, or in connection with any services rendered in order to effectuate, the consummation of an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advisors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to be held outside the trust account to repay such loaned amounts but no proceeds from our trust account would be used for such repayment. Up to $1,500,000 of such loans may be convertible into units, at a price of $10.00 per unit at the option of the lender, upon consummation of our initial business combination. The units would be identical to the placement units.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2021, Stable Road Capital and DIBALYD Investments, an affiliate of Nala Investments, each loaned $300,000 to us pursuant to non-interest bearing promissory notes in order to finance transaction and working capital costs. The promissory notes mature upon the earlier of June 30, 2021 or the consummation of our initial business combination.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tender offer or proxy solicitation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ind w:firstLine="648"/>
        <w:spacing w:after="0" w:line="301" w:lineRule="auto"/>
        <w:rPr>
          <w:sz w:val="20"/>
          <w:szCs w:val="20"/>
          <w:color w:val="auto"/>
        </w:rPr>
      </w:pPr>
      <w:r>
        <w:rPr>
          <w:rFonts w:ascii="Arial" w:cs="Arial" w:eastAsia="Arial" w:hAnsi="Arial"/>
          <w:sz w:val="16"/>
          <w:szCs w:val="16"/>
          <w:color w:val="auto"/>
        </w:rPr>
        <w:t>The holders of the founder shares, placement units, and units that may be issued upon conversion of working capital loans (and in each case holders of their component securities, as applicable) will have registration rights to require us to register a sale of any of our securities held by them. These holders will be entitled to make up to three demands, excluding short form registration demands, that we register such securities for sale under the Securities Act. In addition, these holders will have “piggy-back” registration rights to include their securities in other registration statements filed by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in Connection with Proposed Business Combination with Momentus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Concurrently with the execution of the Merger Agreement, our sponsor, SRAC Partners, Momentus and SRAC entered into a letter agreement (the “Sponsor Agreement”), pursuant to which, among other things, our sponsor agreed to (a) waive certain anti-dilution rights set forth in Section 4.3(b)(ii) of our amended and restated certificate of incorporation, (b) surrender to SRAC, immediately prior to the consummation of the Mergers and for no consideration, up to 1,437,500 shares of Class B common stock in the event that the amount in our trust account (for the avoidance of doubt, prior to giving effect to the any redemptions by our stockholders and the payment of any transaction costs by us),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cash proceeds that will be required to satisfy any redemptions by our stockholders, is less than $100,000,000, (c) subject to potential forfeiture 1,437,000 shares of Class A common stock (the “Sponsor Earnout Shares”) in accordance with the terms of the Merger Agreement, such that one-third of such Sponsor Earnout Shares will be respectively forfeited in the event that the Class A common stock does not achieve trading prices of at least $12.50, $15.00 and $17.50 (as such trading prices may be adjusted for any dividend, subdivision, stock split or similar event, and as determined by reference to the volume-weighted average price achieved for at least 20 out of 30 consecutive trading days) prior to the fifth (5th) anniversary of the Closing (and provided that, in connection with any change of control of SRAC prior to such five-year anniversary, such Sponsor Earnout Shares shall become no longer subject to forfeiture based upon the value received by holders of Class A common stock being at least such trading prices in connection with such change of control), (d) support the transactions contemplated by the Merger Agreement, including agreeing to vote in favor of the adoption of the Merger Agreement at the special meeting of stockholders and (e) not to transfer any shares of Class A common stock for a period of six months following the Closing (or, if earlier, the date that the Class A common stock trades at or above $12.00 per share for any 20 trading days in a 30 trading day period after Closing).</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at the consummation of the Mergers, SRAC, our sponsor, certain existing holder(s) of our common stock (including SRAC Partners) and certain stockholders of Momentus, in each case who will receive Class A common stock pursuant to the Merger Agreement and the transactions contemplated thereby will enter into an Amended and Restated Registration Rights Agreement (the “Registration Rights Agreement”) in respect of the shares of Class A common stock issued to our sponsor and such Momentus stockholders in connection with the Proposed Transaction. Pursuant to such agreement, such holders and their permitted transferees will be entitled to certain customary registration rights, including, among other things, demand, shelf and piggy-back rights, subject to cut-back provisions. Pursuant to the Registration Rights Agreement, our sponsor and SRAC Partners will agree not to sell, transfer, pledge or otherwise dispose of shares of Class A common stock or other securities exercisable therefor for certain time periods specified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audit committee must review and approve any related person transaction we propose to enter into. Our audit committee charter details the policies and procedures relating to transactions that may present actual, potential or perceived conflicts of interest and may raise questions as to whether such transactions are consistent with the best interest of our company and our stockholders. A summary of such policies and procedures is set forth below.</w:t>
      </w:r>
    </w:p>
    <w:p>
      <w:pPr>
        <w:spacing w:after="0" w:line="14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potential related party transaction that is brought to the audit committee’s attention will be analyzed by the audit committee, in consultation with outside counsel or members of management, as appropriate, to determine whether the transaction or relationship does, in fact, constitute a related party transaction. At its meetings, the audit committee will be provided with the details of each new, existing or proposed related party transaction, including the terms of the transaction, the business purpose of the transaction and the benefits to us and to the relevant related party.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firstLine="648"/>
        <w:spacing w:after="0" w:line="277" w:lineRule="auto"/>
        <w:rPr>
          <w:sz w:val="20"/>
          <w:szCs w:val="20"/>
          <w:color w:val="auto"/>
        </w:rPr>
      </w:pPr>
      <w:r>
        <w:rPr>
          <w:rFonts w:ascii="Arial" w:cs="Arial" w:eastAsia="Arial" w:hAnsi="Arial"/>
          <w:sz w:val="18"/>
          <w:szCs w:val="18"/>
          <w:color w:val="auto"/>
        </w:rPr>
        <w:t>In determining whether to approve a related party transaction, the audit committee must consider, among other factors, the following factors to the extent relevant:</w:t>
      </w:r>
    </w:p>
    <w:p>
      <w:pPr>
        <w:spacing w:after="0" w:line="17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the terms of the transaction are fair to us and on the same basis as would apply if the transaction did not involve a related party;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there are business reasons for us to enter into the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transaction would impair the independence of an outside director;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transaction would present an improper conflict of interest for any director or executive officer.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member of the audit committee who has an interest in the transaction under discussion must abstain from any voting regarding the transaction, but may, if so requested by the chairman of the audit committee, participate in some or all of the audit committee’s discussions of the transaction. Upon completion of its review of the transaction, the audit committee may determine to permit or to prohibit the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Messrs. Lehmann, O’Keefe and Hofmockel and Ms. Kono are “independent directors” as defined in the Nasdaq listing standards and applicable SEC rules. Our independent directors have regularly scheduled meetings at which only independent directors are present.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For the year ended December 31, 2020 and for the period from May 28, 2019 (inception) through December 31, 2019, fees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were $71,530 and $43,775, respectively, for the services Withum performed in connection with our Initial Public Offering and the audits of our financial statements.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year ended December 31, 2020 and for the period from May 28, 2019 (inception) through December 31, 2019,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did not render assurance and related services related to the performance of the audit or review of financial statements.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Tax Fees</w:t>
      </w:r>
      <w:r>
        <w:rPr>
          <w:rFonts w:ascii="Arial" w:cs="Arial" w:eastAsia="Arial" w:hAnsi="Arial"/>
          <w:sz w:val="17"/>
          <w:szCs w:val="17"/>
          <w:color w:val="auto"/>
        </w:rPr>
        <w:t>. For the year ended December 31, 2020, fees for our independent registered public accounting firm were approximately $5,500 for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Withum performed relating to tax compliance, tax advice and tax planning. For the period from May 28, 2019 (inception) through December 31, 2019, our independent registered public accounting firm did not render services to us for tax compliance, tax advice and tax planning.</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All Other Fees</w:t>
      </w:r>
      <w:r>
        <w:rPr>
          <w:rFonts w:ascii="Arial" w:cs="Arial" w:eastAsia="Arial" w:hAnsi="Arial"/>
          <w:sz w:val="17"/>
          <w:szCs w:val="17"/>
          <w:color w:val="auto"/>
        </w:rPr>
        <w:t>. For the year ended December 31, 2020 and for the period from May 28, 2019 (inception) through December 31, 2019, there were</w:t>
      </w:r>
      <w:r>
        <w:rPr>
          <w:rFonts w:ascii="Arial" w:cs="Arial" w:eastAsia="Arial" w:hAnsi="Arial"/>
          <w:sz w:val="17"/>
          <w:szCs w:val="17"/>
          <w:i w:val="1"/>
          <w:iCs w:val="1"/>
          <w:color w:val="auto"/>
        </w:rPr>
        <w:t xml:space="preserve"> </w:t>
      </w:r>
      <w:r>
        <w:rPr>
          <w:rFonts w:ascii="Arial" w:cs="Arial" w:eastAsia="Arial" w:hAnsi="Arial"/>
          <w:sz w:val="17"/>
          <w:szCs w:val="17"/>
          <w:color w:val="auto"/>
        </w:rPr>
        <w:t>no fees billed for products and services provided by our independent registered public accounting firm other than those set forth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Financial Statements Schedule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0" w:type="dxa"/>
            <w:vAlign w:val="bottom"/>
          </w:tcPr>
          <w:p>
            <w:pPr>
              <w:ind w:left="880"/>
              <w:spacing w:after="0"/>
              <w:rPr>
                <w:sz w:val="20"/>
                <w:szCs w:val="20"/>
                <w:color w:val="auto"/>
              </w:rPr>
            </w:pPr>
            <w:r>
              <w:rPr>
                <w:rFonts w:ascii="Arial" w:cs="Arial" w:eastAsia="Arial" w:hAnsi="Arial"/>
                <w:sz w:val="18"/>
                <w:szCs w:val="18"/>
                <w:b w:val="1"/>
                <w:bCs w:val="1"/>
                <w:color w:val="auto"/>
              </w:rPr>
              <w:t>EXHIBIT INDEX</w:t>
            </w:r>
          </w:p>
        </w:tc>
      </w:tr>
      <w:tr>
        <w:trPr>
          <w:trHeight w:val="452"/>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0" w:type="dxa"/>
            <w:vAlign w:val="bottom"/>
            <w:gridSpan w:val="3"/>
            <w:shd w:val="clear" w:color="auto" w:fill="CCEEFF"/>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Underwriting Agreement, dated November 7, 2019, between the Company and Cantor Fitzgerald &amp; Co. (2)</w:t>
              </w:r>
            </w:hyperlink>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0220" w:type="dxa"/>
            <w:vAlign w:val="bottom"/>
            <w:tcBorders>
              <w:bottom w:val="single" w:sz="8" w:color="0000EE"/>
            </w:tcBorders>
            <w:gridSpan w:val="4"/>
          </w:tcPr>
          <w:p>
            <w:pPr>
              <w:spacing w:after="0" w:line="17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Merger Agreement, dated as of October 7, 2020, by and among the Company, Project Marvel First Merger Sub, Inc., Project Marvel Second</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4"/>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Merger Sub, LLC, and Momentus Inc. (1)</w:t>
              </w:r>
            </w:hyperlink>
          </w:p>
        </w:tc>
      </w:tr>
      <w:tr>
        <w:trPr>
          <w:trHeight w:val="21"/>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Amended and Restated Certificate of Incorporation (2)</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Bylaws (3)</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Warrant Agreement, dated November 7, 2019, between Continental Stock Transfer &amp; Trust Company and the Company. (2)</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Description of Securities (4)</w:t>
              </w:r>
            </w:hyperlink>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r:id="rId87">
              <w:r>
                <w:rPr>
                  <w:rFonts w:ascii="Arial" w:cs="Arial" w:eastAsia="Arial" w:hAnsi="Arial"/>
                  <w:sz w:val="18"/>
                  <w:szCs w:val="18"/>
                  <w:color w:val="0000EE"/>
                  <w:w w:val="90"/>
                </w:rPr>
                <w:t>Investment Management Trust Account Agreement, dated November 7, 2019, between Continental Stock Transfer &amp; Trust Company and the</w:t>
              </w:r>
            </w:hyperlink>
          </w:p>
        </w:tc>
      </w:tr>
      <w:tr>
        <w:trPr>
          <w:trHeight w:val="196"/>
        </w:trPr>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20" w:type="dxa"/>
            <w:vAlign w:val="bottom"/>
            <w:gridSpan w:val="4"/>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Company. (2)</w:t>
              </w:r>
            </w:hyperlink>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Registration Rights Agreement, dated November 7, 2019, between the Company, the Sponsor and Cantor Fitzgerald &amp; Co. (2)</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w w:val="99"/>
              </w:rPr>
            </w:pPr>
            <w:hyperlink r:id="rId89">
              <w:r>
                <w:rPr>
                  <w:rFonts w:ascii="Arial" w:cs="Arial" w:eastAsia="Arial" w:hAnsi="Arial"/>
                  <w:sz w:val="18"/>
                  <w:szCs w:val="18"/>
                  <w:u w:val="single" w:color="auto"/>
                  <w:color w:val="0000EE"/>
                  <w:w w:val="99"/>
                </w:rPr>
                <w:t>Letter Agreement, dated November 7, 2019, by and among the Company, its officers, certain of its directors and the Sponsor. (2)</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Administrative Support Agreement, dated November 7, 2019, between the Company and Stable Road Capital, LLC. (2)</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Unit Subscription Agreement, dated November 7, 2019, between the Company and Sponsor. (2)</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Unit Subscription Agreement, dated November 7, 2019, between the Company and Cantor Fitzgerald &amp; Co. (2)</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Form of Subscription Agreement (1)</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Form of Support Agreement (1)</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w w:val="93"/>
              </w:rPr>
            </w:pPr>
            <w:hyperlink r:id="rId95">
              <w:r>
                <w:rPr>
                  <w:rFonts w:ascii="Arial" w:cs="Arial" w:eastAsia="Arial" w:hAnsi="Arial"/>
                  <w:sz w:val="18"/>
                  <w:szCs w:val="18"/>
                  <w:u w:val="single" w:color="auto"/>
                  <w:color w:val="0000EE"/>
                  <w:w w:val="93"/>
                </w:rPr>
                <w:t>Sponsor Agreement, dated as of October 7, 2020, by and among the Company, SRC-NI Holdings, LLC and SRAC PIPE Partners LLC (1)</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w w:val="95"/>
              </w:rPr>
            </w:pPr>
            <w:hyperlink r:id="rId96">
              <w:r>
                <w:rPr>
                  <w:rFonts w:ascii="Arial" w:cs="Arial" w:eastAsia="Arial" w:hAnsi="Arial"/>
                  <w:sz w:val="18"/>
                  <w:szCs w:val="18"/>
                  <w:u w:val="single" w:color="auto"/>
                  <w:color w:val="0000EE"/>
                  <w:w w:val="95"/>
                </w:rPr>
                <w:t>Repurchase Agreement, dated as October 7, 2020, by and among the Company, Momentus Inc. and Prime Movers Lab Fund I, LP. (1)</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Code of Ethics (5)</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Certification of the Chief Executive Officer required by Rule 13a-14(a) or Rule 15d-14(a).*</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Certification of the Chief Financial Officer required by Rule 13a-14(a) or Rule 15d-14(a).*</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0220" w:type="dxa"/>
            <w:vAlign w:val="bottom"/>
            <w:gridSpan w:val="4"/>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Certification of the Chief Executive Officer required by Rule 13a-14(b) or Rule 15d-14(b) and 18 U.S.C. 1350.**</w:t>
              </w:r>
            </w:hyperlink>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Certification of the Chief Executive Officer required by Rule 13a-14(b) or Rule 15d-14(b) and 18 U.S.C. 1350.**</w:t>
              </w:r>
            </w:hyperlink>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8"/>
                <w:szCs w:val="18"/>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XBRL Taxonomy Calculation Linkbase**</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Taxonomy Label Linkbase**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18"/>
                <w:szCs w:val="18"/>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0" w:type="dxa"/>
            <w:vAlign w:val="bottom"/>
            <w:shd w:val="clear" w:color="auto" w:fill="CCEEFF"/>
          </w:tcPr>
          <w:p>
            <w:pPr>
              <w:spacing w:after="0"/>
              <w:rPr>
                <w:sz w:val="18"/>
                <w:szCs w:val="18"/>
                <w:color w:val="auto"/>
              </w:rPr>
            </w:pPr>
          </w:p>
        </w:tc>
        <w:tc>
          <w:tcPr>
            <w:tcW w:w="10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SEC on October 7, 2020</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SEC on November 13,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Company’s Form 8-K, filed with the SEC on September 27,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Company’s Form 10-K, filed with the SEC on March 26,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S-1, filed with the SEC on October 10, 2019</w:t>
      </w:r>
    </w:p>
    <w:p>
      <w:pPr>
        <w:spacing w:after="0" w:line="207" w:lineRule="exact"/>
        <w:rPr>
          <w:sz w:val="20"/>
          <w:szCs w:val="20"/>
          <w:color w:val="auto"/>
        </w:rPr>
      </w:pPr>
    </w:p>
    <w:p>
      <w:pPr>
        <w:jc w:val="center"/>
        <w:ind w:right="8860"/>
        <w:spacing w:after="0"/>
        <w:rPr>
          <w:sz w:val="20"/>
          <w:szCs w:val="20"/>
          <w:color w:val="auto"/>
        </w:rPr>
      </w:pPr>
      <w:r>
        <w:rPr>
          <w:rFonts w:ascii="Arial" w:cs="Arial" w:eastAsia="Arial" w:hAnsi="Arial"/>
          <w:sz w:val="16"/>
          <w:szCs w:val="16"/>
          <w:b w:val="1"/>
          <w:bCs w:val="1"/>
          <w:color w:val="auto"/>
        </w:rPr>
        <w:t>Item 16. Form 10-K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823"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Report of Independent Registered Public Accounting Firm</w:t>
              </w:r>
            </w:hyperlink>
          </w:p>
        </w:tc>
        <w:tc>
          <w:tcPr>
            <w:tcW w:w="3800" w:type="dxa"/>
            <w:vAlign w:val="bottom"/>
            <w:shd w:val="clear" w:color="auto" w:fill="CCEEFF"/>
          </w:tcPr>
          <w:p>
            <w:pPr>
              <w:jc w:val="center"/>
              <w:ind w:left="2590"/>
              <w:spacing w:after="0"/>
              <w:rPr>
                <w:sz w:val="20"/>
                <w:szCs w:val="20"/>
                <w:color w:val="auto"/>
              </w:rPr>
            </w:pPr>
            <w:r>
              <w:rPr>
                <w:rFonts w:ascii="Arial" w:cs="Arial" w:eastAsia="Arial" w:hAnsi="Arial"/>
                <w:sz w:val="18"/>
                <w:szCs w:val="18"/>
                <w:color w:val="auto"/>
                <w:w w:val="88"/>
              </w:rPr>
              <w:t>F-2</w:t>
            </w:r>
          </w:p>
        </w:tc>
      </w:tr>
      <w:tr>
        <w:trPr>
          <w:trHeight w:val="216"/>
        </w:trPr>
        <w:tc>
          <w:tcPr>
            <w:tcW w:w="744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c>
          <w:tcPr>
            <w:tcW w:w="3800" w:type="dxa"/>
            <w:vAlign w:val="bottom"/>
          </w:tcPr>
          <w:p>
            <w:pPr>
              <w:spacing w:after="0"/>
              <w:rPr>
                <w:sz w:val="18"/>
                <w:szCs w:val="18"/>
                <w:color w:val="auto"/>
              </w:rPr>
            </w:pPr>
          </w:p>
        </w:tc>
      </w:tr>
      <w:tr>
        <w:trPr>
          <w:trHeight w:val="216"/>
        </w:trPr>
        <w:tc>
          <w:tcPr>
            <w:tcW w:w="7440" w:type="dxa"/>
            <w:vAlign w:val="bottom"/>
            <w:shd w:val="clear" w:color="auto" w:fill="CCEEFF"/>
          </w:tcPr>
          <w:p>
            <w:pPr>
              <w:ind w:left="2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Consolidated Balance Sheets</w:t>
              </w:r>
            </w:hyperlink>
          </w:p>
        </w:tc>
        <w:tc>
          <w:tcPr>
            <w:tcW w:w="3800" w:type="dxa"/>
            <w:vAlign w:val="bottom"/>
            <w:shd w:val="clear" w:color="auto" w:fill="CCEEFF"/>
          </w:tcPr>
          <w:p>
            <w:pPr>
              <w:jc w:val="center"/>
              <w:ind w:left="2590"/>
              <w:spacing w:after="0"/>
              <w:rPr>
                <w:sz w:val="20"/>
                <w:szCs w:val="20"/>
                <w:color w:val="auto"/>
              </w:rPr>
            </w:pPr>
            <w:r>
              <w:rPr>
                <w:rFonts w:ascii="Arial" w:cs="Arial" w:eastAsia="Arial" w:hAnsi="Arial"/>
                <w:sz w:val="18"/>
                <w:szCs w:val="18"/>
                <w:color w:val="auto"/>
                <w:w w:val="88"/>
              </w:rPr>
              <w:t>F-3</w:t>
            </w:r>
          </w:p>
        </w:tc>
      </w:tr>
      <w:tr>
        <w:trPr>
          <w:trHeight w:val="216"/>
        </w:trPr>
        <w:tc>
          <w:tcPr>
            <w:tcW w:w="7440" w:type="dxa"/>
            <w:vAlign w:val="bottom"/>
          </w:tcPr>
          <w:p>
            <w:pPr>
              <w:ind w:left="2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Operations</w:t>
              </w:r>
            </w:hyperlink>
          </w:p>
        </w:tc>
        <w:tc>
          <w:tcPr>
            <w:tcW w:w="3800" w:type="dxa"/>
            <w:vAlign w:val="bottom"/>
          </w:tcPr>
          <w:p>
            <w:pPr>
              <w:jc w:val="center"/>
              <w:ind w:left="2590"/>
              <w:spacing w:after="0"/>
              <w:rPr>
                <w:sz w:val="20"/>
                <w:szCs w:val="20"/>
                <w:color w:val="auto"/>
              </w:rPr>
            </w:pPr>
            <w:r>
              <w:rPr>
                <w:rFonts w:ascii="Arial" w:cs="Arial" w:eastAsia="Arial" w:hAnsi="Arial"/>
                <w:sz w:val="18"/>
                <w:szCs w:val="18"/>
                <w:color w:val="auto"/>
                <w:w w:val="88"/>
              </w:rPr>
              <w:t>F-4</w:t>
            </w:r>
          </w:p>
        </w:tc>
      </w:tr>
      <w:tr>
        <w:trPr>
          <w:trHeight w:val="216"/>
        </w:trPr>
        <w:tc>
          <w:tcPr>
            <w:tcW w:w="7440" w:type="dxa"/>
            <w:vAlign w:val="bottom"/>
            <w:shd w:val="clear" w:color="auto" w:fill="CCEEFF"/>
          </w:tcPr>
          <w:p>
            <w:pPr>
              <w:ind w:left="20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Statements of Changes in Stockholders’ Equity</w:t>
              </w:r>
            </w:hyperlink>
          </w:p>
        </w:tc>
        <w:tc>
          <w:tcPr>
            <w:tcW w:w="3800" w:type="dxa"/>
            <w:vAlign w:val="bottom"/>
            <w:shd w:val="clear" w:color="auto" w:fill="CCEEFF"/>
          </w:tcPr>
          <w:p>
            <w:pPr>
              <w:jc w:val="center"/>
              <w:ind w:left="2590"/>
              <w:spacing w:after="0"/>
              <w:rPr>
                <w:sz w:val="20"/>
                <w:szCs w:val="20"/>
                <w:color w:val="auto"/>
              </w:rPr>
            </w:pPr>
            <w:r>
              <w:rPr>
                <w:rFonts w:ascii="Arial" w:cs="Arial" w:eastAsia="Arial" w:hAnsi="Arial"/>
                <w:sz w:val="18"/>
                <w:szCs w:val="18"/>
                <w:color w:val="auto"/>
                <w:w w:val="88"/>
              </w:rPr>
              <w:t>F-5</w:t>
            </w:r>
          </w:p>
        </w:tc>
      </w:tr>
      <w:tr>
        <w:trPr>
          <w:trHeight w:val="216"/>
        </w:trPr>
        <w:tc>
          <w:tcPr>
            <w:tcW w:w="7440" w:type="dxa"/>
            <w:vAlign w:val="bottom"/>
          </w:tcPr>
          <w:p>
            <w:pPr>
              <w:ind w:left="20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Cash Flows</w:t>
              </w:r>
            </w:hyperlink>
          </w:p>
        </w:tc>
        <w:tc>
          <w:tcPr>
            <w:tcW w:w="3800" w:type="dxa"/>
            <w:vAlign w:val="bottom"/>
          </w:tcPr>
          <w:p>
            <w:pPr>
              <w:jc w:val="center"/>
              <w:ind w:left="2590"/>
              <w:spacing w:after="0"/>
              <w:rPr>
                <w:sz w:val="20"/>
                <w:szCs w:val="20"/>
                <w:color w:val="auto"/>
              </w:rPr>
            </w:pPr>
            <w:r>
              <w:rPr>
                <w:rFonts w:ascii="Arial" w:cs="Arial" w:eastAsia="Arial" w:hAnsi="Arial"/>
                <w:sz w:val="18"/>
                <w:szCs w:val="18"/>
                <w:color w:val="auto"/>
                <w:w w:val="88"/>
              </w:rPr>
              <w:t>F-6</w:t>
            </w:r>
          </w:p>
        </w:tc>
      </w:tr>
      <w:tr>
        <w:trPr>
          <w:trHeight w:val="216"/>
        </w:trPr>
        <w:tc>
          <w:tcPr>
            <w:tcW w:w="7440" w:type="dxa"/>
            <w:vAlign w:val="bottom"/>
            <w:shd w:val="clear" w:color="auto" w:fill="CCEEFF"/>
          </w:tcPr>
          <w:p>
            <w:pPr>
              <w:ind w:left="20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Notes to Consolidated Financial Statements</w:t>
              </w:r>
            </w:hyperlink>
          </w:p>
        </w:tc>
        <w:tc>
          <w:tcPr>
            <w:tcW w:w="3800" w:type="dxa"/>
            <w:vAlign w:val="bottom"/>
            <w:shd w:val="clear" w:color="auto" w:fill="CCEEFF"/>
          </w:tcPr>
          <w:p>
            <w:pPr>
              <w:jc w:val="center"/>
              <w:ind w:left="2570"/>
              <w:spacing w:after="0"/>
              <w:rPr>
                <w:sz w:val="20"/>
                <w:szCs w:val="20"/>
                <w:color w:val="auto"/>
              </w:rPr>
            </w:pPr>
            <w:r>
              <w:rPr>
                <w:rFonts w:ascii="Arial" w:cs="Arial" w:eastAsia="Arial" w:hAnsi="Arial"/>
                <w:sz w:val="18"/>
                <w:szCs w:val="18"/>
                <w:color w:val="auto"/>
                <w:w w:val="92"/>
              </w:rPr>
              <w:t>F-7 to F-17</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Stable Road Acquisition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audited the accompanying consolidated balance sheets of Stable Road Acquisition Corp. (the “Company”) as of December 31, 2020 and 2019 and the related consolidated statements of operations, changes in stockholders’ equity and cash flows for the year ended December 31, 2020 and for the period from May 28, 2019 (inception) through December 31, 2019, and the related notes (collectively referred to as the “consolidated financial statements” or “financial statements”). In our opinion, the financial statements present fairly, in all material respects, the consolidated financial position of the Company as of December 31, 2020 and 2019, and the consolidated results of its operations and its cash flows for the year ended December 31, 2020 and for the period from May 28, 2019 (inception) through December 31, 2019,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financial statements, if the Company is unable to raise additional funds to alleviate liquidity needs as well as complete a Business Combination by the close of business on May 13, 2021 or the extension date, as applicable, then the Company will cease all operations except for the purpose of liquidating. This date for mandatory liquidation and subsequent dissolution raises substantial doubt about the Company’s ability to continue as a going concern. Management’s plans are discussed in Note 1 to the consolidated financial statements. The consolidated financial statements do not include any adjustments that might result from the outcome of this uncertainty.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4060"/>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5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1,093,184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81,850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268,616</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328,538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625,199</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1,361,800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173,107,749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172,846,011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173,732,948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174,207,811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2,485,896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147,742</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2,485,896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6,900,000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9,385,896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7,095,309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8"/>
              </w:rPr>
              <w:t>Class A common stock subject to possible redemption, 15,934,705 and 16,211,250 shares at $10.00 per share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redemption value at December 31, 2020 and 2019,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159,347,050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162,112,500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6"/>
              </w:rPr>
              <w:t>Class A common stock, $0.0001 par value; 100,000,000 shares authorized; 1,860,295 and 1,583,750 issued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4"/>
              </w:rPr>
              <w:t>outstanding (excluding 15,934,705 and 16,211,250 shares subject to possible redemption) at December 31, 2020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4,312,500 shares issued and outstanding at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and 2019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7,702,476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4,937,054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(2,703,091)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173,732,948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174,207,811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8" w:lineRule="exact"/>
        <w:rPr>
          <w:sz w:val="20"/>
          <w:szCs w:val="20"/>
          <w:color w:val="auto"/>
        </w:rPr>
      </w:pPr>
    </w:p>
    <w:tbl>
      <w:tblPr>
        <w:tblLayout w:type="fixed"/>
        <w:tblInd w:w="86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May 28,</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6"/>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Through</w:t>
            </w:r>
          </w:p>
        </w:tc>
      </w:tr>
      <w:tr>
        <w:trPr>
          <w:trHeight w:val="230"/>
        </w:trPr>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bl>
    <w:p>
      <w:pPr>
        <w:spacing w:after="0" w:line="200"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earned on marketable securities held in Trust Account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(Loss) 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br w:type="column"/>
      </w:r>
    </w:p>
    <w:p>
      <w:pPr>
        <w:spacing w:after="0"/>
        <w:tabs>
          <w:tab w:leader="none" w:pos="380" w:val="left"/>
          <w:tab w:leader="none" w:pos="1320" w:val="left"/>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3,720,975</w:t>
        <w:tab/>
        <w:t>$</w:t>
      </w:r>
      <w:r>
        <w:rPr>
          <w:sz w:val="20"/>
          <w:szCs w:val="20"/>
          <w:color w:val="auto"/>
        </w:rPr>
        <w:tab/>
      </w:r>
      <w:r>
        <w:rPr>
          <w:rFonts w:ascii="Arial" w:cs="Arial" w:eastAsia="Arial" w:hAnsi="Arial"/>
          <w:sz w:val="16"/>
          <w:szCs w:val="16"/>
          <w:color w:val="auto"/>
        </w:rPr>
        <w:t>236,085</w:t>
      </w:r>
    </w:p>
    <w:p>
      <w:pPr>
        <w:spacing w:after="0" w:line="32" w:lineRule="exact"/>
        <w:rPr>
          <w:sz w:val="20"/>
          <w:szCs w:val="20"/>
          <w:color w:val="auto"/>
        </w:rPr>
      </w:pPr>
    </w:p>
    <w:p>
      <w:pPr>
        <w:jc w:val="both"/>
        <w:ind w:left="340"/>
        <w:spacing w:after="0"/>
        <w:tabs>
          <w:tab w:leader="none" w:pos="1780" w:val="left"/>
        </w:tabs>
        <w:rPr>
          <w:sz w:val="20"/>
          <w:szCs w:val="20"/>
          <w:color w:val="auto"/>
        </w:rPr>
      </w:pPr>
      <w:r>
        <w:rPr>
          <w:rFonts w:ascii="Arial" w:cs="Arial" w:eastAsia="Arial" w:hAnsi="Arial"/>
          <w:sz w:val="18"/>
          <w:szCs w:val="18"/>
          <w:b w:val="1"/>
          <w:bCs w:val="1"/>
          <w:color w:val="auto"/>
        </w:rPr>
        <w:t>(3,720,975)</w:t>
      </w:r>
      <w:r>
        <w:rPr>
          <w:sz w:val="20"/>
          <w:szCs w:val="20"/>
          <w:color w:val="auto"/>
        </w:rPr>
        <w:tab/>
      </w:r>
      <w:r>
        <w:rPr>
          <w:rFonts w:ascii="Arial" w:cs="Arial" w:eastAsia="Arial" w:hAnsi="Arial"/>
          <w:sz w:val="18"/>
          <w:szCs w:val="18"/>
          <w:b w:val="1"/>
          <w:bCs w:val="1"/>
          <w:color w:val="auto"/>
        </w:rPr>
        <w:t>(236,085)</w:t>
      </w:r>
    </w:p>
    <w:p>
      <w:pPr>
        <w:spacing w:after="0" w:line="200" w:lineRule="exact"/>
        <w:rPr>
          <w:sz w:val="20"/>
          <w:szCs w:val="20"/>
          <w:color w:val="auto"/>
        </w:rPr>
      </w:pPr>
    </w:p>
    <w:p>
      <w:pPr>
        <w:spacing w:after="0" w:line="259" w:lineRule="exact"/>
        <w:rPr>
          <w:sz w:val="20"/>
          <w:szCs w:val="20"/>
          <w:color w:val="auto"/>
        </w:rPr>
      </w:pPr>
    </w:p>
    <w:p>
      <w:pPr>
        <w:ind w:left="400"/>
        <w:spacing w:after="0"/>
        <w:tabs>
          <w:tab w:leader="none" w:pos="1860" w:val="left"/>
        </w:tabs>
        <w:rPr>
          <w:sz w:val="20"/>
          <w:szCs w:val="20"/>
          <w:color w:val="auto"/>
        </w:rPr>
      </w:pPr>
      <w:r>
        <w:rPr>
          <w:rFonts w:ascii="Arial" w:cs="Arial" w:eastAsia="Arial" w:hAnsi="Arial"/>
          <w:sz w:val="17"/>
          <w:szCs w:val="17"/>
          <w:color w:val="auto"/>
        </w:rPr>
        <w:t>1,134,391</w:t>
      </w:r>
      <w:r>
        <w:rPr>
          <w:sz w:val="20"/>
          <w:szCs w:val="20"/>
          <w:color w:val="auto"/>
        </w:rPr>
        <w:tab/>
      </w:r>
      <w:r>
        <w:rPr>
          <w:rFonts w:ascii="Arial" w:cs="Arial" w:eastAsia="Arial" w:hAnsi="Arial"/>
          <w:sz w:val="17"/>
          <w:szCs w:val="17"/>
          <w:color w:val="auto"/>
        </w:rPr>
        <w:t>346,011</w:t>
      </w:r>
    </w:p>
    <w:p>
      <w:pPr>
        <w:spacing w:after="0" w:line="264" w:lineRule="exact"/>
        <w:rPr>
          <w:sz w:val="20"/>
          <w:szCs w:val="20"/>
          <w:color w:val="auto"/>
        </w:rPr>
      </w:pPr>
    </w:p>
    <w:p>
      <w:pPr>
        <w:ind w:left="340"/>
        <w:spacing w:after="0"/>
        <w:tabs>
          <w:tab w:leader="none" w:pos="1840" w:val="left"/>
        </w:tabs>
        <w:rPr>
          <w:sz w:val="20"/>
          <w:szCs w:val="20"/>
          <w:color w:val="auto"/>
        </w:rPr>
      </w:pPr>
      <w:r>
        <w:rPr>
          <w:rFonts w:ascii="Arial" w:cs="Arial" w:eastAsia="Arial" w:hAnsi="Arial"/>
          <w:sz w:val="18"/>
          <w:szCs w:val="18"/>
          <w:color w:val="auto"/>
        </w:rPr>
        <w:t>(2,586,584)</w:t>
      </w:r>
      <w:r>
        <w:rPr>
          <w:sz w:val="20"/>
          <w:szCs w:val="20"/>
          <w:color w:val="auto"/>
        </w:rPr>
        <w:tab/>
      </w:r>
      <w:r>
        <w:rPr>
          <w:rFonts w:ascii="Arial" w:cs="Arial" w:eastAsia="Arial" w:hAnsi="Arial"/>
          <w:sz w:val="18"/>
          <w:szCs w:val="18"/>
          <w:color w:val="auto"/>
        </w:rPr>
        <w:t>109,926</w:t>
      </w:r>
    </w:p>
    <w:p>
      <w:pPr>
        <w:spacing w:after="0" w:line="23" w:lineRule="exact"/>
        <w:rPr>
          <w:sz w:val="20"/>
          <w:szCs w:val="20"/>
          <w:color w:val="auto"/>
        </w:rPr>
      </w:pPr>
    </w:p>
    <w:p>
      <w:pPr>
        <w:jc w:val="right"/>
        <w:ind w:right="40"/>
        <w:spacing w:after="0"/>
        <w:tabs>
          <w:tab w:leader="none" w:pos="600" w:val="left"/>
        </w:tabs>
        <w:rPr>
          <w:sz w:val="20"/>
          <w:szCs w:val="20"/>
          <w:color w:val="auto"/>
        </w:rPr>
      </w:pPr>
      <w:r>
        <w:rPr>
          <w:rFonts w:ascii="Arial" w:cs="Arial" w:eastAsia="Arial" w:hAnsi="Arial"/>
          <w:sz w:val="18"/>
          <w:szCs w:val="18"/>
          <w:color w:val="auto"/>
        </w:rPr>
        <w:t>(178,866)</w:t>
      </w:r>
      <w:r>
        <w:rPr>
          <w:sz w:val="20"/>
          <w:szCs w:val="20"/>
          <w:color w:val="auto"/>
        </w:rPr>
        <w:tab/>
      </w:r>
      <w:r>
        <w:rPr>
          <w:rFonts w:ascii="Arial" w:cs="Arial" w:eastAsia="Arial" w:hAnsi="Arial"/>
          <w:sz w:val="16"/>
          <w:szCs w:val="16"/>
          <w:color w:val="auto"/>
        </w:rPr>
        <w:t>(47,567)</w:t>
      </w:r>
    </w:p>
    <w:p>
      <w:pPr>
        <w:spacing w:after="0" w:line="23"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(2,765,450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17,250,000</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17,250,000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 redeemable common stock</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of Class A and Class B non-redeemable common stock</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4,857,500</w:t>
            </w:r>
          </w:p>
        </w:tc>
        <w:tc>
          <w:tcPr>
            <w:tcW w:w="20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4,456,075</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loss per share, Class A and Class B non-redeemable common stock</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Class A</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Class B</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1"/>
              </w:rPr>
              <w:t>deficit)</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5"/>
        </w:trPr>
        <w:tc>
          <w:tcPr>
            <w:tcW w:w="3420" w:type="dxa"/>
            <w:vAlign w:val="bottom"/>
          </w:tcPr>
          <w:p>
            <w:pPr>
              <w:spacing w:after="0"/>
              <w:rPr>
                <w:sz w:val="22"/>
                <w:szCs w:val="22"/>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Common Stock</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22"/>
                <w:szCs w:val="22"/>
                <w:color w:val="auto"/>
              </w:rPr>
            </w:pPr>
          </w:p>
        </w:tc>
        <w:tc>
          <w:tcPr>
            <w:tcW w:w="11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6"/>
        </w:trPr>
        <w:tc>
          <w:tcPr>
            <w:tcW w:w="3420" w:type="dxa"/>
            <w:vAlign w:val="bottom"/>
          </w:tcPr>
          <w:p>
            <w:pPr>
              <w:spacing w:after="0"/>
              <w:rPr>
                <w:sz w:val="20"/>
                <w:szCs w:val="20"/>
                <w:color w:val="auto"/>
              </w:rPr>
            </w:pPr>
          </w:p>
        </w:tc>
        <w:tc>
          <w:tcPr>
            <w:tcW w:w="11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1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May 28, 2019 (inception)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Issuance of Class B common stock to</w:t>
            </w: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42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 xml:space="preserve">Sponsor </w:t>
            </w:r>
            <w:r>
              <w:rPr>
                <w:rFonts w:ascii="Arial" w:cs="Arial" w:eastAsia="Arial" w:hAnsi="Arial"/>
                <w:sz w:val="29"/>
                <w:szCs w:val="29"/>
                <w:color w:val="auto"/>
                <w:vertAlign w:val="superscript"/>
              </w:rPr>
              <w:t>(1)</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4,312,500</w:t>
            </w:r>
          </w:p>
        </w:tc>
        <w:tc>
          <w:tcPr>
            <w:tcW w:w="46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431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24,569</w:t>
            </w: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Sale of 17,250,000 Units, net of underwriting</w:t>
            </w: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discount and offering costs</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17,250,000</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161,573,418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161,575,143</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Sale of 545,000 Placement Units</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545,000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5,449,946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5,450,000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subject to possible</w:t>
            </w: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(16,211,250)</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(162,110,879)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(162,112,500)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62,359</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62,359</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December 31, 2019</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1,583,750</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158</w:t>
            </w: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4,312,500</w:t>
            </w:r>
          </w:p>
        </w:tc>
        <w:tc>
          <w:tcPr>
            <w:tcW w:w="1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6"/>
              </w:rPr>
              <w:t>431</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4,937,054</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62,359</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Common stock subject to possible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276,545</w:t>
            </w: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2,765,422</w:t>
            </w:r>
          </w:p>
        </w:tc>
        <w:tc>
          <w:tcPr>
            <w:tcW w:w="14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2,765,450</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(2,765,450)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(2,765,450)</w:t>
            </w:r>
          </w:p>
        </w:tc>
        <w:tc>
          <w:tcPr>
            <w:tcW w:w="0" w:type="dxa"/>
            <w:vAlign w:val="bottom"/>
          </w:tcPr>
          <w:p>
            <w:pPr>
              <w:spacing w:after="0"/>
              <w:rPr>
                <w:sz w:val="1"/>
                <w:szCs w:val="1"/>
                <w:color w:val="auto"/>
              </w:rPr>
            </w:pPr>
          </w:p>
        </w:tc>
      </w:tr>
      <w:tr>
        <w:trPr>
          <w:trHeight w:val="27"/>
        </w:trPr>
        <w:tc>
          <w:tcPr>
            <w:tcW w:w="34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vMerge w:val="continue"/>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1,860,295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4,312,500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431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7,702,476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(2,703,091</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5,000,002</w:t>
            </w:r>
          </w:p>
        </w:tc>
        <w:tc>
          <w:tcPr>
            <w:tcW w:w="0" w:type="dxa"/>
            <w:vAlign w:val="bottom"/>
          </w:tcPr>
          <w:p>
            <w:pPr>
              <w:spacing w:after="0"/>
              <w:rPr>
                <w:sz w:val="1"/>
                <w:szCs w:val="1"/>
                <w:color w:val="auto"/>
              </w:rPr>
            </w:pPr>
          </w:p>
        </w:tc>
      </w:tr>
      <w:tr>
        <w:trPr>
          <w:trHeight w:val="21"/>
        </w:trPr>
        <w:tc>
          <w:tcPr>
            <w:tcW w:w="3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60" w:right="1100" w:hanging="2552"/>
        <w:spacing w:after="0" w:line="573" w:lineRule="auto"/>
        <w:tabs>
          <w:tab w:leader="none" w:pos="579"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Included up to 562,500 shares subject to forfeiture if the over-allotment option was not exercised in full or in part by the underwriter. The accompanying notes are an integral part of the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STABLE ROAD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5"/>
              </w:rPr>
              <w:t>May 28,</w:t>
            </w:r>
          </w:p>
        </w:tc>
      </w:tr>
      <w:tr>
        <w:trPr>
          <w:trHeight w:val="216"/>
        </w:trPr>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3"/>
              </w:rPr>
              <w:t>(Inception)</w:t>
            </w:r>
          </w:p>
        </w:tc>
      </w:tr>
      <w:tr>
        <w:trPr>
          <w:trHeight w:val="216"/>
        </w:trPr>
        <w:tc>
          <w:tcPr>
            <w:tcW w:w="7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08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3"/>
              </w:rPr>
              <w:t>Through</w:t>
            </w:r>
          </w:p>
        </w:tc>
      </w:tr>
      <w:tr>
        <w:trPr>
          <w:trHeight w:val="230"/>
        </w:trPr>
        <w:tc>
          <w:tcPr>
            <w:tcW w:w="7440" w:type="dxa"/>
            <w:vAlign w:val="bottom"/>
          </w:tcPr>
          <w:p>
            <w:pPr>
              <w:spacing w:after="0"/>
              <w:rPr>
                <w:sz w:val="19"/>
                <w:szCs w:val="19"/>
                <w:color w:val="auto"/>
              </w:rPr>
            </w:pPr>
          </w:p>
        </w:tc>
        <w:tc>
          <w:tcPr>
            <w:tcW w:w="262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December 31,</w:t>
            </w:r>
          </w:p>
        </w:tc>
        <w:tc>
          <w:tcPr>
            <w:tcW w:w="11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7440" w:type="dxa"/>
            <w:vAlign w:val="bottom"/>
          </w:tcPr>
          <w:p>
            <w:pPr>
              <w:spacing w:after="0"/>
              <w:rPr>
                <w:sz w:val="20"/>
                <w:szCs w:val="20"/>
                <w:color w:val="auto"/>
              </w:rPr>
            </w:pPr>
          </w:p>
        </w:tc>
        <w:tc>
          <w:tcPr>
            <w:tcW w:w="240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  (2,765,450)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62,359</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6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(1,134,391)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(346,011)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6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186,766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(268,616)</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Prepaid income taxes</w:t>
            </w:r>
          </w:p>
        </w:tc>
        <w:tc>
          <w:tcPr>
            <w:tcW w:w="2620" w:type="dxa"/>
            <w:vAlign w:val="bottom"/>
            <w:gridSpan w:val="3"/>
          </w:tcPr>
          <w:p>
            <w:pPr>
              <w:jc w:val="right"/>
              <w:ind w:right="81"/>
              <w:spacing w:after="0"/>
              <w:rPr>
                <w:sz w:val="20"/>
                <w:szCs w:val="20"/>
                <w:color w:val="auto"/>
              </w:rPr>
            </w:pPr>
            <w:r>
              <w:rPr>
                <w:rFonts w:ascii="Arial" w:cs="Arial" w:eastAsia="Arial" w:hAnsi="Arial"/>
                <w:sz w:val="18"/>
                <w:szCs w:val="18"/>
                <w:color w:val="auto"/>
              </w:rPr>
              <w:t>(328,538)</w:t>
            </w:r>
          </w:p>
        </w:tc>
        <w:tc>
          <w:tcPr>
            <w:tcW w:w="10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62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2,338,154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147,742</w:t>
            </w:r>
          </w:p>
        </w:tc>
      </w:tr>
      <w:tr>
        <w:trPr>
          <w:trHeight w:val="237"/>
        </w:trPr>
        <w:tc>
          <w:tcPr>
            <w:tcW w:w="74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620" w:type="dxa"/>
            <w:vAlign w:val="bottom"/>
            <w:gridSpan w:val="3"/>
          </w:tcPr>
          <w:p>
            <w:pPr>
              <w:jc w:val="right"/>
              <w:ind w:right="81"/>
              <w:spacing w:after="0"/>
              <w:rPr>
                <w:sz w:val="20"/>
                <w:szCs w:val="20"/>
                <w:color w:val="auto"/>
              </w:rPr>
            </w:pPr>
            <w:r>
              <w:rPr>
                <w:rFonts w:ascii="Arial" w:cs="Arial" w:eastAsia="Arial" w:hAnsi="Arial"/>
                <w:sz w:val="18"/>
                <w:szCs w:val="18"/>
                <w:color w:val="auto"/>
              </w:rPr>
              <w:t>(47,567)</w:t>
            </w:r>
          </w:p>
        </w:tc>
        <w:tc>
          <w:tcPr>
            <w:tcW w:w="10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47,567</w:t>
            </w:r>
          </w:p>
        </w:tc>
      </w:tr>
      <w:tr>
        <w:trPr>
          <w:trHeight w:val="223"/>
        </w:trPr>
        <w:tc>
          <w:tcPr>
            <w:tcW w:w="74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(1,751,026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(356,959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Investment of cash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withdrawn from Trust Account for taxes</w:t>
      </w:r>
    </w:p>
    <w:p>
      <w:pPr>
        <w:spacing w:after="0" w:line="18" w:lineRule="exact"/>
        <w:rPr>
          <w:sz w:val="20"/>
          <w:szCs w:val="20"/>
          <w:color w:val="auto"/>
        </w:rPr>
      </w:pPr>
    </w:p>
    <w:p>
      <w:pPr>
        <w:jc w:val="right"/>
        <w:ind w:right="4260"/>
        <w:spacing w:after="0"/>
        <w:rPr>
          <w:sz w:val="20"/>
          <w:szCs w:val="20"/>
          <w:color w:val="auto"/>
        </w:rPr>
      </w:pPr>
      <w:r>
        <w:rPr>
          <w:rFonts w:ascii="Arial" w:cs="Arial" w:eastAsia="Arial" w:hAnsi="Arial"/>
          <w:sz w:val="17"/>
          <w:szCs w:val="17"/>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(172,500,000)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872,653—</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872,653    (172,500,000)</w:t>
      </w:r>
    </w:p>
    <w:p>
      <w:pPr>
        <w:spacing w:after="0" w:line="48" w:lineRule="exact"/>
        <w:rPr>
          <w:sz w:val="20"/>
          <w:szCs w:val="20"/>
          <w:color w:val="auto"/>
        </w:rPr>
      </w:pPr>
    </w:p>
    <w:p>
      <w:pPr>
        <w:sectPr>
          <w:pgSz w:w="11900" w:h="16838" w:orient="portrait"/>
          <w:cols w:equalWidth="0" w:num="2">
            <w:col w:w="8540" w:space="720"/>
            <w:col w:w="198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8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169,050,000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Proceeds from sale of Placement Units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5,450,000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(222,725)</w:t>
            </w:r>
          </w:p>
        </w:tc>
        <w:tc>
          <w:tcPr>
            <w:tcW w:w="0" w:type="dxa"/>
            <w:vAlign w:val="bottom"/>
          </w:tcPr>
          <w:p>
            <w:pPr>
              <w:spacing w:after="0"/>
              <w:rPr>
                <w:sz w:val="1"/>
                <w:szCs w:val="1"/>
                <w:color w:val="auto"/>
              </w:rPr>
            </w:pPr>
          </w:p>
        </w:tc>
      </w:tr>
      <w:tr>
        <w:trPr>
          <w:trHeight w:val="237"/>
        </w:trPr>
        <w:tc>
          <w:tcPr>
            <w:tcW w:w="782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(327,132)</w:t>
            </w: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173,950,143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(878,373)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1,093,184</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 Beginning of period</w:t>
            </w:r>
          </w:p>
        </w:tc>
        <w:tc>
          <w:tcPr>
            <w:tcW w:w="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1,093,184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1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214,811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1,093,184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8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1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405,567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1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162,038,390</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 in value of common stock subject to possible redemption</w:t>
            </w: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82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(2,765,450</w:t>
            </w:r>
          </w:p>
        </w:tc>
        <w:tc>
          <w:tcPr>
            <w:tcW w:w="2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74,110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Deferred underwriting fee payable</w:t>
            </w:r>
          </w:p>
        </w:tc>
        <w:tc>
          <w:tcPr>
            <w:tcW w:w="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Payment of offering costs through promissory note</w:t>
            </w: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820" w:type="dxa"/>
            <w:vAlign w:val="bottom"/>
            <w:tcBorders>
              <w:bottom w:val="single" w:sz="8" w:color="CCEEFF"/>
            </w:tcBorders>
            <w:vMerge w:val="continue"/>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222,725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Offering costs paid directly by Sponsor from proceeds from issuance of Class B common stock</w:t>
            </w:r>
          </w:p>
        </w:tc>
        <w:tc>
          <w:tcPr>
            <w:tcW w:w="9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Stable Road Acquisition Corp. (the “Company” or “SRAC”) was incorporated in Delaware on May 28, 2019.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two subsidiaries, Project Marvel First Merger Sub, Inc., a wholly-owned subsidiary of the Company incorporated in Delaware on September 29, 2020 (“First Merger Sub”) and Project Marvel Second Merger Sub, LLC, a wholly-owned subsidiary of the Company incorporated in Delaware on September 29, 2020 (“Second Merger Sub”). First Merger Sub and Second Merger Sub were formed in connection with the proposed business combination with Momentus Inc., a Delaware corporation (“Momentus”), as more fully discussed below.</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and the proposed business combination with Momentus, as more fully discussed below. The Company will not generate any operating revenues until after the completion of its initial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November 7, 2019. On November 13, 2019, the Company consummated the Initial Public Offering of 17,250,000 units (the “Units” and, with respect to the shares common stock included in the Units sold, the “Public Shares”), which includes the full exercise by the underwriter of the over-allotment option to purchase an additional 2,250,000 Units, at $10.00 per Unit, generating gross proceeds of $172,500,000, which is described in Note 3.</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545,000 units (the “Placement Units”) at a price of $10.00 per Placement Unit in a private placement to SRC-NI Holdings, LLC, a Delaware limited liability company (the “Sponsor”), and Cantor Fitzgerald &amp; Co. (“Cantor”), the underwriter of the Initial Public Offering, generating gross proceeds of $5,450,000, which is described in Note 4.</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Transaction costs amounted to $10,924,857, consisting of $3,450,000 of underwriting fees, $6,900,000 of deferred underwriting fees and $574,857 of other offering costs.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the closing of the Initial Public Offering on November 13, 2019, an amount of $172,500,000 ($10.00 per Unit) from the net proceeds of the sale of the Units in the Initial Public Offering and the sale of the Placement Units was placed in a trust account (“Trust Account”) and invested only in U.S. government securities, within the meaning set forth in Section 2(a)(16) of the Investment Company Act, with a maturity of 180 days or less or in any open-ended investment company that holds itself out as a money market fund selected by the Company meeting the conditions of Rule 2a-7 of the Investment Company Act of 1940, as amended (the “Investment Company Act”), as determined by the Company, until the earlier of: (i) the completion of a Business Combination and (ii) the distribution of the Trust Account, as described below.</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(excluding the deferred underwriting commissions and taxes payable on interest earned on the Trust Account)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3" w:lineRule="auto"/>
        <w:rPr>
          <w:sz w:val="20"/>
          <w:szCs w:val="20"/>
          <w:color w:val="auto"/>
        </w:rPr>
      </w:pPr>
      <w:r>
        <w:rPr>
          <w:rFonts w:ascii="Arial" w:cs="Arial" w:eastAsia="Arial" w:hAnsi="Arial"/>
          <w:sz w:val="18"/>
          <w:szCs w:val="18"/>
          <w:color w:val="auto"/>
        </w:rPr>
        <w:t>The Company will provide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($10.00 per Public Share, plus any pro rata interest earned on the funds held in the Trust Account and not previously released to the Company to pay its tax obligations, less up to $100,000 of interest to pay dissolution expenses). The per-share amount to be distributed to Public Stockholders who redeem their Public Shares will not be reduced by the deferred underwriting commissions the Company will pay to the underwriter (as discussed in Note 6). There will be no redemption rights upon the completion of a Business Combination with respect to the Company’s warrants.</w:t>
      </w:r>
    </w:p>
    <w:p>
      <w:pPr>
        <w:spacing w:after="0" w:line="1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has agreed to vote its Founder Shares (as defined in Note 5), Placement Shares (as defined in Note 4)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Sponsor has agreed (a) to waive its redemption rights with respect to its Founder Shares, Placement Shares and Public Shares held by it in connection with the completion of a Business Combination and (b) not to propose an amendment to the Amended and Restated Certificate of Incorporation</w:t>
      </w:r>
    </w:p>
    <w:p>
      <w:pPr>
        <w:jc w:val="both"/>
        <w:ind w:firstLine="8"/>
        <w:spacing w:after="0" w:line="277" w:lineRule="auto"/>
        <w:tabs>
          <w:tab w:leader="none" w:pos="24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would affect the substance or timing of the Company’s obligation to redeem 100% of its Public Shares if the Company does not complete a Business Combination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will have until May 13, 2021 (unless such date is extended in accordance with the Company’s amended and restated certificate of incorporation) to complete a Business Combination (the “Combination Period”), including the proposed business combination with Momentus. However, if the Company is unable to complete a Business Combination within the Combination 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Founder Shares and (along with Cantor) Placement Shares if the Company fails to complete a Business Combination within the Combination Period. However, if the Sponsor acquires Public Shares after the Initial Public Offering, such Public Shares will be entitled to liquidating distributions from the Trust Account if the Company fails to complete a Business Combination within the Combination Period. The underwriter has agreed to waive its rights to its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w:t>
      </w:r>
    </w:p>
    <w:p>
      <w:pPr>
        <w:spacing w:after="0" w:line="2" w:lineRule="exact"/>
        <w:rPr>
          <w:sz w:val="20"/>
          <w:szCs w:val="20"/>
          <w:color w:val="auto"/>
        </w:rPr>
      </w:pPr>
    </w:p>
    <w:p>
      <w:pPr>
        <w:jc w:val="both"/>
        <w:ind w:firstLine="8"/>
        <w:spacing w:after="0" w:line="268" w:lineRule="auto"/>
        <w:tabs>
          <w:tab w:leader="none" w:pos="2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$10.00 per Public Share and (ii) the actual amount per Public Share held in the Trust Account as of the date of the liquidation of the Trust Account, if less than $10.00 per share due to reductions in the value of the trust assets less taxes payable. This liability will not apply with respect to any claims by a third party or prospective target business who executed a waiver of any and all rights to the monies held in the Trust Account (whether or not such waiver is enforceable) or to any claims under the Company’s indemnity of the underwriter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 The Company’s independent registered public accounting firm and the underwriter of the Initial Public Offering will not execute agreements with the Company waiving such claims to the monies held in the Trust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Business Combination with Momentus Inc.</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7, 2020, SRAC entered into an Agreement and Plan of Merger (the “Merger Agreement”), by and among SRAC, Project Marvel First Merger Sub, Inc., a Delaware corporation and wholly-owned subsidiary of SRAC (“First Merger Sub”), and Project Marvel Second Merger Sub, LLC, a Delaware limited liability company and wholly-owned subsidiary of SRAC (“Second Merger Sub”), and Momentus Inc., a Delaware corporation (“Momentus”), pursuant to which, among other things: (a) First Merger Sub will merge with and into Momentus (“First Merger”), with Momentus being the surviving corporation of the First Merger and (b) immediately following the First Merger and as part of the same overall transaction as the First Merger, Momentus will merge with and into Second Merger Sub (the “Second Merger” and, together with the First Merger, the “Mergers”), with Second Merger Sub being the surviving company of the Second Merger. The Merger Agreement, the Mergers and the other transactions contemplated by the Merger Agreement are referred to herein as the “Proposed Transaction.”</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Merger Agreement, the aggregate merger consideration payable to the equityholders of Momentus will be paid in equity consideration equal to $1,131,000,000, minus Momentus’ indebtedness for borrowed money as of the closing of the Mergers (the “Closing”), plus the amount of Momentus’ cash and cash equivalents (excluding restricted cash as determined in accordance with GAAP, any cash being held on behalf of Momentus’ customers and any security deposits for leases) as of the Closing, plus the aggregate exercise price of all outstanding options and warrants (the “Merger Consideration”). The Merger Consideration payable to the stockholders of Momentus will be paid in shares of newly issued Class A common stock of SRAC, with a deemed value of $10 per share. In addition, SRAC will pay off, or cause to be paid off, on behalf of Momentus and in connection with the Closing, Momentus’ outstanding indebtedness for borrowed money.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79" w:lineRule="auto"/>
        <w:rPr>
          <w:sz w:val="20"/>
          <w:szCs w:val="20"/>
          <w:color w:val="auto"/>
        </w:rPr>
      </w:pPr>
      <w:r>
        <w:rPr>
          <w:rFonts w:ascii="Arial" w:cs="Arial" w:eastAsia="Arial" w:hAnsi="Arial"/>
          <w:sz w:val="17"/>
          <w:szCs w:val="17"/>
          <w:color w:val="auto"/>
        </w:rPr>
        <w:t>In connection with the Proposed Transaction, each share of Momentus’ capital stock (subject to limited exceptions) will be cancelled and automatically deemed for all purposes to represent the right to receive a portion of the Merger Consideration in accordance with Momentus’ organizational documents. In addition, the Merger Consideration that is paid with respect to any shares of Momentus’ capital stock that is subject to any vesting restrictions or other conditions shall continue to be subject to such vesting restrictions and conditions after the Closing.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option of Momentus that is outstanding and unexercised immediately prior to the Closing (whether vested or unvested) will be automatically assumed by SRAC and converted into an option to acquire an adjusted number of shares of Class A common stock at an adjusted exercise price per share and will continue to be governed by substantially the same terms and conditions (including vesting and exercisability terms) as were applicable to the corresponding former option.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warrant to purchase shares of capital stock of Momentus that is outstanding and unexercised immediately prior to the Closing will be automatically converted into a warrant to acquire an adjusted number of shares of Class A common stock at an adjusted exercise price per share and will continue to be governed by substantially the same terms and conditions (including applicable vesting conditions) as were applicable to the corresponding former warrant.</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Consummation of the Proposed Transaction is subject to customary closing conditions for special purpose acquisition companies, including the following conditions to each party’s obligations, among others: (a) approval by SRAC’s stockholders and Momentus’ stockholders, (b) SRAC having at least $5,000,001 of net tangible assets as of the effective time of the consummation of the Mergers, and (c) the approval of the listing of the shares of Class A common stock to be issued in connection with the Closing on The Nasdaq Stock Market LLC and the effectiveness of a Registration Statement on Form S-4. The Merger Agreement may be terminated under certain customary and limited circumstances prior to the consummation of the Mergers.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7, 2020, the Company entered into Subscription Agreements with certain investors pursuant to which the investors have agreed to purchase an aggregate of 17,500,000 shares of Class A common stock in a private placement for $10.00 per share (the “Private Placement”). The proceeds from the Private Placement will be partially used to fund the Repurchase and for general working capital purposes following the closing. The closing of the transactions contemplated by the Subscription Agreements is contingent upon, among other customary closing conditions, the substantially concurrent consummation of the Proposed Transaction.</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Concurrently with the execution of the Merger Agreement, an investor of Momentus, the Company and Momentus entered into a repurchase agreement (the “Repurchase Agreement”) pursuant to which, amongst other things, the Company has agreed to repurchase a certain number of shares of Class A common stock from an investor of Momentus, at a purchase price of $10.00 per share, immediately following the Closing (the “Repurchase”). The Repurchase is contingent on the amount of available cash the Company has at the Closing from (a) the Private Placement (and any alternative financing arranged by the Company and Momentus in the event the Private Placement becomes unavailable) and (b) the funds in the Company’s trust account (after taking into account payments required to satisfy SRAC’s stockholder redemptions), after further deducting the amount of the Company’s transaction expenses and Momentus’ transaction expenses (“</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being in excess of $265 million. If Net Proceeds exceed $265,000,000 but are less than $280,000,000, the number of shares of Class A common stock subject to the Repurchase will be equal to the amount by which Net Proceeds exceed $250 million,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 In the event Net Proceeds are in excess of $280,000,000, the number of shares of Class A common stock subject to the Repurchase will be equal to $30,000,000,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$10.00. At the closing of the Repurchase, the Company will be entitled to deduct from such cash payment an amount equal to 3.3% of such cash payment (representing PML’s obligation to pay Momentus a portion of its transaction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 (“ASU”) 2014-15, “Disclosures of Uncertainties about an Entity’s Ability to Continue as a Going Concern,” the Company has until May 13, 2021 or the extension date, as applicable, to consummate a Business Combination. It is uncertain that the Company will be able to consummate a Business Combination by this time. If a Business Combination is not consummated by this date or the extension date, there will be a mandatory liquidation and subsequent dissolution of the Company. Management has determined that the mandatory liquidation, should a Business Combination not occur, and potential subsequent dissolution raises substantial doubt about the Company’s ability to continue as a going concern. No adjustments have been made to the carrying amounts of assets or liabilities should the Company be required to liquidate after the prescribed date. Management plans to continue its efforts in consummating a business combination by the prescribed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consolidated financial statements are presented in U.S. dollars and have been prepared in accordance with accounting principles generally accepted in the United States of America (“U.S. GAAP”) and pursuant to the accounting and disclosure rules and regulations of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Accounting Standards Codification (“ASC”) Topic 480 “Distinguishing Liabilities from Equity.” Shares of Class common stock subject to mandatory redemption are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held by Public Stockholders features certain redemption rights that are considered to be outside of the Company’s control and subject to occurrence of uncertain future events. Accordingly, at December 31, 2020 and 2019, there were 15,934,705 and 16,211,250 shares of Class A common stock subject to possible redemption, respectively, presented as temporary equity, outside of the stockholders’ equity section of the Company’s consolidated balance sheets.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incurred through the closing date of the Initial Public Offering that are directly related to the Initial Public Offering. Offering costs amounting to $10,924,857 were charged to stockholders’ equity upon the completion of the Initial Public Offering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Topic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income (loss) per common share is computed by dividing net income (loss) by the weighted average number of shares of common stock outstanding for the period. The Company has not considered the effect of warrants sold in the Initial Public Offering and as part of the Placement Units to purchase 8,897,500 shares of Class A common stock in the calculation of diluted income (loss) per share for non-redeemable Class A and B common stock, since the exercise of such warrants are contingent upon the occurrence of future events and the inclusion of such warrants would be anti-dilutive.</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Company’s consolidated statements of operations includes a presentation of income (loss) per share for common shares subject to possible redemption in a manner similar to the two-class method of income (loss) per share. Net income per share, basic and diluted, for Class A redeemable common stock is calculated by dividing the interest income earned on the Trust Account net of applicable franchise and income taxes, by the weighted average number of Class A redeemable common stock outstanding since original issuance. Net loss per share, basic and diluted, for Class A and B non-redeemable common stock is calculated by dividing the net loss, adjusted for the net income attributable to Class A redeemable common stock, by the weighted average number of Class A and B non-redeemable common stock outstanding for the period. Class A and B non-redeemable common stock includes the Founder Shares as these shares do not have any redemption features and do not participate in the income earned on the Trust Account.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May 28, 2019</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Through</w:t>
            </w:r>
          </w:p>
        </w:tc>
      </w:tr>
      <w:tr>
        <w:trPr>
          <w:trHeight w:val="230"/>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Redeemable Class A Common Stock</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Numerator: Net Income allocable to Redeemable Class A Common Stock</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346,011</w:t>
            </w: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(378,916)</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(167,069)</w:t>
            </w:r>
          </w:p>
        </w:tc>
      </w:tr>
      <w:tr>
        <w:trPr>
          <w:trHeight w:val="216"/>
        </w:trPr>
        <w:tc>
          <w:tcPr>
            <w:tcW w:w="86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755,475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17,250,000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Income/Basic and Diluted Redeemable Class A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Non-Redeemable Class A and B 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Numerator: Net (Loss) Income minus Redeemable Net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(2,765,450)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62,359</w:t>
            </w: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Redeemable Net Income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(755,475)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(178,942)</w:t>
            </w: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Arial" w:cs="Arial" w:eastAsia="Arial" w:hAnsi="Arial"/>
                <w:sz w:val="18"/>
                <w:szCs w:val="18"/>
                <w:color w:val="auto"/>
              </w:rPr>
              <w:t>Non-Redeemable 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(3,520,925)</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(116,583)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Weighted Average Non-Redeemable Class A and B Common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680" w:type="dxa"/>
            <w:vAlign w:val="bottom"/>
          </w:tcPr>
          <w:p>
            <w:pPr>
              <w:ind w:left="340"/>
              <w:spacing w:after="0" w:line="256" w:lineRule="exact"/>
              <w:rPr>
                <w:sz w:val="20"/>
                <w:szCs w:val="20"/>
                <w:color w:val="auto"/>
              </w:rPr>
            </w:pPr>
            <w:r>
              <w:rPr>
                <w:rFonts w:ascii="Arial" w:cs="Arial" w:eastAsia="Arial" w:hAnsi="Arial"/>
                <w:sz w:val="18"/>
                <w:szCs w:val="18"/>
                <w:color w:val="auto"/>
              </w:rPr>
              <w:t xml:space="preserve">Non-Redeemable Class A and B Common Stock, Basic and Diluted </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4,857,500</w:t>
            </w: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4,456,075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Loss/Basic and Diluted Non-Redeemable Class A and B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Note: As of December 31, 2020 and 2019, basic and diluted shares are the same as there are no non-redeemable securities that are dilutive to the Company’s stockholders.</w:t>
      </w:r>
    </w:p>
    <w:p>
      <w:pPr>
        <w:spacing w:after="0" w:line="170" w:lineRule="exact"/>
        <w:rPr>
          <w:sz w:val="20"/>
          <w:szCs w:val="20"/>
          <w:color w:val="auto"/>
        </w:rPr>
      </w:pPr>
    </w:p>
    <w:p>
      <w:pPr>
        <w:ind w:left="340" w:right="4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weighted average non-redeemable common stock for the year ended December 31, 2020 and 2019 includes the effect of 545,000 Placement Units, which were issued in conjunction with the initial public offering on November 13, 2019 and which are not subject to redemption.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 approximates the carrying amounts represented in the accompanying consolidated balance sheets, primarily due to their short-term nature (see Note 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Accounting Standards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Initial Public Offering, the Company sold 17,250,000 Units, which includes the full exercise by the underwriter of its option to purchase an additional 2,250,000 Units at $10.00 per Unit. Each Unit consists of one share of Class A common stock and one-half of one redeemable warrant (“Public Warrant”). Each whole Public Warrant entitles the holder to purchase one share of Class A common stock at a price of $11.50 per share, subject to adjustment (see Note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and Cantor purchased an aggregate of 545,000 Placement Units at a price of $10.00 per Placement Unit, for an aggregate purchase price of $5,450,000. Each Placement Unit consists of one share of Class A common stock (“Placement Share”) and one-half of one redeemable warrant (“Placement Warrant”). Each whole Placement Warrant is exercisable to purchase one share of Class A common stock at a price of $11.50 per share. The proceeds from the Placement Units were added to the proceeds from the Initial Public Offering held in the Trust Account. If the Company does not complete a Business Combination within the Combination Period, the proceeds from the sale of the Placement Units will be used to fund the redemption of the Public Shares (subject to the requirements of applicable law), and the Placement Units and all underlying securities will be worthless.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2019, the Sponsor purchased 4,312,500 shares (the “Founder Shares”) of the Company’s Class B common stock for an aggregate price of $25,000. The Founder Shares will automatically convert into shares of Class A common stock at the time of a Business Combination, or earlier at the option of the holders, on a one-for-one basis, subject to certain adjustments, as described in Note 7.</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Founder Shares included up to 562,500 shares subject to forfeiture to the extent that the underwriter’s over-allotment option was not exercised in full or in part, so that the Sponsor would own, on an as-converted basis, 20% of the Company’s issued and outstanding shares after the Initial Public Offering (assuming the Sponsor did not purchase any Public Shares in the Initial Public Offering and excluding Placement Shares included in the Placement Units). As a result of the underwriter’s election to fully exercise its over-allotment option, the 562,500 Founder Shares are no longer subject to forfeiture.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Sponsor has agreed, subject to limited exceptions, not to transfer, assign or sell any of its Founder Shares until the earlier to occur of: (A) one year after the completion of a Business Combination or (B) subsequent to a Business Combination, (x) if the last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entered into an agreement whereby, commencing on November 8, 2019 through the earlier of the Company’s consummation of a Business Combination or its liquidation, the Company will pay an affiliate of the Sponsor a total of $10,000 per month for office space, utilities and administrative support. For the year ended December 31, 2020 and the period from May 28, 2019 (inception) to December 31, 2019, the Company incurred $120,000 and $20,000 in fees for these services, respectively, of which $30,000 and $20,000, are included in accrued expenses in the accompanying consolidated balance sheets at December 31, 2020 and 2019,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28, 2019, the Sponsor agreed to loan the Company an aggregate of up to $300,000 to cover expenses related to the Initial Public Offering pursuant to a promissory note (the “Promissory Note”). The Promissory Note was non-interest bearing and payable on the earlier of December 31, 2019 or the completion of the Initial Public Offering. Borrowings outstanding under the Promissory Note of $222,725 were repaid upon the consummation of the Initial Public Offering on November 13, 2019.</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Placement Units. There were no outstanding borrowings under the Working Capital Loans as of December 31, 20202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completion of a business combination, the specific impact is not readily determinable as of the date of these financial statements.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a registration rights agreement entered into on November 7, 2019, the holders of the Founder Shares, Placement Units (including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are entitled to registration rights, requiring the Company to register such securities for resale (in the case of the Founder Shares, only after conversion to Class A common stock). The holders of the majority of these securities are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Notwithstanding the foregoing, Cantor may not exercise its demand and “piggyback” registration rights after five (5) and seven (7) years after the effective date of the registration statement and may not exercise its demand rights on more than one occasion. The Company will bear the expenses incurred in connection with the filing of any such registration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underwriter was paid a cash underwriting discount of $3,450,000, or $0.20 per Unit of the gross proceeds from the Units sold in the Initial Public Offering. In addition, the underwriter is entitled to a deferred fee of $0.40 per Unit of the gross proceeds from the Units sold in the Initial Public Offering, or $6,900,000 in the aggregate. The deferred fee will become payable to the underwriter from the amounts held in the Trust Account solely in the event that the Company completes a Business Combination, subject to the terms of the underwriting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3, 2020, a purported stockholder of the Company filed a complaint against the Company and its board of directors in the United States District Court for the Southern District of New York, in a case captioned Wallace v. Stable Road Acquisition Corp., et al., No. 1:20-cv-10193, alleging that the Company’s Registration Statement on Form S-4, originally filed with the SEC on November 2, 2020, omitted certain material information regarding the Proposed Transaction with Momentus, in violation of the securities laws. As relief, the complaint seeks an injunction barring the Company from proceeding with a stockholder vote with respect to, or consummating, the Proposed Transaction absent additional disclosures, as well as unspecified costs and damages. On December 9, 2020, another purported stockholder of the Company filed a complaint against the Company and its board of directors in the Supreme Court of the State of New York for the County of New York, in a case captioned Ciccotelli v. Stable Road Acquisition Corp., et al., No. 656895/2020, raising similar allegations and seeking similar relief as the complaint from the Wallace action.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2021, the SEC’s Division of Enforcement informed the Company that it was investigating certain disclosures made in filings with the SEC, including in connection with the Proposed Transaction. The Company is fully cooperating with the SEC’s investigation.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the outcome of these matters cannot be determined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and 2019, there were no shares of preferred stock issued or outstanding.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Class A common stock are entitled to one vote for each share. At December 31, 2020 and 2019, there were 1,860,295 and 1,583,750 shares of Class A common stock issued or outstanding, excluding 15,934,705 and 16,211,250 shares of common stock subject to possible redemption, respectively.</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Holders of Class B common stock are entitled to one vote for each share. At December 31, 2020 and 2019, there were 4,312,500 shares of Class B common stock issued and outstanding.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Holders of Class A common stock and Class B common stock will vote together as a single class on all matters submitted to a vote of stockholders except as required by law.</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(not including the shares of Class A common stock underlying the Placement Units) plus all shares of Class A common stock and equity-linked securities issued or deemed issued in connection with a Business Combination (excluding any shares or equity-linked securities issued, or to be issued, to any seller in a Business Combination, any private placement-equivalent warrants issued, or to be issued, to any seller in a Business Combination, any private placement equivalent securities issued to the Sponsor or its affiliates upon conversion of loans made to the Company).</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warrants will be issued upon separation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and only whole warrants will trade. The Public Warrants will become exercisable on the later of (a) 30 days after the completion of a Business Combination or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863" w:gutter="0" w:footer="0" w:header="0"/>
        </w:sectPr>
      </w:pPr>
    </w:p>
    <w:bookmarkStart w:id="86" w:name="page87"/>
    <w:bookmarkEnd w:id="86"/>
    <w:p>
      <w:pPr>
        <w:jc w:val="both"/>
        <w:ind w:firstLine="648"/>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issuable upon exercise of the warrants is not effective by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the foregoing, if a registration statement covering the Class A common stock issuable upon exercise of the warrants is not effective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and</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Company’s Class A common stock equals or exceeds $18.00 per share for any 20 trading days within a 30-trading day period ending three business days before the Company sends the notice of redemption to the warrant holders.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and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shares of Class A common stock during the 20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55" w:lineRule="auto"/>
        <w:rPr>
          <w:sz w:val="20"/>
          <w:szCs w:val="20"/>
          <w:color w:val="auto"/>
        </w:rPr>
      </w:pPr>
      <w:r>
        <w:rPr>
          <w:rFonts w:ascii="Arial" w:cs="Arial" w:eastAsia="Arial" w:hAnsi="Arial"/>
          <w:sz w:val="18"/>
          <w:szCs w:val="18"/>
          <w:color w:val="auto"/>
        </w:rPr>
        <w:t>The Placement Warrants are identical to the Public Warrants underlying the Units sold in the Initial Public Offering, except that the Placement Warrants and the Class A common stock issuable upon the exercise of the Placement Warrants will not be transferable, assignable or salable until 30 days after the completion of a Business Combination, subject to certain limited exceptions. Additionally, the Placement Warrants will be exercisable on a cashless basis and be non-redeemable so long as they are held by the initial purchasers or their permitted transferees.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significant deferred tax assets or liabilities as of December 31,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ind w:left="660"/>
              <w:spacing w:after="0"/>
              <w:rPr>
                <w:sz w:val="20"/>
                <w:szCs w:val="20"/>
                <w:color w:val="auto"/>
              </w:rPr>
            </w:pPr>
            <w:r>
              <w:rPr>
                <w:rFonts w:ascii="Arial" w:cs="Arial" w:eastAsia="Arial" w:hAnsi="Arial"/>
                <w:sz w:val="18"/>
                <w:szCs w:val="18"/>
                <w:color w:val="auto"/>
              </w:rPr>
              <w:t>The Company’s net deferred tax assets are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Organizational costs/Startup expenses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763,877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asset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763,877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24,483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(763,877)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Deferred tax asset, net of allowance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The income tax provision consists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(739,394)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739,394</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178,866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2020 and 2019, the Company did not have any U.S. federal and state net operating loss carryovers available to offset future taxable income.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2020 and the period from May 28, 2019 (inception) through December 31, 2019, the change in the valuation allowance was $739,394 and $24,483,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6"/>
          <w:szCs w:val="16"/>
          <w:color w:val="auto"/>
        </w:rPr>
        <w:t>A reconciliation of the federal income tax rate to the Company’s effective tax rate at for the year ended December 31, 2020 and for the period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from May 28, 2019 (inception) through December 31, 2019 is as follows: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8"/>
        </w:trPr>
        <w:tc>
          <w:tcPr>
            <w:tcW w:w="85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6"/>
        </w:trPr>
        <w:tc>
          <w:tcPr>
            <w:tcW w:w="85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8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7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21.0%</w:t>
            </w: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9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49"/>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(28.6)%</w:t>
            </w:r>
          </w:p>
        </w:tc>
        <w:tc>
          <w:tcPr>
            <w:tcW w:w="3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r>
      <w:tr>
        <w:trPr>
          <w:trHeight w:val="237"/>
        </w:trPr>
        <w:tc>
          <w:tcPr>
            <w:tcW w:w="8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7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3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0"/>
              </w:rPr>
              <w:t>)%</w:t>
            </w: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620" w:hanging="971"/>
        <w:spacing w:after="0" w:line="342"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4" w:lineRule="exact"/>
        <w:rPr>
          <w:sz w:val="20"/>
          <w:szCs w:val="20"/>
          <w:color w:val="auto"/>
        </w:rPr>
      </w:pPr>
    </w:p>
    <w:p>
      <w:pPr>
        <w:ind w:left="1620" w:right="20" w:hanging="971"/>
        <w:spacing w:after="0" w:line="277"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consolidated balance sheets and adjusted for the amortization or accretion of premiums or discounts.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December 31, 2020, assets held in the Trust Account were comprised of $636 in cash and $173,107,113 in U.S. Treasury securities. During the year ended December 31, 2020, the Company withdrew $872,653 of interest income from the Trust Account to pay for franchise and income taxes.</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December 31, 2019, assets held in the Trust Account were comprised of $873 in cash and $172,845,138 in U.S. Treasury securities. During the period from May 28, 2019 (inception) through December 31, 2019, the Company did not withdraw any interest income from the Trust Account.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2019 and indicates the fair value hierarchy of the valuation inputs the Company utilized to determine such fair value. The gross holding gains and fair value of held-to-maturity securities at December 31, 2020 and 2019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Amortized</w:t>
            </w: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1"/>
        </w:trPr>
        <w:tc>
          <w:tcPr>
            <w:tcW w:w="2980" w:type="dxa"/>
            <w:vAlign w:val="bottom"/>
          </w:tcPr>
          <w:p>
            <w:pPr>
              <w:spacing w:after="0"/>
              <w:rPr>
                <w:sz w:val="20"/>
                <w:szCs w:val="20"/>
                <w:color w:val="auto"/>
              </w:rPr>
            </w:pPr>
          </w:p>
        </w:tc>
        <w:tc>
          <w:tcPr>
            <w:tcW w:w="2960" w:type="dxa"/>
            <w:vAlign w:val="bottom"/>
            <w:gridSpan w:val="2"/>
          </w:tcPr>
          <w:p>
            <w:pPr>
              <w:ind w:left="740"/>
              <w:spacing w:after="0"/>
              <w:rPr>
                <w:sz w:val="20"/>
                <w:szCs w:val="20"/>
                <w:color w:val="auto"/>
              </w:rPr>
            </w:pPr>
            <w:r>
              <w:rPr>
                <w:rFonts w:ascii="Arial" w:cs="Arial" w:eastAsia="Arial" w:hAnsi="Arial"/>
                <w:sz w:val="18"/>
                <w:szCs w:val="18"/>
                <w:b w:val="1"/>
                <w:bCs w:val="1"/>
                <w:color w:val="auto"/>
              </w:rPr>
              <w:t>Held-To-Maturity</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2"/>
        </w:trPr>
        <w:tc>
          <w:tcPr>
            <w:tcW w:w="298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U.S. Treasury Securities (Mature on</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78"/>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1/5/2021)</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173,107,113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173,109,000</w:t>
            </w:r>
          </w:p>
        </w:tc>
      </w:tr>
      <w:tr>
        <w:trPr>
          <w:trHeight w:val="21"/>
        </w:trPr>
        <w:tc>
          <w:tcPr>
            <w:tcW w:w="29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16"/>
        </w:trPr>
        <w:tc>
          <w:tcPr>
            <w:tcW w:w="2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98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U.S. Treasury Securities (Matured on</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78"/>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5/14/2020)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172,845,138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172,858,548</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other than as described below, the Company did not identify subsequent events that would have required adjustment or disclosure in the d consolidated financial statements.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2021, Stable Road Capital LLC and DIBALYD Investments, an affiliate of Nala Investments, each loaned $300,000 to the Company pursuant to non-interest bearing promissory notes in order to finance transaction and working capital costs. The promissory notes mature upon the earlier of June 30, 2021 or the consummation of the Company’s initial Business Combination.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66"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March 8, 2021</w:t>
      </w:r>
      <w:r>
        <w:rPr>
          <w:sz w:val="20"/>
          <w:szCs w:val="20"/>
          <w:color w:val="auto"/>
        </w:rPr>
        <w:tab/>
      </w:r>
      <w:r>
        <w:rPr>
          <w:rFonts w:ascii="Arial" w:cs="Arial" w:eastAsia="Arial" w:hAnsi="Arial"/>
          <w:sz w:val="17"/>
          <w:szCs w:val="17"/>
          <w:b w:val="1"/>
          <w:bCs w:val="1"/>
          <w:color w:val="auto"/>
        </w:rPr>
        <w:t>STABLE ROAD ACQUISITION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28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Kabot</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8, 2021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Brian Kabot</w:t>
            </w:r>
          </w:p>
        </w:tc>
        <w:tc>
          <w:tcPr>
            <w:tcW w:w="120" w:type="dxa"/>
            <w:vAlign w:val="bottom"/>
          </w:tcPr>
          <w:p>
            <w:pPr>
              <w:spacing w:after="0"/>
              <w:rPr>
                <w:sz w:val="20"/>
                <w:szCs w:val="20"/>
                <w:color w:val="auto"/>
              </w:rPr>
            </w:pPr>
          </w:p>
        </w:tc>
        <w:tc>
          <w:tcPr>
            <w:tcW w:w="4380" w:type="dxa"/>
            <w:vAlign w:val="bottom"/>
            <w:gridSpan w:val="2"/>
          </w:tcPr>
          <w:p>
            <w:pPr>
              <w:spacing w:after="0" w:line="203" w:lineRule="exact"/>
              <w:rPr>
                <w:sz w:val="20"/>
                <w:szCs w:val="20"/>
                <w:color w:val="auto"/>
              </w:rPr>
            </w:pPr>
            <w:r>
              <w:rPr>
                <w:rFonts w:ascii="Arial" w:cs="Arial" w:eastAsia="Arial" w:hAnsi="Arial"/>
                <w:sz w:val="18"/>
                <w:szCs w:val="18"/>
                <w:i w:val="1"/>
                <w:iCs w:val="1"/>
                <w:color w:val="auto"/>
              </w:rPr>
              <w:t>(Principal Executive Officer)</w:t>
            </w: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Norris</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8, 2021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James Norris</w:t>
            </w:r>
          </w:p>
        </w:tc>
        <w:tc>
          <w:tcPr>
            <w:tcW w:w="120" w:type="dxa"/>
            <w:vAlign w:val="bottom"/>
          </w:tcPr>
          <w:p>
            <w:pPr>
              <w:spacing w:after="0"/>
              <w:rPr>
                <w:sz w:val="20"/>
                <w:szCs w:val="20"/>
                <w:color w:val="auto"/>
              </w:rPr>
            </w:pPr>
          </w:p>
        </w:tc>
        <w:tc>
          <w:tcPr>
            <w:tcW w:w="4380" w:type="dxa"/>
            <w:vAlign w:val="bottom"/>
            <w:gridSpan w:val="2"/>
          </w:tcPr>
          <w:p>
            <w:pPr>
              <w:spacing w:after="0" w:line="203" w:lineRule="exact"/>
              <w:rPr>
                <w:sz w:val="20"/>
                <w:szCs w:val="20"/>
                <w:color w:val="auto"/>
              </w:rPr>
            </w:pPr>
            <w:r>
              <w:rPr>
                <w:rFonts w:ascii="Arial" w:cs="Arial" w:eastAsia="Arial" w:hAnsi="Arial"/>
                <w:sz w:val="18"/>
                <w:szCs w:val="18"/>
                <w:i w:val="1"/>
                <w:iCs w:val="1"/>
                <w:color w:val="auto"/>
              </w:rPr>
              <w:t>(Principal Financial and Accounting Officer)</w:t>
            </w: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Marc Lehmann</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8, 2021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Marc Lehmann</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Kellen O’Keefe</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8, 2021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Kellen O’Keefe</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Hofmockel</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8, 2021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James Hofmockel</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 Kono</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March 8, 2021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Ann Kono</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309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Kabot,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Stable Road Acquisition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preparing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Norris,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Stable Road Acquisition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Stable Road Acquisition Corp. (the “Company”) for the year ended December 31, 2020, as filed with the Securities and Exchange Commission (the “Report”), I, Brian Kabot, Chief Executive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Kabot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of Stable Road Acquisition Corp. (the “Company”) for the year ended December 31, 2020, as filed with the Securities and Exchange Commission (the “Report”), I, James Norris, Chief Financial Officer of the Company, certify, pursuant to 18 U.S.C. §1350, as added by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Norris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1)"/>
      <w:numFmt w:val="lowerRoman"/>
      <w:start w:val="3"/>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lowerRoman"/>
      <w:start w:val="2"/>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Roman"/>
      <w:start w:val="1"/>
    </w:lvl>
  </w:abstractNum>
  <w:abstractNum w:abstractNumId="23">
    <w:nsid w:val="5072367"/>
    <w:multiLevelType w:val="hybridMultilevel"/>
    <w:lvl w:ilvl="0">
      <w:lvlJc w:val="left"/>
      <w:lvlText w:val="(%1)"/>
      <w:numFmt w:val="lowerRoman"/>
      <w:start w:val="3"/>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lowerLetter"/>
      <w:start w:val="1"/>
    </w:lvl>
    <w:lvl w:ilvl="1">
      <w:lvlJc w:val="left"/>
      <w:lvlText w:val="(%2)"/>
      <w:numFmt w:val="decimal"/>
      <w:start w:val="1"/>
    </w:lvl>
  </w:abstractNum>
  <w:abstractNum w:abstractNumId="35">
    <w:nsid w:val="70A64E2A"/>
    <w:multiLevelType w:val="hybridMultilevel"/>
    <w:lvl w:ilvl="0">
      <w:lvlJc w:val="left"/>
      <w:lvlText w:val="(%1)"/>
      <w:numFmt w:val="decimal"/>
      <w:start w:val="3"/>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emdash "/>
      <w:numFmt w:val="bullet"/>
      <w:start w:val="1"/>
    </w:lvl>
  </w:abstractNum>
  <w:abstractNum w:abstractNumId="40">
    <w:nsid w:val="2CD89A32"/>
    <w:multiLevelType w:val="hybridMultilevel"/>
    <w:lvl w:ilvl="0">
      <w:lvlJc w:val="left"/>
      <w:lvlText w:val="(%1)"/>
      <w:numFmt w:val="lowerRoman"/>
      <w:start w:val="1"/>
    </w:lvl>
  </w:abstractNum>
  <w:abstractNum w:abstractNumId="41">
    <w:nsid w:val="57E4CCAF"/>
    <w:multiLevelType w:val="hybridMultilevel"/>
    <w:lvl w:ilvl="0">
      <w:lvlJc w:val="left"/>
      <w:lvlText w:val="(%1)"/>
      <w:numFmt w:val="lowerRoman"/>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81" Type="http://schemas.openxmlformats.org/officeDocument/2006/relationships/hyperlink" Target="https://www.sec.gov/Archives/edgar/data/1781162/000121390019023186/f8k1119ex1-1_stableroad.htm" TargetMode="External"/><Relationship Id="rId82" Type="http://schemas.openxmlformats.org/officeDocument/2006/relationships/hyperlink" Target="https://www.sec.gov/Archives/edgar/data/1781162/000121390020030403/ea127854ex2-1_stableroad.htm" TargetMode="External"/><Relationship Id="rId83" Type="http://schemas.openxmlformats.org/officeDocument/2006/relationships/hyperlink" Target="https://www.sec.gov/Archives/edgar/data/1781162/000121390019023186/f8k1119ex3-1_stableroad.htm" TargetMode="External"/><Relationship Id="rId84" Type="http://schemas.openxmlformats.org/officeDocument/2006/relationships/hyperlink" Target="https://www.sec.gov/Archives/edgar/data/1781162/000121390019019179/fs12019ex3-3_stableroad.htm" TargetMode="External"/><Relationship Id="rId85" Type="http://schemas.openxmlformats.org/officeDocument/2006/relationships/hyperlink" Target="https://www.sec.gov/Archives/edgar/data/1781162/000121390019023186/f8k1119ex4-1_stableroad.htm" TargetMode="External"/><Relationship Id="rId86" Type="http://schemas.openxmlformats.org/officeDocument/2006/relationships/hyperlink" Target="https://www.sec.gov/Archives/edgar/data/1781162/000121390020007515/f10k2019ex4-2_stable.htm" TargetMode="External"/><Relationship Id="rId87" Type="http://schemas.openxmlformats.org/officeDocument/2006/relationships/hyperlink" Target="https://www.sec.gov/Archives/edgar/data/1781162/000121390019023186/f8k1119ex10-2_stableroad.htm" TargetMode="External"/><Relationship Id="rId88" Type="http://schemas.openxmlformats.org/officeDocument/2006/relationships/hyperlink" Target="https://www.sec.gov/Archives/edgar/data/1781162/000121390019023186/f8k1119ex10-3_stableroad.htm" TargetMode="External"/><Relationship Id="rId89" Type="http://schemas.openxmlformats.org/officeDocument/2006/relationships/hyperlink" Target="https://www.sec.gov/Archives/edgar/data/1781162/000121390019023186/f8k1119ex10-1_stableroad.htm" TargetMode="External"/><Relationship Id="rId90" Type="http://schemas.openxmlformats.org/officeDocument/2006/relationships/hyperlink" Target="https://www.sec.gov/Archives/edgar/data/1781162/000121390019023186/f8k1119ex10-4_stableroad.htm" TargetMode="External"/><Relationship Id="rId91" Type="http://schemas.openxmlformats.org/officeDocument/2006/relationships/hyperlink" Target="https://www.sec.gov/Archives/edgar/data/1781162/000121390019023186/f8k1119ex10-5_stableroad.htm" TargetMode="External"/><Relationship Id="rId92" Type="http://schemas.openxmlformats.org/officeDocument/2006/relationships/hyperlink" Target="https://www.sec.gov/Archives/edgar/data/1781162/000121390019023186/f8k1119ex10-6_stableroad.htm" TargetMode="External"/><Relationship Id="rId93" Type="http://schemas.openxmlformats.org/officeDocument/2006/relationships/hyperlink" Target="https://www.sec.gov/Archives/edgar/data/1781162/000121390020030403/ea127854ex10-1_stableroad.htm" TargetMode="External"/><Relationship Id="rId94" Type="http://schemas.openxmlformats.org/officeDocument/2006/relationships/hyperlink" Target="https://www.sec.gov/Archives/edgar/data/1781162/000121390020030403/ea127854ex10-2_stableroad.htm" TargetMode="External"/><Relationship Id="rId95" Type="http://schemas.openxmlformats.org/officeDocument/2006/relationships/hyperlink" Target="https://www.sec.gov/Archives/edgar/data/1781162/000121390020030403/ea127854ex10-3_stableroad.htm" TargetMode="External"/><Relationship Id="rId96" Type="http://schemas.openxmlformats.org/officeDocument/2006/relationships/hyperlink" Target="https://www.sec.gov/Archives/edgar/data/1781162/000121390020030403/ea127854ex10-4_stableroad.htm" TargetMode="External"/><Relationship Id="rId97" Type="http://schemas.openxmlformats.org/officeDocument/2006/relationships/hyperlink" Target="https://www.sec.gov/Archives/edgar/data/1781162/000121390019020151/fs12019a1ex14_st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2021-03-08T09:12:33Z</dcterms:created>
  <dcterms:modified xsi:type="dcterms:W3CDTF">2021-03-08T09:12:33Z</dcterms:modified>
</cp:coreProperties>
</file>