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001-39128</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Momentus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84-1905538</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1762 Automation Parkway</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95131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200" w:after="283"/>
        <w:jc w:val="center"/>
        <w:rPr>
          <w:rFonts w:ascii="Times New Roman;serif" w:hAnsi="Times New Roman;serif"/>
          <w:b/>
          <w:color w:val="000000"/>
          <w:sz w:val="20"/>
        </w:rPr>
      </w:pPr>
      <w:r>
        <w:rPr>
          <w:rFonts w:ascii="Times New Roman;serif" w:hAnsi="Times New Roman;serif"/>
          <w:b/>
          <w:color w:val="000000"/>
          <w:sz w:val="20"/>
        </w:rPr>
        <w:t>(650) 564-7820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711"/>
        <w:gridCol w:w="623"/>
        <w:gridCol w:w="630"/>
        <w:gridCol w:w="539"/>
        <w:gridCol w:w="539"/>
        <w:gridCol w:w="541"/>
        <w:gridCol w:w="1085"/>
        <w:gridCol w:w="1085"/>
        <w:gridCol w:w="1535"/>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MNTS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MNTSW</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 xml:space="preserve">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21,963,401 shares of Class A common stock as of August 10,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21" w:type="dxa"/>
        <w:jc w:val="center"/>
        <w:tblInd w:w="0" w:type="dxa"/>
        <w:tblLayout w:type="fixed"/>
        <w:tblCellMar>
          <w:top w:w="28" w:type="dxa"/>
          <w:left w:w="28" w:type="dxa"/>
          <w:bottom w:w="28" w:type="dxa"/>
          <w:right w:w="28" w:type="dxa"/>
        </w:tblCellMar>
      </w:tblPr>
      <w:tblGrid>
        <w:gridCol w:w="2887"/>
        <w:gridCol w:w="2539"/>
        <w:gridCol w:w="2554"/>
        <w:gridCol w:w="158"/>
        <w:gridCol w:w="158"/>
        <w:gridCol w:w="225"/>
      </w:tblGrid>
      <w:tr>
        <w:trPr/>
        <w:tc>
          <w:tcPr>
            <w:tcW w:w="2887"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133">
              <w:r>
                <w:rPr>
                  <w:rStyle w:val="InternetLink"/>
                  <w:rFonts w:ascii="Times New Roman;serif" w:hAnsi="Times New Roman;serif"/>
                  <w:b w:val="false"/>
                  <w:strike w:val="false"/>
                  <w:dstrike w:val="false"/>
                  <w:color w:val="000000"/>
                  <w:sz w:val="20"/>
                  <w:u w:val="none"/>
                  <w:effect w:val="none"/>
                </w:rPr>
                <w:t xml:space="preserve">Part I - Financial Information </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0fd60911f930448a94c70572355970ae_133">
              <w:r>
                <w:rPr>
                  <w:rStyle w:val="InternetLink"/>
                  <w:rFonts w:ascii="Times New Roman;serif" w:hAnsi="Times New Roman;serif"/>
                  <w:b w:val="false"/>
                  <w:strike w:val="false"/>
                  <w:dstrike w:val="false"/>
                  <w:color w:val="000000"/>
                  <w:sz w:val="20"/>
                  <w:u w:val="none"/>
                  <w:effect w:val="none"/>
                </w:rPr>
                <w:t>5</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139">
              <w:r>
                <w:rPr>
                  <w:rStyle w:val="InternetLink"/>
                  <w:rFonts w:ascii="Times New Roman;serif" w:hAnsi="Times New Roman;serif"/>
                  <w:b w:val="false"/>
                  <w:strike w:val="false"/>
                  <w:dstrike w:val="false"/>
                  <w:color w:val="000000"/>
                  <w:sz w:val="20"/>
                  <w:u w:val="none"/>
                  <w:effect w:val="none"/>
                </w:rPr>
                <w:t>Item 1. Condensed Consolidated Interim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136">
              <w:r>
                <w:rPr>
                  <w:rStyle w:val="InternetLink"/>
                  <w:rFonts w:ascii="Times New Roman;serif" w:hAnsi="Times New Roman;serif"/>
                  <w:b w:val="false"/>
                  <w:strike w:val="false"/>
                  <w:dstrike w:val="false"/>
                  <w:color w:val="000000"/>
                  <w:sz w:val="20"/>
                  <w:u w:val="none"/>
                  <w:effect w:val="none"/>
                </w:rPr>
                <w:t>5</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142">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142">
              <w:r>
                <w:rPr>
                  <w:rStyle w:val="InternetLink"/>
                  <w:rFonts w:ascii="Times New Roman;serif" w:hAnsi="Times New Roman;serif"/>
                  <w:b w:val="false"/>
                  <w:strike w:val="false"/>
                  <w:dstrike w:val="false"/>
                  <w:color w:val="000000"/>
                  <w:sz w:val="20"/>
                  <w:u w:val="none"/>
                  <w:effect w:val="none"/>
                </w:rPr>
                <w:t>5</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145">
              <w:r>
                <w:rPr>
                  <w:rStyle w:val="InternetLink"/>
                  <w:rFonts w:ascii="Times New Roman;serif" w:hAnsi="Times New Roman;serif"/>
                  <w:b w:val="false"/>
                  <w:strike w:val="false"/>
                  <w:dstrike w:val="false"/>
                  <w:color w:val="000000"/>
                  <w:sz w:val="20"/>
                  <w:u w:val="none"/>
                  <w:effect w:val="non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145">
              <w:r>
                <w:rPr>
                  <w:rStyle w:val="InternetLink"/>
                  <w:rFonts w:ascii="Times New Roman;serif" w:hAnsi="Times New Roman;serif"/>
                  <w:b w:val="false"/>
                  <w:strike w:val="false"/>
                  <w:dstrike w:val="false"/>
                  <w:color w:val="000000"/>
                  <w:sz w:val="20"/>
                  <w:u w:val="none"/>
                  <w:effect w:val="none"/>
                </w:rPr>
                <w:t>6</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148">
              <w:r>
                <w:rPr>
                  <w:rStyle w:val="InternetLink"/>
                  <w:rFonts w:ascii="Times New Roman;serif" w:hAnsi="Times New Roman;serif"/>
                  <w:b w:val="false"/>
                  <w:strike w:val="false"/>
                  <w:dstrike w:val="false"/>
                  <w:color w:val="000000"/>
                  <w:sz w:val="20"/>
                  <w:u w:val="none"/>
                  <w:effect w:val="none"/>
                </w:rPr>
                <w:t>Condensed Consolidated Statements of Stockholders’ Equity (Deficit</w:t>
              </w:r>
            </w:hyperlink>
            <w:r>
              <w:rPr>
                <w:rFonts w:ascii="Times New Roman;serif" w:hAnsi="Times New Roman;serif"/>
                <w:b w:val="false"/>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148">
              <w:r>
                <w:rPr>
                  <w:rStyle w:val="InternetLink"/>
                  <w:rFonts w:ascii="Times New Roman;serif" w:hAnsi="Times New Roman;serif"/>
                  <w:b w:val="false"/>
                  <w:strike w:val="false"/>
                  <w:dstrike w:val="false"/>
                  <w:color w:val="000000"/>
                  <w:sz w:val="20"/>
                  <w:u w:val="none"/>
                  <w:effect w:val="none"/>
                </w:rPr>
                <w:t>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151">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151">
              <w:r>
                <w:rPr>
                  <w:rStyle w:val="InternetLink"/>
                  <w:rFonts w:ascii="Times New Roman;serif" w:hAnsi="Times New Roman;serif"/>
                  <w:b w:val="false"/>
                  <w:strike w:val="false"/>
                  <w:dstrike w:val="false"/>
                  <w:color w:val="000000"/>
                  <w:sz w:val="20"/>
                  <w:u w:val="none"/>
                  <w:effect w:val="none"/>
                </w:rPr>
                <w:t>9</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154">
              <w:r>
                <w:rPr>
                  <w:rStyle w:val="InternetLink"/>
                  <w:rFonts w:ascii="Times New Roman;serif" w:hAnsi="Times New Roman;serif"/>
                  <w:b w:val="false"/>
                  <w:strike w:val="false"/>
                  <w:dstrike w:val="false"/>
                  <w:color w:val="000000"/>
                  <w:sz w:val="20"/>
                  <w:u w:val="none"/>
                  <w:effect w:val="none"/>
                </w:rPr>
                <w:t xml:space="preserve">Notes to the </w:t>
              </w:r>
            </w:hyperlink>
            <w:r>
              <w:rPr>
                <w:rFonts w:ascii="Times New Roman;serif" w:hAnsi="Times New Roman;serif"/>
                <w:b w:val="false"/>
                <w:color w:val="000000"/>
                <w:sz w:val="20"/>
              </w:rPr>
              <w:t xml:space="preserve">Condensed </w:t>
            </w:r>
            <w:hyperlink w:anchor="i0fd60911f930448a94c70572355970ae_139">
              <w:r>
                <w:rPr>
                  <w:rStyle w:val="InternetLink"/>
                  <w:rFonts w:ascii="Times New Roman;serif" w:hAnsi="Times New Roman;serif"/>
                  <w:b w:val="false"/>
                  <w:strike w:val="false"/>
                  <w:dstrike w:val="false"/>
                  <w:color w:val="000000"/>
                  <w:sz w:val="20"/>
                  <w:u w:val="none"/>
                  <w:effect w:val="none"/>
                </w:rPr>
                <w:t>Consolidated Interim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154">
              <w:r>
                <w:rPr>
                  <w:rStyle w:val="InternetLink"/>
                  <w:rFonts w:ascii="Times New Roman;serif" w:hAnsi="Times New Roman;serif"/>
                  <w:b w:val="false"/>
                  <w:strike w:val="false"/>
                  <w:dstrike w:val="false"/>
                  <w:color w:val="000000"/>
                  <w:sz w:val="20"/>
                  <w:u w:val="none"/>
                  <w:effect w:val="none"/>
                </w:rPr>
                <w:t>10</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23">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20">
              <w:r>
                <w:rPr>
                  <w:rStyle w:val="InternetLink"/>
                  <w:rFonts w:ascii="Times New Roman;serif" w:hAnsi="Times New Roman;serif"/>
                  <w:b w:val="false"/>
                  <w:strike w:val="false"/>
                  <w:dstrike w:val="false"/>
                  <w:color w:val="000000"/>
                  <w:sz w:val="20"/>
                  <w:u w:val="none"/>
                  <w:effect w:val="none"/>
                </w:rPr>
                <w:t>51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Item 3. Quantitative and Qualitative Disclosures About Market Risk </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59">
              <w:r>
                <w:rPr>
                  <w:rStyle w:val="InternetLink"/>
                  <w:rFonts w:ascii="Times New Roman;serif" w:hAnsi="Times New Roman;serif"/>
                  <w:b w:val="false"/>
                  <w:strike w:val="false"/>
                  <w:dstrike w:val="false"/>
                  <w:color w:val="000000"/>
                  <w:sz w:val="20"/>
                  <w:u w:val="none"/>
                  <w:effect w:val="none"/>
                </w:rPr>
                <w:t>61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62">
              <w:r>
                <w:rPr>
                  <w:rStyle w:val="InternetLink"/>
                  <w:rFonts w:ascii="Times New Roman;serif" w:hAnsi="Times New Roman;serif"/>
                  <w:b w:val="false"/>
                  <w:strike w:val="false"/>
                  <w:dstrike w:val="false"/>
                  <w:color w:val="000000"/>
                  <w:sz w:val="20"/>
                  <w:u w:val="none"/>
                  <w:effect w:val="none"/>
                </w:rPr>
                <w:t xml:space="preserve">Item 4. Controls and Procedures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62">
              <w:r>
                <w:rPr>
                  <w:rStyle w:val="InternetLink"/>
                  <w:rFonts w:ascii="Times New Roman;serif" w:hAnsi="Times New Roman;serif"/>
                  <w:b w:val="false"/>
                  <w:strike w:val="false"/>
                  <w:dstrike w:val="false"/>
                  <w:color w:val="000000"/>
                  <w:sz w:val="20"/>
                  <w:u w:val="none"/>
                  <w:effect w:val="none"/>
                </w:rPr>
                <w:t>62</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65">
              <w:r>
                <w:rPr>
                  <w:rStyle w:val="InternetLink"/>
                  <w:rFonts w:ascii="Times New Roman;serif" w:hAnsi="Times New Roman;serif"/>
                  <w:b w:val="false"/>
                  <w:strike w:val="false"/>
                  <w:dstrike w:val="false"/>
                  <w:color w:val="000000"/>
                  <w:sz w:val="20"/>
                  <w:u w:val="none"/>
                  <w:effect w:val="none"/>
                </w:rPr>
                <w:t>Part II -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65">
              <w:r>
                <w:rPr>
                  <w:rStyle w:val="InternetLink"/>
                  <w:rFonts w:ascii="Times New Roman;serif" w:hAnsi="Times New Roman;serif"/>
                  <w:b w:val="false"/>
                  <w:strike w:val="false"/>
                  <w:dstrike w:val="false"/>
                  <w:color w:val="000000"/>
                  <w:sz w:val="20"/>
                  <w:u w:val="none"/>
                  <w:effect w:val="none"/>
                </w:rPr>
                <w:t>63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68">
              <w:r>
                <w:rPr>
                  <w:rStyle w:val="InternetLink"/>
                  <w:rFonts w:ascii="Times New Roman;serif" w:hAnsi="Times New Roman;serif"/>
                  <w:b w:val="false"/>
                  <w:strike w:val="false"/>
                  <w:dstrike w:val="false"/>
                  <w:color w:val="000000"/>
                  <w:sz w:val="20"/>
                  <w:u w:val="none"/>
                  <w:effect w:val="non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68">
              <w:r>
                <w:rPr>
                  <w:rStyle w:val="InternetLink"/>
                  <w:rFonts w:ascii="Times New Roman;serif" w:hAnsi="Times New Roman;serif"/>
                  <w:b w:val="false"/>
                  <w:strike w:val="false"/>
                  <w:dstrike w:val="false"/>
                  <w:color w:val="000000"/>
                  <w:sz w:val="20"/>
                  <w:u w:val="none"/>
                  <w:effect w:val="none"/>
                </w:rPr>
                <w:t>63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71">
              <w:r>
                <w:rPr>
                  <w:rStyle w:val="InternetLink"/>
                  <w:rFonts w:ascii="Times New Roman;serif" w:hAnsi="Times New Roman;serif"/>
                  <w:b w:val="false"/>
                  <w:strike w:val="false"/>
                  <w:dstrike w:val="false"/>
                  <w:color w:val="000000"/>
                  <w:sz w:val="20"/>
                  <w:u w:val="none"/>
                  <w:effect w:val="none"/>
                </w:rPr>
                <w:t>Item 1A. 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71">
              <w:r>
                <w:rPr>
                  <w:rStyle w:val="InternetLink"/>
                  <w:rFonts w:ascii="Times New Roman;serif" w:hAnsi="Times New Roman;serif"/>
                  <w:b w:val="false"/>
                  <w:strike w:val="false"/>
                  <w:dstrike w:val="false"/>
                  <w:color w:val="000000"/>
                  <w:sz w:val="20"/>
                  <w:u w:val="none"/>
                  <w:effect w:val="none"/>
                </w:rPr>
                <w:t>63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74">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74">
              <w:r>
                <w:rPr>
                  <w:rStyle w:val="InternetLink"/>
                  <w:rFonts w:ascii="Times New Roman;serif" w:hAnsi="Times New Roman;serif"/>
                  <w:b w:val="false"/>
                  <w:strike w:val="false"/>
                  <w:dstrike w:val="false"/>
                  <w:color w:val="000000"/>
                  <w:sz w:val="20"/>
                  <w:u w:val="none"/>
                  <w:effect w:val="none"/>
                </w:rPr>
                <w:t>63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77">
              <w:r>
                <w:rPr>
                  <w:rStyle w:val="InternetLink"/>
                  <w:rFonts w:ascii="Times New Roman;serif" w:hAnsi="Times New Roman;serif"/>
                  <w:b w:val="false"/>
                  <w:strike w:val="false"/>
                  <w:dstrike w:val="false"/>
                  <w:color w:val="000000"/>
                  <w:sz w:val="20"/>
                  <w:u w:val="none"/>
                  <w:effect w:val="none"/>
                </w:rPr>
                <w:t xml:space="preserve">Item 3. Defaults Upon Senior Securities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77">
              <w:r>
                <w:rPr>
                  <w:rStyle w:val="InternetLink"/>
                  <w:rFonts w:ascii="Times New Roman;serif" w:hAnsi="Times New Roman;serif"/>
                  <w:b w:val="false"/>
                  <w:strike w:val="false"/>
                  <w:dstrike w:val="false"/>
                  <w:color w:val="000000"/>
                  <w:sz w:val="20"/>
                  <w:u w:val="none"/>
                  <w:effect w:val="none"/>
                </w:rPr>
                <w:t>63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80">
              <w:r>
                <w:rPr>
                  <w:rStyle w:val="InternetLink"/>
                  <w:rFonts w:ascii="Times New Roman;serif" w:hAnsi="Times New Roman;serif"/>
                  <w:b w:val="false"/>
                  <w:strike w:val="false"/>
                  <w:dstrike w:val="false"/>
                  <w:color w:val="000000"/>
                  <w:sz w:val="20"/>
                  <w:u w:val="none"/>
                  <w:effect w:val="none"/>
                </w:rPr>
                <w:t xml:space="preserve">Item 4. Mine Safety Disclosures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80">
              <w:r>
                <w:rPr>
                  <w:rStyle w:val="InternetLink"/>
                  <w:rFonts w:ascii="Times New Roman;serif" w:hAnsi="Times New Roman;serif"/>
                  <w:b w:val="false"/>
                  <w:strike w:val="false"/>
                  <w:dstrike w:val="false"/>
                  <w:color w:val="000000"/>
                  <w:sz w:val="20"/>
                  <w:u w:val="none"/>
                  <w:effect w:val="none"/>
                </w:rPr>
                <w:t>63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83">
              <w:r>
                <w:rPr>
                  <w:rStyle w:val="InternetLink"/>
                  <w:rFonts w:ascii="Times New Roman;serif" w:hAnsi="Times New Roman;serif"/>
                  <w:b w:val="false"/>
                  <w:strike w:val="false"/>
                  <w:dstrike w:val="false"/>
                  <w:color w:val="000000"/>
                  <w:sz w:val="20"/>
                  <w:u w:val="none"/>
                  <w:effect w:val="none"/>
                </w:rPr>
                <w:t>Item 5.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83">
              <w:r>
                <w:rPr>
                  <w:rStyle w:val="InternetLink"/>
                  <w:rFonts w:ascii="Times New Roman;serif" w:hAnsi="Times New Roman;serif"/>
                  <w:b w:val="false"/>
                  <w:strike w:val="false"/>
                  <w:dstrike w:val="false"/>
                  <w:color w:val="000000"/>
                  <w:sz w:val="20"/>
                  <w:u w:val="none"/>
                  <w:effect w:val="none"/>
                </w:rPr>
                <w:t>63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89">
              <w:r>
                <w:rPr>
                  <w:rStyle w:val="InternetLink"/>
                  <w:rFonts w:ascii="Times New Roman;serif" w:hAnsi="Times New Roman;serif"/>
                  <w:b w:val="false"/>
                  <w:strike w:val="false"/>
                  <w:dstrike w:val="false"/>
                  <w:color w:val="000000"/>
                  <w:sz w:val="20"/>
                  <w:u w:val="none"/>
                  <w:effect w:val="none"/>
                </w:rPr>
                <w:t xml:space="preserve">Item 6. Exhibits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89">
              <w:r>
                <w:rPr>
                  <w:rStyle w:val="InternetLink"/>
                  <w:rFonts w:ascii="Times New Roman;serif" w:hAnsi="Times New Roman;serif"/>
                  <w:b w:val="false"/>
                  <w:strike w:val="false"/>
                  <w:dstrike w:val="false"/>
                  <w:color w:val="000000"/>
                  <w:sz w:val="20"/>
                  <w:u w:val="none"/>
                  <w:effect w:val="none"/>
                </w:rPr>
                <w:t>64</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d60911f930448a94c70572355970ae_292">
              <w:r>
                <w:rPr>
                  <w:rStyle w:val="InternetLink"/>
                  <w:rFonts w:ascii="Times New Roman;serif" w:hAnsi="Times New Roman;serif"/>
                  <w:b w:val="false"/>
                  <w:strike w:val="false"/>
                  <w:dstrike w:val="false"/>
                  <w:color w:val="000000"/>
                  <w:sz w:val="20"/>
                  <w:u w:val="none"/>
                  <w:effect w:val="none"/>
                </w:rPr>
                <w:t xml:space="preserve">Signatures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fd60911f930448a94c70572355970ae_292">
              <w:r>
                <w:rPr>
                  <w:rStyle w:val="InternetLink"/>
                  <w:rFonts w:ascii="Times New Roman;serif" w:hAnsi="Times New Roman;serif"/>
                  <w:b w:val="false"/>
                  <w:strike w:val="false"/>
                  <w:dstrike w:val="false"/>
                  <w:color w:val="000000"/>
                  <w:sz w:val="20"/>
                  <w:u w:val="none"/>
                  <w:effect w:val="non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of the Company to obtain licenses and government approvals for its missions, which are essential to its operations; the ability of the Company to effectively market and sell satellites and satellite components; the ability to market and sell transportation services and planned in-orbit services; the ability of the Company to protect its intellectual property and trade secrets; the development of markets for small satellites and satellite transport and in-orbit services; the ability of the Company to develop, test and validate its technology, including its water plasma propulsion technology and Tape Spring Solar Array;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 described under Part II, Item 1A: “Risk Factors,” in this Form 10-Q and under Part I, Item 1A in our Annual Report on Form 10-K filed with the U.S. Securities and Exchange Commission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color w:val="000000"/>
        </w:rPr>
      </w:pPr>
      <w:r>
        <w:rPr>
          <w:color w:val="000000"/>
        </w:rPr>
        <w:t>“</w:t>
      </w:r>
      <w:r>
        <w:rPr>
          <w:rFonts w:ascii="Times New Roman;serif" w:hAnsi="Times New Roman;serif"/>
          <w:b w:val="false"/>
          <w:color w:val="000000"/>
          <w:sz w:val="20"/>
        </w:rPr>
        <w:t>SEC”) on March 31, 2026. Should one or more of these risks or uncertainties materialize, or should any of our assumptions prove incorrect, actual results may vary in material respects from those projected in these forward</w:t>
        <w:noBreakHyphen/>
        <w:t>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March 31, 2026, may not be exhaustive.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MOMENTUS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br/>
        <w:t>(UNAUDITED)</w:t>
      </w:r>
    </w:p>
    <w:p>
      <w:pPr>
        <w:pStyle w:val="TextBody"/>
        <w:bidi w:val="0"/>
        <w:spacing w:lineRule="auto" w:line="288" w:before="0" w:after="16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number of shares and par value)</w:t>
      </w:r>
    </w:p>
    <w:tbl>
      <w:tblPr>
        <w:tblW w:w="10205" w:type="dxa"/>
        <w:jc w:val="center"/>
        <w:tblInd w:w="0" w:type="dxa"/>
        <w:tblLayout w:type="fixed"/>
        <w:tblCellMar>
          <w:top w:w="28" w:type="dxa"/>
          <w:left w:w="28" w:type="dxa"/>
          <w:bottom w:w="28" w:type="dxa"/>
          <w:right w:w="28" w:type="dxa"/>
        </w:tblCellMar>
      </w:tblPr>
      <w:tblGrid>
        <w:gridCol w:w="3105"/>
        <w:gridCol w:w="2248"/>
        <w:gridCol w:w="2217"/>
        <w:gridCol w:w="211"/>
        <w:gridCol w:w="826"/>
        <w:gridCol w:w="109"/>
        <w:gridCol w:w="109"/>
        <w:gridCol w:w="109"/>
        <w:gridCol w:w="109"/>
        <w:gridCol w:w="225"/>
        <w:gridCol w:w="770"/>
        <w:gridCol w:w="167"/>
      </w:tblGrid>
      <w:tr>
        <w:trPr/>
        <w:tc>
          <w:tcPr>
            <w:tcW w:w="3105"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machinery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payable,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contingency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 $0.00001 par value; 20,000,000 shares authorized and 0 issued and outstanding as of June 30, 2026; 20,000,000 shares authorized and 547,408 issued and outstanding as of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$0.00001 par value; 250,000,000 shares authorized and 20,342,968 issued and outstanding as of June 30, 2026; 250,000,000 shares authorized and 2,165,559 issued and outstanding as of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$0.00001 par value; 0 shares authorized and 0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(438,578)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br/>
        <w:t>(UNAUDITED)</w:t>
      </w:r>
    </w:p>
    <w:p>
      <w:pPr>
        <w:pStyle w:val="TextBody"/>
        <w:bidi w:val="0"/>
        <w:spacing w:lineRule="auto" w:line="276" w:before="0" w:after="0"/>
        <w:jc w:val="center"/>
        <w:rPr/>
      </w:pPr>
      <w:r>
        <w:rPr>
          <w:rFonts w:ascii="Times New Roman;serif" w:hAnsi="Times New Roman;serif"/>
          <w:b w:val="false"/>
          <w:i/>
          <w:color w:val="000000"/>
          <w:sz w:val="20"/>
        </w:rPr>
        <w:t>(in thousands, except share and per share data)</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742"/>
        <w:gridCol w:w="1504"/>
        <w:gridCol w:w="1508"/>
        <w:gridCol w:w="270"/>
        <w:gridCol w:w="811"/>
        <w:gridCol w:w="109"/>
        <w:gridCol w:w="109"/>
        <w:gridCol w:w="109"/>
        <w:gridCol w:w="109"/>
        <w:gridCol w:w="211"/>
        <w:gridCol w:w="687"/>
        <w:gridCol w:w="109"/>
        <w:gridCol w:w="109"/>
        <w:gridCol w:w="109"/>
        <w:gridCol w:w="109"/>
        <w:gridCol w:w="211"/>
        <w:gridCol w:w="794"/>
        <w:gridCol w:w="109"/>
        <w:gridCol w:w="109"/>
        <w:gridCol w:w="109"/>
        <w:gridCol w:w="109"/>
        <w:gridCol w:w="211"/>
        <w:gridCol w:w="792"/>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disposal of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debt carried at fair value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interim financial statements</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br/>
        <w:t>(UNAUDITED)</w:t>
      </w:r>
    </w:p>
    <w:p>
      <w:pPr>
        <w:pStyle w:val="TextBody"/>
        <w:bidi w:val="0"/>
        <w:spacing w:lineRule="auto" w:line="276" w:before="0" w:after="0"/>
        <w:jc w:val="center"/>
        <w:rPr/>
      </w:pPr>
      <w:r>
        <w:rPr>
          <w:rFonts w:ascii="Times New Roman;serif" w:hAnsi="Times New Roman;serif"/>
          <w:b w:val="false"/>
          <w:i/>
          <w:color w:val="000000"/>
          <w:sz w:val="20"/>
        </w:rPr>
        <w:t>(in thousands, except share data)</w:t>
      </w:r>
      <w:r>
        <w:rPr>
          <w:color w:val="000000"/>
        </w:rPr>
        <w:t xml:space="preserve"> </w:t>
      </w:r>
    </w:p>
    <w:p>
      <w:pPr>
        <w:pStyle w:val="TextBody"/>
        <w:bidi w:val="0"/>
        <w:spacing w:before="0" w:after="0"/>
        <w:jc w:val="center"/>
        <w:rPr/>
      </w:pPr>
      <w:r>
        <w:rPr/>
      </w:r>
    </w:p>
    <w:tbl>
      <w:tblPr>
        <w:tblW w:w="10854" w:type="dxa"/>
        <w:jc w:val="center"/>
        <w:tblInd w:w="0" w:type="dxa"/>
        <w:tblLayout w:type="fixed"/>
        <w:tblCellMar>
          <w:top w:w="28" w:type="dxa"/>
          <w:left w:w="28" w:type="dxa"/>
          <w:bottom w:w="28" w:type="dxa"/>
          <w:right w:w="28" w:type="dxa"/>
        </w:tblCellMar>
      </w:tblPr>
      <w:tblGrid>
        <w:gridCol w:w="809"/>
        <w:gridCol w:w="263"/>
        <w:gridCol w:w="264"/>
        <w:gridCol w:w="420"/>
        <w:gridCol w:w="421"/>
        <w:gridCol w:w="226"/>
        <w:gridCol w:w="109"/>
        <w:gridCol w:w="109"/>
        <w:gridCol w:w="109"/>
        <w:gridCol w:w="245"/>
        <w:gridCol w:w="427"/>
        <w:gridCol w:w="109"/>
        <w:gridCol w:w="109"/>
        <w:gridCol w:w="109"/>
        <w:gridCol w:w="109"/>
        <w:gridCol w:w="488"/>
        <w:gridCol w:w="488"/>
        <w:gridCol w:w="313"/>
        <w:gridCol w:w="109"/>
        <w:gridCol w:w="109"/>
        <w:gridCol w:w="109"/>
        <w:gridCol w:w="238"/>
        <w:gridCol w:w="434"/>
        <w:gridCol w:w="109"/>
        <w:gridCol w:w="109"/>
        <w:gridCol w:w="109"/>
        <w:gridCol w:w="109"/>
        <w:gridCol w:w="211"/>
        <w:gridCol w:w="826"/>
        <w:gridCol w:w="109"/>
        <w:gridCol w:w="109"/>
        <w:gridCol w:w="109"/>
        <w:gridCol w:w="109"/>
        <w:gridCol w:w="211"/>
        <w:gridCol w:w="896"/>
        <w:gridCol w:w="109"/>
        <w:gridCol w:w="109"/>
        <w:gridCol w:w="109"/>
        <w:gridCol w:w="109"/>
        <w:gridCol w:w="226"/>
        <w:gridCol w:w="884"/>
        <w:gridCol w:w="166"/>
      </w:tblGrid>
      <w:tr>
        <w:trPr/>
        <w:tc>
          <w:tcPr>
            <w:tcW w:w="8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Preferred stock – </w:t>
              <w:b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 </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 (deficit)</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547,408 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RSUs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related to Section 16 Officer tax coverage exchange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conversion of preferred stock</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306,672 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At-The-Market Offering, net of issuance costs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2,203,615 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pre-funded warrants and warrants in private placement, net of issuance costs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pre-funded warrants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945,136 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settlement of accounts payable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 liability</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convertible note principal and interest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159,030 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relation to the convertible debt settlement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 stock options, RSAs, RSUs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RSUs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related to Section 16 Officer tax coverage exchange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At-The-Market Offering, net of issuance costs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5,806,465 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pre-funded warrants and warrants in private placement, net of issuance costs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2,623,420 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registered offering, net of issuance costs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1,851,852 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pre-funded warrants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1,651,914 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1,807,941 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 liability</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convertible note principal and interest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735,963 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 stock options, RSAs, RSUs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58"/>
        <w:gridCol w:w="289"/>
        <w:gridCol w:w="290"/>
        <w:gridCol w:w="225"/>
        <w:gridCol w:w="225"/>
        <w:gridCol w:w="226"/>
        <w:gridCol w:w="109"/>
        <w:gridCol w:w="109"/>
        <w:gridCol w:w="109"/>
        <w:gridCol w:w="245"/>
        <w:gridCol w:w="427"/>
        <w:gridCol w:w="109"/>
        <w:gridCol w:w="109"/>
        <w:gridCol w:w="109"/>
        <w:gridCol w:w="109"/>
        <w:gridCol w:w="360"/>
        <w:gridCol w:w="361"/>
        <w:gridCol w:w="263"/>
        <w:gridCol w:w="109"/>
        <w:gridCol w:w="109"/>
        <w:gridCol w:w="109"/>
        <w:gridCol w:w="238"/>
        <w:gridCol w:w="434"/>
        <w:gridCol w:w="109"/>
        <w:gridCol w:w="109"/>
        <w:gridCol w:w="109"/>
        <w:gridCol w:w="109"/>
        <w:gridCol w:w="213"/>
        <w:gridCol w:w="836"/>
        <w:gridCol w:w="110"/>
        <w:gridCol w:w="109"/>
        <w:gridCol w:w="109"/>
        <w:gridCol w:w="109"/>
        <w:gridCol w:w="212"/>
        <w:gridCol w:w="901"/>
        <w:gridCol w:w="109"/>
        <w:gridCol w:w="109"/>
        <w:gridCol w:w="109"/>
        <w:gridCol w:w="109"/>
        <w:gridCol w:w="274"/>
        <w:gridCol w:w="821"/>
        <w:gridCol w:w="208"/>
      </w:tblGrid>
      <w:tr>
        <w:trPr/>
        <w:tc>
          <w:tcPr>
            <w:tcW w:w="75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Preferred stock – </w:t>
              <w:b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 </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 (deficit)</w:t>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0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RSUs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related to Section 16 Officer tax coverage exchange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and related warrants in registered offering, net of issuance costs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pre-funded warrants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warrant inducement, net of issuance costs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convertible note principal and interest</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 stock options, RSAs, RSUs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RSUs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related to Section 16 Officer tax coverage exchange</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prior warrant inducement</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convertible note principal and interest</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settlement of accounts payable and customer deposits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for warrant modification</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with convertible debt</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 stock options, RSAs, RSUs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410,644 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(9,971)</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3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MOMENTUS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br/>
        <w:t>(UNAUDITED)</w:t>
      </w:r>
    </w:p>
    <w:p>
      <w:pPr>
        <w:pStyle w:val="TextBody"/>
        <w:bidi w:val="0"/>
        <w:spacing w:lineRule="auto" w:line="276" w:before="0" w:after="0"/>
        <w:jc w:val="center"/>
        <w:rPr/>
      </w:pPr>
      <w:r>
        <w:rPr>
          <w:rFonts w:ascii="Times New Roman;serif" w:hAnsi="Times New Roman;serif"/>
          <w:b w:val="false"/>
          <w:i/>
          <w:color w:val="000000"/>
          <w:sz w:val="20"/>
        </w:rPr>
        <w:t>(in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746"/>
        <w:gridCol w:w="2405"/>
        <w:gridCol w:w="2420"/>
        <w:gridCol w:w="211"/>
        <w:gridCol w:w="826"/>
        <w:gridCol w:w="109"/>
        <w:gridCol w:w="109"/>
        <w:gridCol w:w="109"/>
        <w:gridCol w:w="109"/>
        <w:gridCol w:w="211"/>
        <w:gridCol w:w="794"/>
        <w:gridCol w:w="156"/>
      </w:tblGrid>
      <w:tr>
        <w:trPr/>
        <w:tc>
          <w:tcPr>
            <w:tcW w:w="2746"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(premium)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debt carried at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fixed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convertible notes for legal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contingency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machinery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notes and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convertible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issuance costs related to exercise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Section 16 Officer shares for tax coverage exchange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pre-funded warrants and related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issuance costs related to common stock, pre-funded warrants and related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Nature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Momentus Inc. (together with its consolidated subsidiaries “Momentus” or the “Company”) is a U.S. commercial space company that offers satellites, satellite buses, satellite technologies, 3D printed tanks, and components, and services, as well as, space infrastructure services, including in-space transportation, hosted payloads and in-orbit services.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Momentus has launched five missions to date, deployed 17 customer satellites, and provided hosted payload services. Four of these missions involved operation of the Vigoride Orbital Service Vehicle (“OSV”) in orbit, and the fifth mission involved use of a deployment system to carry and place customer satellites in orbit. During the four Vigoride missions, the system and technology were tested repeatedly. Improvements based on lessons learned during these missions were rapidly incorporated. As a result of these four missions, the Vigoride OSV has been successfully demonstrated in space and accumulated significant flight heritage.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launched its latest OSV, Vigoride 7, on March 30, 2026 to low Earth orbit (“LEO”) with 10 payloads During this mission, which is expected to last several more months, the Company is scheduled to provide hosted payload services to a range of U.S. Government customers with payloads aboard, including the Defense Advanced Research Projects Agency (“DARPA”), SpaceWERX, which is the innovation organization of the U.S. Space Force, the U.S. Air Force Research Laboratory, the National Aeronautics and Space Administration (“NASA”), as well as commercial customers.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Vigoride 7 OSV has completed a series of orbit</w:t>
        <w:noBreakHyphen/>
        <w:t>lowering maneuvers, reducing its altitude nearly 20 km through more than 50 controlled and precisely timed operations of both of its on-board Microwave Electrothermal Thrusters (METs) that utilize water as its propellant. The innovative Momentus MET has now cumulatively been used over 400 times to maneuver the Vigoride spacecraft on the Company’s current mission and on previous missions since 2023 demonstrating the maturity of this proprietary system.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completing orbit</w:t>
        <w:noBreakHyphen/>
        <w:t xml:space="preserve">lowering, Momentus and its mission partners continue to operate hosted payloads on the Vigoride 7 mission. Two such hosted payloads from Momentus are showing good results.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Vigoride’s momentum wheels, flown on the vehicle for the first time, are working smoothly and by design, maintaining the spacecraft’s steadiness, stability, and proper orientation.</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Concurrently, flight testing of a titanium, additively manufactured fuel tank designed by Momentus is going well and holding pressure as expected. The flight test of this fuel tank (that is of the type that is in high demand as small satellites are produced in much greater numbers) is a key step in demonstrating the potential of additive manufacturing, otherwise knows as 3D printing, to accelerate innovation in spacecraft design, reduce production timelines, and enable complex geometries that improve performance of mission-critical spacecraft components.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plans to launch its Vigoride 8 mission in 2027 carrying two payloads for NASA under contracts it has been awarded. Momentus has also begun work on its Vigoride 9 spacecraft for a subsequent mission.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Vigoride OSV, Momentus is also offering this system as a satellite bus. With a growing demand for satellite bus services, Momentus is positioned to advance its hardware and flight-proven technology for this market. The Vigoride bus is a flexible option to meet various mission requirements. Innovations to improve sensor capability, maneuverability, increased power, and lower costs are integrated into the product. Momentus is also offering a smaller version of the Vigoride bus called Vigoride Lite. Momentus believes it can manufacture satellite buses at a rapid and scalable pace.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Capital Resources and Recent Financing Transactions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received net cash provided by financing activities of approximately $109.9 million primarily from sales of Class A common stock, including proceeds from sales under the ATM Sales Agreement, sales through private placements and a registered direct offering, and from the exercise of warrants. The Company sold Class A common stock under the ATM Sales Agreement for gross proceeds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1. Nature of Operations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$47.0 million, completed private placements of securities for gross proceeds of $35.0 million, a registered direct offering for gross proceeds of $25.0 million, and received gross proceeds of $9.6 million from the exercise of warrants. Net cash provided by financing activities reflects the gross proceeds from these financing transactions, net of equity issuance costs and other financing cash flows during the period. See Note 9 for additional details. These proceeds, combined with service revenue received during the six months ended June 30, 2026, have significantly improved the liquidity and financial position of the Company over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Reverse Stock Splits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Effective December 17, 2025, the Company’s stockholders approved a 1-for-17.85 reverse stock split of the Company’s Class A common stock. As a result of the reverse stock split, every 17.85 shares of Class A common stock issued and outstanding on December 17, 2025,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Series A preferred stock were not affected by the reverse stock split.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Also on the effective date of each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the factor applied in the reverse stock split, and multiplying the exercise or conversion price thereof by the same amount,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(“RSUs”) issued and issuable under the Company’s equity compensation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retroactively adjusted all periods presented for the effects of the December 2025 1-for-17.85 reverse stock split. See Note 9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Consolidated Interim Financial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interim financial statements have been prepared in accordance with United States of America Generally Accepted Accounting Principles (“GAAP”) and pursuant to the rules and regulations of the SEC. Certain information and footnote disclosures normally included in financial statements prepared in accordance with GAAP have been condensed or omitted pursuant to such rules and regulations. The consolidated balance sheet as of December 31, 2025 was derived from the Company’s consolidated audited financial statements but does not include all disclosures required by GAAP for consolidated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interim financial statements have been prepared on the same basis as the audited consolidated financial statements. The accompanying condensed consolidated interim financial statements contain all adjustments that are necessary to present fairly the Company’s financial position as of June 30, 2026, and December 31, 2025, the results of operations for the three and six months ended June 30, 2026 and 2025, the statements of changes in stockholders’ equity (deficit) for the three and six months ended June 30, 2026 and 2025, and cash flows for the six months ended June 30, 2026 and 2025. Such adjustments are of a normal and recurring nature. The results for the three and six months ended June 30, 2026, are not necessarily indicative of the results for the year ending December 31, 2026, or for any future period. These condensed consolidated interim financial statements should be read in conjunction with the consolidated audited financial statements as of and for the years ended December 31, 2025 and 2024, filed with the SEC in our Annual Report on Form 10-K filed by the Company on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pPr>
      <w:r>
        <w:rPr>
          <w:rFonts w:ascii="Times New Roman;serif" w:hAnsi="Times New Roman;serif"/>
          <w:b/>
          <w:i/>
          <w:color w:val="000000"/>
          <w:sz w:val="20"/>
        </w:rPr>
        <w:t>Principles of Consolidation</w:t>
      </w:r>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interim financial statements include the accounts of the Company and its subsidiaries. All intercompany transactions and balances have been eliminated upon consolidation.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interim financial statements in conformity with GAAP requires management to make estimates and assumptions that affect the reported amounts in the condensed consolidated interim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condensed consolidated interim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on hand, cash in bank with no restrictions, as well as highly liquid investments which are unrestricted as to withdrawal or use, and which have original maturities of three months or less when initially purchased.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places its cash in the bank, which may at times be in excess of the Federal Deposit Insurance Corporation (“FDIC”) insurance limits of $250,000 per depositor, with high credit quality financial institutions and attempts to limit the amount of credit exposure with any one institution.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Restricted cash primarily represents cash deposited as collateral for the Company’s credit card program. As of June 30, 2026 and December 31, 2025, the Company maintained restricted cash of $0.1 million and $0.1 million, respectively.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60" w:after="283"/>
        <w:jc w:val="both"/>
        <w:rPr/>
      </w:pPr>
      <w:r>
        <w:rPr>
          <w:rFonts w:ascii="Times New Roman;serif" w:hAnsi="Times New Roman;serif"/>
          <w:b w:val="false"/>
          <w:color w:val="000000"/>
          <w:sz w:val="20"/>
        </w:rPr>
        <w:t>Accounts receivable as of June 30, 2026, represent amounts primarily due from Velo3D in connection to the Master Service Agreement executed in April 2025 (refer to</w:t>
      </w:r>
      <w:r>
        <w:rPr>
          <w:color w:val="000000"/>
        </w:rPr>
        <w:t xml:space="preserve"> </w:t>
      </w:r>
      <w:r>
        <w:rPr>
          <w:rFonts w:ascii="Times New Roman;serif" w:hAnsi="Times New Roman;serif"/>
          <w:b w:val="false"/>
          <w:color w:val="000000"/>
          <w:sz w:val="20"/>
        </w:rPr>
        <w:t>Note 9 for additional information). Accounts Receivable are stated at invoice value less estimated allowances for credit losses. Allowances are recorded based on the Company’s assessment of various factors, such as: historical experience, credit quality of its customers, aging of the accounts receivable balances, economic conditions, and other factors that may affect a customer’s ability to pay. The allowance for credit losses as of June 30, 2026 and December 31, 2025, was zero.</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Deferred Fulfillment and Prepaid Launch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prepays for certain launch costs to third-party providers that will carry the transport vehicle to orbit. Prepaid costs allocated to the delivery of a customer’s payload are classified as deferred fulfillment costs and prepaid costs allocated to our payload are classified as prepaid launch costs. All deferred fulfillment and prepaid launch costs are recognized as cost of revenue upon delivery of the related payloads.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deferred fulfillment and prepaid launch costs of $2.9 million and $6.3 million, respectively, with $1.5 million and $5.1 million recorded within prepaids and other current assets, respectively, and $1.4 million and $1.2 million recorded within other non-current assets in our condensed consolidated balance sheets,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Property, Machinery and Equipment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tbl>
      <w:tblPr>
        <w:tblW w:w="9115" w:type="dxa"/>
        <w:jc w:val="left"/>
        <w:tblInd w:w="0" w:type="dxa"/>
        <w:tblLayout w:type="fixed"/>
        <w:tblCellMar>
          <w:top w:w="28" w:type="dxa"/>
          <w:left w:w="28" w:type="dxa"/>
          <w:bottom w:w="28" w:type="dxa"/>
          <w:right w:w="28" w:type="dxa"/>
        </w:tblCellMar>
      </w:tblPr>
      <w:tblGrid>
        <w:gridCol w:w="820"/>
        <w:gridCol w:w="719"/>
        <w:gridCol w:w="725"/>
        <w:gridCol w:w="109"/>
        <w:gridCol w:w="109"/>
        <w:gridCol w:w="109"/>
        <w:gridCol w:w="1906"/>
        <w:gridCol w:w="1906"/>
        <w:gridCol w:w="2712"/>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Fixed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Estimated Useful Life</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Three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Lesser of estimated useful life or remaining lease term (one year to seven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Seven years</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Costs of maintenance or repairs that do not extend the lives of the respective assets are charged to expenses as incurred.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pStyle w:val="TextBody"/>
        <w:bidi w:val="0"/>
        <w:spacing w:lineRule="auto" w:line="288" w:before="160" w:after="283"/>
        <w:jc w:val="both"/>
        <w:rPr/>
      </w:pPr>
      <w:r>
        <w:rPr>
          <w:rFonts w:ascii="Times New Roman;serif" w:hAnsi="Times New Roman;serif"/>
          <w:b w:val="false"/>
          <w:color w:val="000000"/>
          <w:sz w:val="20"/>
        </w:rPr>
        <w:t xml:space="preserve">In accordance with ASC Sub-Topic 350-40, </w:t>
      </w:r>
      <w:r>
        <w:rPr>
          <w:rFonts w:ascii="Times New Roman;serif" w:hAnsi="Times New Roman;serif"/>
          <w:b w:val="false"/>
          <w:i/>
          <w:color w:val="000000"/>
          <w:sz w:val="20"/>
        </w:rPr>
        <w:t>Intangibles</w:t>
      </w:r>
      <w:r>
        <w:rPr>
          <w:rFonts w:ascii="Times New Roman;serif" w:hAnsi="Times New Roman;serif"/>
          <w:b w:val="false"/>
          <w:color w:val="000000"/>
          <w:sz w:val="20"/>
        </w:rPr>
        <w:t>, the Company presents capitalized implementation costs for cloud computing arrangements within prepaid and other current assets, and other non-current assets to properly present the capitalized costs with their related subscription fees.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160" w:after="283"/>
        <w:jc w:val="both"/>
        <w:rPr/>
      </w:pPr>
      <w:r>
        <w:rPr>
          <w:rFonts w:ascii="Times New Roman;serif" w:hAnsi="Times New Roman;serif"/>
          <w:b w:val="false"/>
          <w:color w:val="000000"/>
          <w:sz w:val="20"/>
        </w:rPr>
        <w:t xml:space="preserve">The Company estimates loss contingencies in accordance with ASC Sub-Topic 450-20, </w:t>
      </w:r>
      <w:r>
        <w:rPr>
          <w:rFonts w:ascii="Times New Roman;serif" w:hAnsi="Times New Roman;serif"/>
          <w:b w:val="false"/>
          <w:i/>
          <w:color w:val="000000"/>
          <w:sz w:val="20"/>
        </w:rPr>
        <w:t>Loss Contingencies</w:t>
      </w:r>
      <w:r>
        <w:rPr>
          <w:color w:val="000000"/>
        </w:rPr>
        <w:t xml:space="preserve"> </w:t>
      </w:r>
      <w:r>
        <w:rPr>
          <w:rFonts w:ascii="Times New Roman;serif" w:hAnsi="Times New Roman;serif"/>
          <w:b w:val="false"/>
          <w:color w:val="000000"/>
          <w:sz w:val="20"/>
        </w:rPr>
        <w:t>(“ASC 450-20”), which states that a loss contingency shall be accrued by a charge to income if both of the following conditions are met: (i) information available before the condensed consolidated interim financial statements are issued or are available to be issued indicates that it is probable that a liability had been incurred at the date of the condensed consolidated interim financial statements and (ii) the amount of loss can be reasonably estimated. We regularly evaluate current information available to us to determine whether such accruals should be adjusted and whether new accruals are required. Refer to</w:t>
      </w:r>
      <w:r>
        <w:rPr>
          <w:color w:val="000000"/>
        </w:rPr>
        <w:t xml:space="preserve"> </w:t>
      </w:r>
      <w:r>
        <w:rPr>
          <w:rFonts w:ascii="Times New Roman;serif" w:hAnsi="Times New Roman;serif"/>
          <w:b w:val="false"/>
          <w:color w:val="000000"/>
          <w:sz w:val="20"/>
        </w:rPr>
        <w:t>Note 12 for additional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during the mission to its customers. The Company recognizes revenue for these in-orbit services ratably over time on a straight-line basis. The Company also enters into contracts to perform analysis and provide engineering services to U.S. government organizations.</w:t>
      </w:r>
    </w:p>
    <w:p>
      <w:pPr>
        <w:pStyle w:val="TextBody"/>
        <w:bidi w:val="0"/>
        <w:spacing w:lineRule="auto" w:line="288" w:before="160" w:after="283"/>
        <w:jc w:val="both"/>
        <w:rPr/>
      </w:pPr>
      <w:r>
        <w:rPr>
          <w:rFonts w:ascii="Times New Roman;serif" w:hAnsi="Times New Roman;serif"/>
          <w:b w:val="false"/>
          <w:color w:val="000000"/>
          <w:sz w:val="20"/>
        </w:rPr>
        <w:t>The Company accounts for customer contracts in accordance with ASC Topic 606,</w:t>
      </w:r>
      <w:r>
        <w:rPr>
          <w:color w:val="000000"/>
        </w:rPr>
        <w:t xml:space="preserve">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Topic 606”), which includes the following five-step model:</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Allocation of the transaction price to the performance obligations in the contract.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Recognition of revenue when, or as, the Company satisfies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three and six months ended June 30, 2026, the Company recorded zero and $2.7 million, respectively, and during the three and six months ended June 30, 2025, the Company recorded $0.2 million and $0.4 million of revenue from the U.S. government.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part of its contracts with customers, the Company collects up-front non-refundable deposits prior to launch. As of June 30, 2026 and December 31, 2025, the Company had customer deposit balances of $0.3 million and $4.2 million, respectively, related to signed contracts with customers, including firm orders and options (some of which have already been exercised by customers). These deposits are recorded as contract liabilities in the Company’s condensed consolidated balance sheets. Included in the collected amount as of June 30, 2026 and 2025, are $0.1 million and $0.1 million, respectively, of non-current deposits.</w:t>
      </w:r>
    </w:p>
    <w:p>
      <w:pPr>
        <w:pStyle w:val="TextBody"/>
        <w:bidi w:val="0"/>
        <w:spacing w:lineRule="auto" w:line="288" w:before="160" w:after="283"/>
        <w:jc w:val="both"/>
        <w:rPr/>
      </w:pPr>
      <w:r>
        <w:rPr>
          <w:rFonts w:ascii="Times New Roman;serif" w:hAnsi="Times New Roman;serif"/>
          <w:b w:val="false"/>
          <w:color w:val="000000"/>
          <w:sz w:val="20"/>
        </w:rPr>
        <w:t>During the three and six months ended June 30, 2026, the Company recognized $0.03 million</w:t>
      </w:r>
      <w:r>
        <w:rPr>
          <w:color w:val="000000"/>
        </w:rPr>
        <w:t xml:space="preserve"> </w:t>
      </w:r>
      <w:r>
        <w:rPr>
          <w:rFonts w:ascii="Times New Roman;serif" w:hAnsi="Times New Roman;serif"/>
          <w:b w:val="false"/>
          <w:color w:val="000000"/>
          <w:sz w:val="20"/>
        </w:rPr>
        <w:t>and $3.2 million of revenue, respectively, primarily due to engineering services performed for NASA and hosted payload services. Of the $3.2 million of revenue recognized, $0.6 million was derived from the December 31, 2025, contract liability balance. During the three and six months ended June 30, 2025, the Company recognized</w:t>
      </w:r>
      <w:r>
        <w:rPr>
          <w:color w:val="000000"/>
        </w:rPr>
        <w:t xml:space="preserve"> </w:t>
      </w:r>
      <w:r>
        <w:rPr>
          <w:rFonts w:ascii="Times New Roman;serif" w:hAnsi="Times New Roman;serif"/>
          <w:b w:val="false"/>
          <w:color w:val="000000"/>
          <w:sz w:val="20"/>
        </w:rPr>
        <w:t>$0.2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$0.5 million of revenue, respectively, due to engineering services performed for the DARPA Novel Orbital and Moon Manufacturing, Materials, and Mass-efficient Design (“NOM4D”) and DARPA Bringing Classified Innovation to Defense and Government Systems (“BRIDGES”) programs, and forfeited customer deposits primarily related to expired options. Of the $0.5 million of revenue recognized, $0.1 million was derived from the December 31, 2024, contract liability balance.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disaggregation of revenue by type is as follows: </w:t>
      </w:r>
    </w:p>
    <w:tbl>
      <w:tblPr>
        <w:tblW w:w="6720" w:type="dxa"/>
        <w:jc w:val="left"/>
        <w:tblInd w:w="0" w:type="dxa"/>
        <w:tblLayout w:type="fixed"/>
        <w:tblCellMar>
          <w:top w:w="28" w:type="dxa"/>
          <w:left w:w="28" w:type="dxa"/>
          <w:bottom w:w="28" w:type="dxa"/>
          <w:right w:w="28" w:type="dxa"/>
        </w:tblCellMar>
      </w:tblPr>
      <w:tblGrid>
        <w:gridCol w:w="880"/>
        <w:gridCol w:w="774"/>
        <w:gridCol w:w="776"/>
        <w:gridCol w:w="220"/>
        <w:gridCol w:w="377"/>
        <w:gridCol w:w="113"/>
        <w:gridCol w:w="113"/>
        <w:gridCol w:w="113"/>
        <w:gridCol w:w="113"/>
        <w:gridCol w:w="220"/>
        <w:gridCol w:w="487"/>
        <w:gridCol w:w="113"/>
        <w:gridCol w:w="109"/>
        <w:gridCol w:w="109"/>
        <w:gridCol w:w="109"/>
        <w:gridCol w:w="211"/>
        <w:gridCol w:w="616"/>
        <w:gridCol w:w="109"/>
        <w:gridCol w:w="109"/>
        <w:gridCol w:w="109"/>
        <w:gridCol w:w="109"/>
        <w:gridCol w:w="211"/>
        <w:gridCol w:w="46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Hosted payload services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customer deposits</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project services</w:t>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Level 1, observable inputs such as quoted prices in active markets;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Level 2, inputs other than the quoted prices in active markets that are observable either directly or indirectly;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Level 3, unobservable inputs in which there is little or no market data, which requires that the Company develop its own assumptions.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approximates fair value. The Company had no Level 2 inputs for the three and six months ended June 30, 2026 and at December 31,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does not have any assets measured at fair value on a recurring basis, other than the Credit Provision Derivative (see Note 9 for additional detail). The Credit Provision Derivative is measured at fair value under ASC Topic 815 and is classified within Level 3 of the fair value hierarchy. The Company estimated the fair value of derivative asset based on the expected underutilization payment to be received during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the Credit Provision Derivative asset subject to recurring remeasurement was as follows:</w:t>
      </w:r>
    </w:p>
    <w:tbl>
      <w:tblPr>
        <w:tblW w:w="3712" w:type="dxa"/>
        <w:jc w:val="left"/>
        <w:tblInd w:w="0" w:type="dxa"/>
        <w:tblLayout w:type="fixed"/>
        <w:tblCellMar>
          <w:top w:w="28" w:type="dxa"/>
          <w:left w:w="28" w:type="dxa"/>
          <w:bottom w:w="28" w:type="dxa"/>
          <w:right w:w="28" w:type="dxa"/>
        </w:tblCellMar>
      </w:tblPr>
      <w:tblGrid>
        <w:gridCol w:w="885"/>
        <w:gridCol w:w="779"/>
        <w:gridCol w:w="781"/>
        <w:gridCol w:w="211"/>
        <w:gridCol w:w="466"/>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the following liabilities measured at fair value on a recurring basis:</w:t>
      </w:r>
    </w:p>
    <w:p>
      <w:pPr>
        <w:pStyle w:val="TextBody"/>
        <w:bidi w:val="0"/>
        <w:spacing w:lineRule="auto" w:line="288" w:before="160" w:after="283"/>
        <w:ind w:left="0" w:right="0" w:hanging="180"/>
        <w:jc w:val="both"/>
        <w:rPr/>
      </w:pPr>
      <w:r>
        <w:rPr>
          <w:color w:val="000000"/>
        </w:rPr>
        <w:t>•</w:t>
      </w:r>
      <w:r>
        <w:rPr>
          <w:rFonts w:ascii="Times New Roman;serif" w:hAnsi="Times New Roman;serif"/>
          <w:b w:val="false"/>
          <w:color w:val="000000"/>
          <w:sz w:val="20"/>
        </w:rPr>
        <w:t>Certain of the Company’s warrants are recorded as a derivative liability pursuant to ASC Topic 815,</w:t>
      </w:r>
      <w:r>
        <w:rPr>
          <w:color w:val="000000"/>
        </w:rPr>
        <w:t xml:space="preserve">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Topic 815”), and are classified within Level 3 of the fair value hierarchy as the Company is using the BSM option pricing model.</w:t>
      </w:r>
    </w:p>
    <w:p>
      <w:pPr>
        <w:pStyle w:val="TextBody"/>
        <w:bidi w:val="0"/>
        <w:spacing w:lineRule="auto" w:line="288" w:before="160" w:after="283"/>
        <w:ind w:left="0" w:right="0" w:hanging="180"/>
        <w:jc w:val="both"/>
        <w:rPr/>
      </w:pPr>
      <w:r>
        <w:rPr>
          <w:color w:val="000000"/>
        </w:rPr>
        <w:t>•</w:t>
      </w:r>
      <w:r>
        <w:rPr>
          <w:rFonts w:ascii="Times New Roman;serif" w:hAnsi="Times New Roman;serif"/>
          <w:b w:val="false"/>
          <w:color w:val="000000"/>
          <w:sz w:val="20"/>
        </w:rPr>
        <w:t>The May 2025 Convertible Note, issued for non-employee services, was classified as a liability under ASC Topic 718 and measured at fair value. The May 2025 Convertible Note was classified within Level 3 of the fair value hierarchy as the Company was using a convertible bond pricing model to calculate fair value. Key assumptions used to determine the fair value of the May 2025 Convertible Note were as follows:</w:t>
      </w:r>
    </w:p>
    <w:tbl>
      <w:tblPr>
        <w:tblW w:w="4604" w:type="dxa"/>
        <w:jc w:val="left"/>
        <w:tblInd w:w="0" w:type="dxa"/>
        <w:tblLayout w:type="fixed"/>
        <w:tblCellMar>
          <w:top w:w="28" w:type="dxa"/>
          <w:left w:w="28" w:type="dxa"/>
          <w:bottom w:w="28" w:type="dxa"/>
          <w:right w:w="28" w:type="dxa"/>
        </w:tblCellMar>
      </w:tblPr>
      <w:tblGrid>
        <w:gridCol w:w="679"/>
        <w:gridCol w:w="597"/>
        <w:gridCol w:w="599"/>
        <w:gridCol w:w="211"/>
        <w:gridCol w:w="616"/>
        <w:gridCol w:w="271"/>
        <w:gridCol w:w="109"/>
        <w:gridCol w:w="109"/>
        <w:gridCol w:w="109"/>
        <w:gridCol w:w="265"/>
        <w:gridCol w:w="642"/>
        <w:gridCol w:w="397"/>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9,</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hanging="180"/>
        <w:jc w:val="both"/>
        <w:rPr/>
      </w:pPr>
      <w:r>
        <w:rPr>
          <w:color w:val="000000"/>
        </w:rPr>
        <w:t>•</w:t>
      </w:r>
      <w:r>
        <w:rPr>
          <w:rFonts w:ascii="Times New Roman;serif" w:hAnsi="Times New Roman;serif"/>
          <w:b w:val="false"/>
          <w:color w:val="000000"/>
          <w:sz w:val="20"/>
        </w:rPr>
        <w:t>The AIR Warrants were classified as a liability under ASC Topic 480 and measured at fair value. The AIR Warrants were classified within Level 3 of the fair value hierarchy because their fair value was determined using an option pricing model that incorporated significant unobservable inputs, including expected stock price volatility and the discount rate on the underlying junior convertible notes. The Company calculated the fair value by weighting two different approaches. The AIR Warrants remained significantly out-of-the-money and were valued at zero from December 31, 2025 through their termination on April 17, 2026 (see Note 8); accordingly, the Company did not update the option pricing model assumptions during the six months ended June 30, 2026. Key assumptions used to determine the fair value of the AIR Warrants as of December 31, 2025, were as follows:</w:t>
      </w:r>
    </w:p>
    <w:tbl>
      <w:tblPr>
        <w:tblW w:w="9325" w:type="dxa"/>
        <w:jc w:val="left"/>
        <w:tblInd w:w="0" w:type="dxa"/>
        <w:tblLayout w:type="fixed"/>
        <w:tblCellMar>
          <w:top w:w="28" w:type="dxa"/>
          <w:left w:w="28" w:type="dxa"/>
          <w:bottom w:w="28" w:type="dxa"/>
          <w:right w:w="28" w:type="dxa"/>
        </w:tblCellMar>
      </w:tblPr>
      <w:tblGrid>
        <w:gridCol w:w="1249"/>
        <w:gridCol w:w="1099"/>
        <w:gridCol w:w="1102"/>
        <w:gridCol w:w="693"/>
        <w:gridCol w:w="1681"/>
        <w:gridCol w:w="895"/>
        <w:gridCol w:w="109"/>
        <w:gridCol w:w="109"/>
        <w:gridCol w:w="109"/>
        <w:gridCol w:w="461"/>
        <w:gridCol w:w="1122"/>
        <w:gridCol w:w="696"/>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Underlying Investor Warrants (BSM)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Junior Convertible Notes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on the note</w:t>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78.64 </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 of AIR Warrants (millions)</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ind w:left="0" w:right="0" w:hanging="180"/>
        <w:jc w:val="both"/>
        <w:rPr/>
      </w:pPr>
      <w:r>
        <w:rPr>
          <w:color w:val="000000"/>
        </w:rPr>
        <w:t>•</w:t>
      </w:r>
      <w:r>
        <w:rPr>
          <w:rFonts w:ascii="Times New Roman;serif" w:hAnsi="Times New Roman;serif"/>
          <w:b w:val="false"/>
          <w:color w:val="000000"/>
          <w:sz w:val="20"/>
        </w:rPr>
        <w:t>The ELOC Pre-funded Warrants were classified as a liability under ASC Topic 815 and measured at fair value. The ELOC Pre-funded Warrants were classified within Level 3 of the fair value hierarchy because the number of shares issuable upon exercise was subject to contingent variability, which required management’s estimate of the probability that the trigger will not occur. The Company estimated the fair value of the warrants based on the per share fair value of the Class A common stock at issuance and upon exercise, less the $0.00001 exercise price, multiplied by the current (non-contingent) number of shares.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primary significant unobservable input used in the valuation of the warrants and convertible notes is expected stock price volatility. Expected stock price volatility is based on the actual historical volatility of a group of comparable publicly traded companies observed over a historical period equal to the expected remaining life of the instruments. The risk-free interest rate is based on the U.S. Treasury yield curve in effect on the date of valuation equal to the remaining expected life of the instruments. The expected term was based on the maturity of the instruments, which is 5 years for Class A common stock warrants and 1.5 years for Class B common stock warrants. The dividend yield percentage is zero because the Company does not currently pay dividends, nor does it intend to do so during the expected term of the instruments. There were no transfers between levels of input during the three and six months ended June 30, 2026 and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values of liabilities subject to recurring remeasurement were as follows:</w:t>
      </w:r>
    </w:p>
    <w:tbl>
      <w:tblPr>
        <w:tblW w:w="10205" w:type="dxa"/>
        <w:jc w:val="left"/>
        <w:tblInd w:w="0" w:type="dxa"/>
        <w:tblLayout w:type="fixed"/>
        <w:tblCellMar>
          <w:top w:w="28" w:type="dxa"/>
          <w:left w:w="28" w:type="dxa"/>
          <w:bottom w:w="28" w:type="dxa"/>
          <w:right w:w="28" w:type="dxa"/>
        </w:tblCellMar>
      </w:tblPr>
      <w:tblGrid>
        <w:gridCol w:w="589"/>
        <w:gridCol w:w="503"/>
        <w:gridCol w:w="505"/>
        <w:gridCol w:w="555"/>
        <w:gridCol w:w="674"/>
        <w:gridCol w:w="289"/>
        <w:gridCol w:w="109"/>
        <w:gridCol w:w="109"/>
        <w:gridCol w:w="109"/>
        <w:gridCol w:w="109"/>
        <w:gridCol w:w="109"/>
        <w:gridCol w:w="536"/>
        <w:gridCol w:w="1184"/>
        <w:gridCol w:w="279"/>
        <w:gridCol w:w="109"/>
        <w:gridCol w:w="109"/>
        <w:gridCol w:w="109"/>
        <w:gridCol w:w="413"/>
        <w:gridCol w:w="796"/>
        <w:gridCol w:w="215"/>
        <w:gridCol w:w="109"/>
        <w:gridCol w:w="109"/>
        <w:gridCol w:w="109"/>
        <w:gridCol w:w="575"/>
        <w:gridCol w:w="1107"/>
        <w:gridCol w:w="298"/>
        <w:gridCol w:w="109"/>
        <w:gridCol w:w="109"/>
        <w:gridCol w:w="109"/>
        <w:gridCol w:w="161"/>
      </w:tblGrid>
      <w:tr>
        <w:trPr/>
        <w:tc>
          <w:tcPr>
            <w:tcW w:w="58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Liability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2025 Convertible Note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AIR Warrants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ELOC Pre-funded Warrants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derivative instruments in accordance with ASC Topic 815. The Company does not designate any derivative instruments as hedges of cash flow, fair value, or foreign currency exposures, and therefore does not apply hedge accounting. The Company’s derivative instruments consist of (i) freestanding warrants that do not qualify for equity classification under ASC Topic 815 or that meet the definition of a liability under ASC Topic 480, (ii) embedded features within the Company’s convertible debt instruments that require bifurcation and separate recognition as derivatives, and (iii) other freestanding contracts that meet the definition of a derivative. Derivative instruments are initially and subsequently measured at fair value, with changes in fair value recognized in the condensed consolidated statements of operations. The classification of each derivative as an asset or liability, and as current or non-current, is based on the expected timing of settlement. Fair value is determined using the BSM option pricing model, convertible bond pricing models, or other appropriate valuation techniques, depending on the nature of the instrument. See Note 8 for embedded derivatives associated with the Company’s convertible debt, and Note 9 for the Company’s outstanding warrants.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Warrant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each warrant on issuance to determine whether it should be classified as equity or as a liability. Warrants that meet the definition of a derivative and do not qualify for the derivative scope exception under ASC Topic 815 are classified as derivative liabilities. Warrants that embody an unconditional obligation to transfer assets, or a conditional obligation to issue a variable number of shares, are classified as liabilities under ASC Topic 480 and are initially and subsequently measured at fair value, with changes in fair value recognized in the condensed consolidated statements of operations. Significant unobservable inputs in the valuation of liability</w:t>
        <w:noBreakHyphen/>
        <w:t>classified warrants include expected volatility and, for certain warrants, the discount rate on the underlying instruments, resulting in Level 3 classification within the fair value hierarchy. Liability-classified warrants are presented as non-current, as their liquidation is not reasonably expected to require the use of current assets or the creation of current liabilities. Upon exercise, the fair value of the warrant liability at the exercise date is reclassified to additional paid-in capital within the condensed consolidated statements of stockholders' equity (deficit). See Note 9 for further discussion of the Company’s outstanding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 Classified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Subsequent to the Business Combination, the Company has issued warrants in conjunction with various securities purchase agreements and borrowings (see Note 8 and Note 9 for additional information). The warrants are freestanding equity-linked instruments that meet the indexation and equity classification criteria of ASC Sub</w:t>
        <w:noBreakHyphen/>
        <w:t>Topic 815-40.</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these warrants is recorded in additional paid-in capital on the condensed consolidated balance sheets. The fair value of the warrants are measured using the BSM option pricing model on the grant date.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Modification of Equity Classified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Convertible Instruments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its convertible debt issuances to determine if those contracts or embedded components of those contracts qualify as derivatives requiring separate recognition in the Company’s financial statements. Entities must consider whether to classify contracts that may be settled in the Company’s own stock, such as warrants, as equity of the entity or as an asset or liability. If an event that is not within the entity’s control could require net cash settlement, then the contract should be classified as an asset or a liability rather than as equity. Convertible instruments issued for non-employee services, such as the May 2025 Convertible Note, are classified as liabilities under ASC Topic 718 if cash settlement is possible, measured at fair value each reporting period with changes in fair value recognized in operating expenses (see Note 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the embedded conversion options do not require bifurcation, the Company then evaluates for the existence of a beneficial conversion feature by comparing the fair value of the Company’s underlying stock as of the commitment date to the effective conversion price of the instrument (the intrinsic value).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Debt discounts under these arrangements are amortized over the term of the related debt to their stated date of redemption and are classified in interest expense in the condensed consolidated statements of operations. For liability-classified convertible instruments under ASC Topic 718, no debt discount is recorded, as fair value remeasurement captures all value changes.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Amendments to convertible instruments are evaluated as to whether they should be accounted for as a modification of the original instrument with no change to the accounting or, if the terms are substantially changed, as an extinguishment of the original instrument and the issuance of a new instrument.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Fair Value Option for Convertible Debt</w:t>
      </w:r>
    </w:p>
    <w:p>
      <w:pPr>
        <w:pStyle w:val="TextBody"/>
        <w:bidi w:val="0"/>
        <w:spacing w:lineRule="auto" w:line="288" w:before="160" w:after="283"/>
        <w:jc w:val="both"/>
        <w:rPr/>
      </w:pPr>
      <w:r>
        <w:rPr>
          <w:rFonts w:ascii="Times New Roman;serif" w:hAnsi="Times New Roman;serif"/>
          <w:b w:val="false"/>
          <w:color w:val="000000"/>
          <w:sz w:val="20"/>
        </w:rPr>
        <w:t xml:space="preserve">The Company elected the fair value option (“FVO”) for recognition of its convertible debt issued to J.J. Astor &amp; Co., as permitted under ASC Topic 825,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(see discussion of the May 2025 Loan in Note 8). Under the FVO, the Company recognizes the convertible debt at fair value with changes in fair value recognized in earnings. The FVO may be applied instrument by instrument, but it is irrevocable. As a result of applying the FVO, any direct costs and fees related to the convertible debt is recognized in operating expense in the consolidated statements of operations as incurred and not deferred. Changes in fair value of the convertible debt are recognized as a separate line in the consolidated statements of operations and comprehensive loss.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 Issuance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incurs costs related to the issuance of equity securities. These costs are initially recorded as a prepaid asset under ASC Topic 340 and reclassified to additional paid-in capital as the related equity is earned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service delivery, or amortized to expense, typically research and development, based on the service period or delivery pattern.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Basic and Diluted Loss Per Share</w:t>
      </w:r>
    </w:p>
    <w:p>
      <w:pPr>
        <w:pStyle w:val="TextBody"/>
        <w:bidi w:val="0"/>
        <w:spacing w:lineRule="auto" w:line="288" w:before="160" w:after="283"/>
        <w:jc w:val="both"/>
        <w:rPr/>
      </w:pPr>
      <w:r>
        <w:rPr>
          <w:rFonts w:ascii="Times New Roman;serif" w:hAnsi="Times New Roman;serif"/>
          <w:b w:val="false"/>
          <w:color w:val="000000"/>
          <w:sz w:val="20"/>
        </w:rPr>
        <w:t xml:space="preserve">Net loss per share is provided in accordance with ASC Sub-Topic 260-10, </w:t>
      </w:r>
      <w:r>
        <w:rPr>
          <w:rFonts w:ascii="Times New Roman;serif" w:hAnsi="Times New Roman;serif"/>
          <w:b w:val="false"/>
          <w:i/>
          <w:color w:val="000000"/>
          <w:sz w:val="20"/>
        </w:rPr>
        <w:t>Earnings per Share</w:t>
      </w:r>
      <w:r>
        <w:rPr>
          <w:rFonts w:ascii="Times New Roman;serif" w:hAnsi="Times New Roman;serif"/>
          <w:b w:val="false"/>
          <w:color w:val="000000"/>
          <w:sz w:val="20"/>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and six months ended June 30, 2026 and 2025, there were no impairments of long</w:t>
        <w:noBreakHyphen/>
        <w:t>lived assets. See Note 4 and Note 5 for additional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stock incentive plan under which equity awards are granted to employees, directors, and consultants. The Company also issues equity or liability instruments, such as convertible notes, to non-employees for services under ASC Topic 718, which are measured at fair value at issuance and, for liability-classified instruments, remeasured each reporting period with changes in fair value recognized in operating expenses. All stock-based payments are recognized in the condensed consolidated interim financial statements based on their respective grant date fair values.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RSU fair value is based on our closing stock price on the day of the grant. Stock option fair value is determined using the BSM option pricing model. The model requires management to make a number of assumptions, including expected volatility of the Company’s stock, expected life of the option, risk-free interest rate, and expected dividends. For non-employee awards, such as the May 2025 Convertible Note and shares issued in relation to the VLD MSA (defined in Note 9), fair value is determined using valuation models (e.g., Black-Scholes or similar) with unobservable inputs like volatility and discount rates, and liability-classified awards are remeasured until settlement (see Note 8). Employee Stock Purchase Plan (“ESPP”) compensation fair value is also determined using the BSM option pricing model, using a six-month expected term to conform with the six month ESPP offering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equity awards is expensed over the related service period which is typically the vesting period, and expense is only recognized for awards that are expected to vest. The Company accounts for forfeitures as they occur.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401(k) plan that it offers to its full-time employees. The Company did not contribute to the plan during the three and six months ended June 30, 2026 and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and labor hours (both internal and subcontractors).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contains a lease at inception based on whether there is an identified property, plant or equipment and whether the Company controls the use of the identified asset throughout the period of use.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Operating leases are included in the accompanying condensed consolidated balance sheets. Operating lease right</w:t>
        <w:noBreakHyphen/>
        <w:t>of</w:t>
        <w:noBreakHyphen/>
        <w:t>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pStyle w:val="TextBody"/>
        <w:bidi w:val="0"/>
        <w:spacing w:lineRule="auto" w:line="288" w:before="160" w:after="283"/>
        <w:jc w:val="both"/>
        <w:rPr/>
      </w:pPr>
      <w:r>
        <w:rPr>
          <w:rFonts w:ascii="Times New Roman;serif" w:hAnsi="Times New Roman;serif"/>
          <w:b w:val="false"/>
          <w:color w:val="000000"/>
          <w:sz w:val="20"/>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w:t>
      </w:r>
      <w:r>
        <w:rPr>
          <w:color w:val="000000"/>
        </w:rPr>
        <w:t xml:space="preserve"> </w:t>
      </w:r>
      <w:r>
        <w:rPr>
          <w:rFonts w:ascii="Times New Roman;serif" w:hAnsi="Times New Roman;serif"/>
          <w:b w:val="false"/>
          <w:color w:val="000000"/>
          <w:sz w:val="20"/>
        </w:rPr>
        <w:t>Note 6 for additional details on the Company’s leases.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Note 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60" w:after="283"/>
        <w:jc w:val="both"/>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(“ASC Topic 280”), we are not organized around specific services or geographic regions.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and of the $0.03 million and $3.2 million of revenue recognized by the Company during the three and six months ended June 30, 2026, respectively, 1% was derived from customers domiciled in foreign countries, respectively. Based on the information described above and in accordance with the applicable literature, management has concluded that we are organized and operated as one operating and reportable segment.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Although there are several new accounting pronouncements issued or proposed by the FASB, which have been adopted or will be adopted as applicable, management does not believe any of these accounting pronouncements has had or will have a material impact on the Company’s consolidated financial position or results of operations.</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 (DISE)</w:t>
      </w:r>
      <w:r>
        <w:rPr>
          <w:color w:val="000000"/>
        </w:rPr>
        <w:t xml:space="preserve"> </w:t>
      </w:r>
      <w:r>
        <w:rPr>
          <w:rFonts w:ascii="Times New Roman;serif" w:hAnsi="Times New Roman;serif"/>
          <w:b w:val="false"/>
          <w:color w:val="000000"/>
          <w:sz w:val="20"/>
        </w:rPr>
        <w:t>(“ASU 2024-03”), that requires disclosures about specific types of expenses included in the expense captions presented on the face of the income statement as well as disclosures about selling expenses. Public entities must adopt the new guidance for fiscal years beginning after December 15, 2026, and interim reporting periods beginning after December 15, 2027. The amendments in ASU 2024-06 will be applied prospectively with the option for retrospective application and early adoption is permitted. The Company is in the process of evaluating the potential impact that ASU 2024-03 will have on its condensed consolidated interim financial statements and related disclosures.</w:t>
      </w:r>
    </w:p>
    <w:p>
      <w:pPr>
        <w:pStyle w:val="TextBody"/>
        <w:bidi w:val="0"/>
        <w:spacing w:lineRule="auto" w:line="288" w:before="160" w:after="283"/>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270)—Narrow-Scope Improvements</w:t>
      </w:r>
      <w:r>
        <w:rPr>
          <w:color w:val="000000"/>
        </w:rPr>
        <w:t xml:space="preserve"> </w:t>
      </w:r>
      <w:r>
        <w:rPr>
          <w:rFonts w:ascii="Times New Roman;serif" w:hAnsi="Times New Roman;serif"/>
          <w:b w:val="false"/>
          <w:color w:val="000000"/>
          <w:sz w:val="20"/>
        </w:rPr>
        <w:t>(“ASU 2025-11”), which provides a clearer framework and more consistent application of interim disclosure requirements for public business entities. The guidance is effective for interim periods within annual periods beginning after December 15, 2027. The amendments in ASU 2025-11 will be applied prospectively with the option for retrospective application and early adoption is permitted. The Company does not anticipate that the adoption of ASU 2025-11 will have a material impact on its condensed consolidated interim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3. Prepaids and Other Current Assets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Prepaids and other current assets consisted of the following: </w:t>
      </w:r>
    </w:p>
    <w:tbl>
      <w:tblPr>
        <w:tblW w:w="7330" w:type="dxa"/>
        <w:jc w:val="left"/>
        <w:tblInd w:w="0" w:type="dxa"/>
        <w:tblLayout w:type="fixed"/>
        <w:tblCellMar>
          <w:top w:w="28" w:type="dxa"/>
          <w:left w:w="28" w:type="dxa"/>
          <w:bottom w:w="28" w:type="dxa"/>
          <w:right w:w="28" w:type="dxa"/>
        </w:tblCellMar>
      </w:tblPr>
      <w:tblGrid>
        <w:gridCol w:w="1433"/>
        <w:gridCol w:w="1262"/>
        <w:gridCol w:w="1265"/>
        <w:gridCol w:w="287"/>
        <w:gridCol w:w="839"/>
        <w:gridCol w:w="148"/>
        <w:gridCol w:w="109"/>
        <w:gridCol w:w="109"/>
        <w:gridCol w:w="109"/>
        <w:gridCol w:w="380"/>
        <w:gridCol w:w="1110"/>
        <w:gridCol w:w="279"/>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launch costs, current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design and production services, current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and other current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non-current portion of prepaid launch costs recorded in other non</w:t>
        <w:noBreakHyphen/>
        <w:t>current assets was approximately $1.4 million and $1.2 million, respectively, and the non-current portion of prepaid design and production services recorded in other non-current assets was approximately $6.4 million and $7.0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4. Property, Machinery and Equipment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machinery and equipment, net consisted of the following: </w:t>
      </w:r>
    </w:p>
    <w:tbl>
      <w:tblPr>
        <w:tblW w:w="5965" w:type="dxa"/>
        <w:jc w:val="left"/>
        <w:tblInd w:w="0" w:type="dxa"/>
        <w:tblLayout w:type="fixed"/>
        <w:tblCellMar>
          <w:top w:w="28" w:type="dxa"/>
          <w:left w:w="28" w:type="dxa"/>
          <w:bottom w:w="28" w:type="dxa"/>
          <w:right w:w="28" w:type="dxa"/>
        </w:tblCellMar>
      </w:tblPr>
      <w:tblGrid>
        <w:gridCol w:w="1276"/>
        <w:gridCol w:w="1123"/>
        <w:gridCol w:w="1125"/>
        <w:gridCol w:w="217"/>
        <w:gridCol w:w="480"/>
        <w:gridCol w:w="112"/>
        <w:gridCol w:w="109"/>
        <w:gridCol w:w="109"/>
        <w:gridCol w:w="109"/>
        <w:gridCol w:w="331"/>
        <w:gridCol w:w="732"/>
        <w:gridCol w:w="242"/>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machinery and equipment, gross</w:t>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machinery and equipment,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machinery and equipment was $0.1 million and $0.4 million for the three and six months ended June 30, 2026, respectively, and $0.3 million and $0.6 million for the three and six months ended June 30, 2025, respectively. Depreciation expense is recorded within operating expenses. During the six months ended June 30, 2026, the Company disposed of certain machinery and equipment in connection with the relocation of its headquarters.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Intangible Assets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 as of June 30, 2026:</w:t>
      </w:r>
    </w:p>
    <w:tbl>
      <w:tblPr>
        <w:tblW w:w="10205" w:type="dxa"/>
        <w:jc w:val="left"/>
        <w:tblInd w:w="0" w:type="dxa"/>
        <w:tblLayout w:type="fixed"/>
        <w:tblCellMar>
          <w:top w:w="28" w:type="dxa"/>
          <w:left w:w="28" w:type="dxa"/>
          <w:bottom w:w="28" w:type="dxa"/>
          <w:right w:w="28" w:type="dxa"/>
        </w:tblCellMar>
      </w:tblPr>
      <w:tblGrid>
        <w:gridCol w:w="690"/>
        <w:gridCol w:w="572"/>
        <w:gridCol w:w="574"/>
        <w:gridCol w:w="265"/>
        <w:gridCol w:w="585"/>
        <w:gridCol w:w="136"/>
        <w:gridCol w:w="109"/>
        <w:gridCol w:w="109"/>
        <w:gridCol w:w="109"/>
        <w:gridCol w:w="501"/>
        <w:gridCol w:w="1143"/>
        <w:gridCol w:w="259"/>
        <w:gridCol w:w="109"/>
        <w:gridCol w:w="109"/>
        <w:gridCol w:w="109"/>
        <w:gridCol w:w="232"/>
        <w:gridCol w:w="514"/>
        <w:gridCol w:w="120"/>
        <w:gridCol w:w="109"/>
        <w:gridCol w:w="109"/>
        <w:gridCol w:w="109"/>
        <w:gridCol w:w="1061"/>
        <w:gridCol w:w="1061"/>
        <w:gridCol w:w="1511"/>
      </w:tblGrid>
      <w:tr>
        <w:trPr/>
        <w:tc>
          <w:tcPr>
            <w:tcW w:w="69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Amortization Period (In Years)</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Patents/Intellectual Property</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consisted of the following as of December 31, 2025: </w:t>
      </w:r>
    </w:p>
    <w:tbl>
      <w:tblPr>
        <w:tblW w:w="10205" w:type="dxa"/>
        <w:jc w:val="left"/>
        <w:tblInd w:w="0" w:type="dxa"/>
        <w:tblLayout w:type="fixed"/>
        <w:tblCellMar>
          <w:top w:w="28" w:type="dxa"/>
          <w:left w:w="28" w:type="dxa"/>
          <w:bottom w:w="28" w:type="dxa"/>
          <w:right w:w="28" w:type="dxa"/>
        </w:tblCellMar>
      </w:tblPr>
      <w:tblGrid>
        <w:gridCol w:w="690"/>
        <w:gridCol w:w="572"/>
        <w:gridCol w:w="574"/>
        <w:gridCol w:w="265"/>
        <w:gridCol w:w="585"/>
        <w:gridCol w:w="136"/>
        <w:gridCol w:w="109"/>
        <w:gridCol w:w="109"/>
        <w:gridCol w:w="109"/>
        <w:gridCol w:w="501"/>
        <w:gridCol w:w="1143"/>
        <w:gridCol w:w="259"/>
        <w:gridCol w:w="109"/>
        <w:gridCol w:w="109"/>
        <w:gridCol w:w="109"/>
        <w:gridCol w:w="232"/>
        <w:gridCol w:w="514"/>
        <w:gridCol w:w="120"/>
        <w:gridCol w:w="109"/>
        <w:gridCol w:w="109"/>
        <w:gridCol w:w="109"/>
        <w:gridCol w:w="1061"/>
        <w:gridCol w:w="1061"/>
        <w:gridCol w:w="1511"/>
      </w:tblGrid>
      <w:tr>
        <w:trPr/>
        <w:tc>
          <w:tcPr>
            <w:tcW w:w="69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Amortization Period (In Years)</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Patents/Intellectual Property</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$0.01 million and $0.03 million for the three and six months ended June 30, 2026, respectively, and $0.01 million and $0.03 million for the three and six months ended June 30, 2025,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future estimated amortization expense related to intangible assets is as follows:</w:t>
      </w:r>
    </w:p>
    <w:tbl>
      <w:tblPr>
        <w:tblW w:w="2510" w:type="dxa"/>
        <w:jc w:val="left"/>
        <w:tblInd w:w="0" w:type="dxa"/>
        <w:tblLayout w:type="fixed"/>
        <w:tblCellMar>
          <w:top w:w="28" w:type="dxa"/>
          <w:left w:w="28" w:type="dxa"/>
          <w:bottom w:w="28" w:type="dxa"/>
          <w:right w:w="28" w:type="dxa"/>
        </w:tblCellMar>
      </w:tblPr>
      <w:tblGrid>
        <w:gridCol w:w="608"/>
        <w:gridCol w:w="535"/>
        <w:gridCol w:w="536"/>
        <w:gridCol w:w="211"/>
        <w:gridCol w:w="4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6. Leases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under a non-cancellable operating lease. The Company’s prior San Jose, California lease terminated on March 31, 2026. In December 2025, the Company commenced another lease in San Jose, California. This lease has an expiration date in September 2032.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operating lease expense were as follows: </w:t>
      </w:r>
    </w:p>
    <w:tbl>
      <w:tblPr>
        <w:tblW w:w="6450" w:type="dxa"/>
        <w:jc w:val="left"/>
        <w:tblInd w:w="0" w:type="dxa"/>
        <w:tblLayout w:type="fixed"/>
        <w:tblCellMar>
          <w:top w:w="28" w:type="dxa"/>
          <w:left w:w="28" w:type="dxa"/>
          <w:bottom w:w="28" w:type="dxa"/>
          <w:right w:w="28" w:type="dxa"/>
        </w:tblCellMar>
      </w:tblPr>
      <w:tblGrid>
        <w:gridCol w:w="771"/>
        <w:gridCol w:w="679"/>
        <w:gridCol w:w="680"/>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Variable lease expense consists of the Company’s proportionate share of operating expenses, property taxes, and insurance.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weighted-average remaining lease term was 6.3 years and the weighted-average discount rate was 11.3%.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maturities of the Company’s operating lease liabilities were as follows: </w:t>
      </w:r>
    </w:p>
    <w:tbl>
      <w:tblPr>
        <w:tblW w:w="3665" w:type="dxa"/>
        <w:jc w:val="left"/>
        <w:tblInd w:w="0" w:type="dxa"/>
        <w:tblLayout w:type="fixed"/>
        <w:tblCellMar>
          <w:top w:w="28" w:type="dxa"/>
          <w:left w:w="28" w:type="dxa"/>
          <w:bottom w:w="28" w:type="dxa"/>
          <w:right w:w="28" w:type="dxa"/>
        </w:tblCellMar>
      </w:tblPr>
      <w:tblGrid>
        <w:gridCol w:w="972"/>
        <w:gridCol w:w="855"/>
        <w:gridCol w:w="857"/>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Note 7. Accrued Liabilities</w:t>
      </w:r>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consisted of the following: </w:t>
      </w:r>
    </w:p>
    <w:tbl>
      <w:tblPr>
        <w:tblW w:w="5560" w:type="dxa"/>
        <w:jc w:val="left"/>
        <w:tblInd w:w="0" w:type="dxa"/>
        <w:tblLayout w:type="fixed"/>
        <w:tblCellMar>
          <w:top w:w="28" w:type="dxa"/>
          <w:left w:w="28" w:type="dxa"/>
          <w:bottom w:w="28" w:type="dxa"/>
          <w:right w:w="28" w:type="dxa"/>
        </w:tblCellMar>
      </w:tblPr>
      <w:tblGrid>
        <w:gridCol w:w="1129"/>
        <w:gridCol w:w="994"/>
        <w:gridCol w:w="996"/>
        <w:gridCol w:w="217"/>
        <w:gridCol w:w="480"/>
        <w:gridCol w:w="112"/>
        <w:gridCol w:w="109"/>
        <w:gridCol w:w="109"/>
        <w:gridCol w:w="109"/>
        <w:gridCol w:w="280"/>
        <w:gridCol w:w="819"/>
        <w:gridCol w:w="20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professional services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projects</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Loan Payable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September 2025 Convertible Note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25, 2025, the Company entered into a Securities Purchase Agreement (the “September 2025 SPA”) with an investor (the “September 2025 Private Placement”) pursuant to which the Company agreed to sell (i) a Junior Secured Convertible Note having an aggregate principal amount of $1.6 million (the “September 2025 Convertible Note”), (ii) warrants to purchase up to 81,847 shares of Class A common stock (the “September 2025 Warrants”), and (iii) warrants to purchase up to $4.0 million of additional September 2025 Convertible Notes and September 2025 Warrants (the “AIR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 xml:space="preserve">Note 8. Loan Payable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September 2025 SPA provided that the Company would indemnify the investor for any claims and losses. This indemnification by the Company was an embedded derivative that required bifurcation and recognition as a derivative liability (“Indemnification Derivative”). The Indemnification Derivative instrument was recorded at fair value and marked-to-market each reporting period with changes in fair value being reflected in earnings. As of the issuance date, each subsequent period end, and immediately prior to extinguishment due to the conversion of the September 2025 Convertible Note on April 17, 2026, the Indemnification Derivative was valued at zero.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September 2025 Convertible Note bore an annual interest rate of 8%. Unless earlier converted, principal and any accrued unpaid interest on the September 2025 Convertible Note was due at maturity in September 2026. The September 2025 Convertible Note, including interest accrued thereon, was convertible at any time, in whole or in part, at the option of the holder into shares of Class A common stock at a conversion price of $19.92 per share, subject to certain beneficial ownership limitations provided for in the terms of the September 2025 Convertible Note. The September 2025 Convertible Note was a junior secured obligation of the Company and was secured by certain personal property of 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September 2025 Warrants have an exercise price of $24.99 per share. The September 2025 Warrants may be exercised at any time after issuance and will expire five years from the date of issuance. The exercise of the September 2025 Warrants are subject to certain beneficial ownership limitations provided for in the terms of the September 2025 Warrants. The September 2025 Warrants meet the requirements for equity classification.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received aggregate gross proceeds from the September 2025 Private Placement of approximately $1.5 million, before deducting estimated lender fees and debt issuance costs of $0.1 million paid by the Company.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fair value of the AIR Warrants (discussed below) and the ELOC Pre-funded Warrants (see discussion in Note 9) exceeded the net proceeds received from the September 2025 Private Placement. Therefore, upon allocating the net proceeds of the September 2025 Private Placement, no amounts were allocated to the September 2025 Warrants and the September 2025 Convertible Note was recorded at a 100% discount. The excess fair value of $1.4 million of the AIR Warrants and ELOC Pre-funded Warrants over the net proceeds received was recognized as a loss in other expense in the condensed consolidated statements of operations.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September 2025 Convertible Note could be prepaid in full at any time, subject to a prepayment fee of 10%. The September 2025 Convertible Note would accelerate and become immediately due upon the occurrence of certain customary events of default including, but not limited to, failure to make payments when due, failure to observe or perform covenants or agreements contained in the September 2025 Convertible Note, the bankruptcy or insolvency of the Company or any of its subsidiaries and unsatisfied judgments against the Company. The mandatory redemption of the September 2025 Convertible Note upon one of these events of default was an embedded derivative that required bifurcation and recognition as a derivative liability (“September 2025 Default Redemption Derivative”). Furthermore, contingent interest related to these events of default was an embedded derivative also that required bifurcation and recognition as a derivative liability (“September 2025 Default Interest Derivative”). Both the September 2025 Default Redemption Derivative and the September 2025 Default Interest Derivative instruments were recorded at fair value and marked-to-market each reporting period with changes in fair value being reflected in earnings. As of the issuance date, each subsequent period end, and immediately prior to extinguishment due to the conversion of the September 2025 Convertible Note on April 17, 2026, both the September 2025 Default Redemption Derivative and the September 2025 Default Interest Derivative were valued at zero.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September 2025 Convertible Note also contained certain negative covenants, including prohibitions on the incurrence of indebtedness, liens, amendments to the Company’s organizational documents, dividends, redemption, related party transactions, and entry into any equity line of credit agreement or variable rate transactions other than an “at the market” offering of the Company’s Class A common stock.</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April 2026, the Company converted $1.4 million of principal and accrued interest, with a net carrying value of $0.7 million due to the unamortized discount at the time of conversion, on the September 2025 Convertible Note into 347,663 shares of Class A common stock. The conversions were accounted for under ASC Sub-Topic 470-20, with no gain or loss recognized.</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April 2026 conversions, the Company has no remaining amounts outstanding under the September 2025 Convertible Note. For the three and six months ended June 30, 2026, interest recognized on the September 2025 Convertible Note totaled $0.1 million and $0.6 million, respectively. These amounts consisted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 xml:space="preserve">Note 8. Loan Payable </w:t>
      </w:r>
      <w:r>
        <w:rPr>
          <w:rFonts w:ascii="Times New Roman;serif" w:hAnsi="Times New Roman;serif"/>
          <w:b w:val="false"/>
          <w:color w:val="000000"/>
          <w:sz w:val="20"/>
        </w:rPr>
        <w:t>(cont.)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cash interest expense of less than $0.01 million and $0.04 million, respectively, and non-cash amortization of debt discount of $0.1 million and $0.6 million, respectively.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AIR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September 2025 Private Placement, the Company issued the AIR Warrants. The AIR Warrants were exercisable by the holder immediately with a five-year term and may be exercised in tranches based on the trading volume and price of the Company’s Class A common stock. In addition, the Company could, at its discretion, deliver a call notice requiring the holder to exercise the AIR Warrants, in whole or in part (up to an amount not exceeding two times the average daily trading volume of the Company’s Class A common stock over the relevant period), provided that certain trading conditions were satisfied (including the five-day average trading price equaling or exceeding 125% of the original conversion price of the underlying notes). If the trading conditions were not met at the time of the call notice, the holder would not be obligated to exercise; however, the Company could cancel any unexercised portion of the AIR Warrants (effectively terminating the remaining commitment) if the holder did not proceed with the investment upon such call. This call feature provided the Company with the ability to compel realization or cancellation under various market conditions.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AIR Warrants were classified as a liability under ASC Topic 480 as they embodied a conditional obligation for the Company to transfer assets through the settlement of the underlying 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AIR Warrants were initially measured at a fair value of $1.9 million on the issuance date, with a corresponding allocation from the proceeds of the September 2025 Private Placement, with the excess fair value of the AIR Warrants over the September 2025 Private Placement proceeds recognized in earnings. The AIR Warrants liability was recorded at fair value and marked-to-market each reporting period with changes in fair value reflected in earnings. The Company determined the fair value of the AIR Warrants at issuance using two different approaches. Under the first approach, the instruments underlying the AIR Warrants were assumed to have value equal to proceeds received that would have been received upon exercise of the AIR Warrants and, under the second approach, the instruments underlying the AIR Warrants were valued using a convertible bond pricing model for the underlying convertible note and a BSM option pricing model for the underlying common warrants. The fair value was then determined based on the intrinsic value: the difference between the fair value of the instruments underlying the AIR Warrants and the proceeds that would be received upon exercise of the AIR Warrants. The following inputs were used in the convertible bond and BSM option pricing models:</w:t>
      </w:r>
    </w:p>
    <w:tbl>
      <w:tblPr>
        <w:tblW w:w="9327" w:type="dxa"/>
        <w:jc w:val="left"/>
        <w:tblInd w:w="0" w:type="dxa"/>
        <w:tblLayout w:type="fixed"/>
        <w:tblCellMar>
          <w:top w:w="28" w:type="dxa"/>
          <w:left w:w="28" w:type="dxa"/>
          <w:bottom w:w="28" w:type="dxa"/>
          <w:right w:w="28" w:type="dxa"/>
        </w:tblCellMar>
      </w:tblPr>
      <w:tblGrid>
        <w:gridCol w:w="1249"/>
        <w:gridCol w:w="1099"/>
        <w:gridCol w:w="1102"/>
        <w:gridCol w:w="628"/>
        <w:gridCol w:w="1835"/>
        <w:gridCol w:w="807"/>
        <w:gridCol w:w="109"/>
        <w:gridCol w:w="109"/>
        <w:gridCol w:w="109"/>
        <w:gridCol w:w="420"/>
        <w:gridCol w:w="1229"/>
        <w:gridCol w:w="631"/>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Underlying Investor Warrants (BSM)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Junior Convertible Notes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2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2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on the note</w:t>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 of AIR Warrants (millions)</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 AIR Warrants were exercised during the three and six months ended June 30, 2026. On April 17, 2026, following the full conversion of the September 2025 Convertible Note into shares of Class A common stock, the Company terminated the AIR Warrants as provided therein for no consideration, and the associated liability was derecognized at a fair value of zero with no gain or loss recognized.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May 2025 Loan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30, 2025, the Company and J.J. Astor &amp; Co. entered into a loan agreement (the “May 2025 Loan”) pursuant to which the Company could borrow up to $1.5 million in two tranches of $0.75 million each (the first tranche referred to as the “Initial Tranche” and the second as the “Second Tranche”) and paid debt issuance costs of $0.2 million. The May 2025 Loan had a maturity date of March 6, 2026, and was payable in 40 weekly installments of $25 thousand, with at least 10% in cash and the remainder in shares at a conversion price of $30.35 per share.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 xml:space="preserve">Note 8. Loan Payable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May 2025 Loan could be prepaid in full at any time, subject to a prepayment fee of 120% of the outstanding principal plus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Amounts borrowed under the May 2025 Loan were secured by a lien on substantially all of the assets of the Company. Upon event of default, amounts owing under the May 2025 Loan would increase by 120% and were convertible into shares of Class A common stock at a conversion price equal to 80% of the average of the four lowest volume weighted average closing prices of the Class A common stock during the 20 trading days immediately prior to conversion. The Company elected the FVO for recognition of the May 2025 Loan as permitted under ASC Topic 825.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May 2025 Loan, the Company agreed to issue J.J. Astor &amp; Co. warrants to purchase up to 53,386 shares of Class A common stock with an exercise price of $30.35 per share, subject to adjustment (the “Initial Tranche Warrants”), comprising 26,688 warrants for each tranche. The Initial Tranche Warrants had a fair value of $0.6 million. The warrants are fully vested and expire five years from the date of issuance. The Company determined the fair value of the Initial Tranche Warrants by using a BSM option pricing model, with the following assumptions:</w:t>
      </w:r>
    </w:p>
    <w:tbl>
      <w:tblPr>
        <w:tblW w:w="3018" w:type="dxa"/>
        <w:jc w:val="left"/>
        <w:tblInd w:w="0" w:type="dxa"/>
        <w:tblLayout w:type="fixed"/>
        <w:tblCellMar>
          <w:top w:w="28" w:type="dxa"/>
          <w:left w:w="28" w:type="dxa"/>
          <w:bottom w:w="28" w:type="dxa"/>
          <w:right w:w="28" w:type="dxa"/>
        </w:tblCellMar>
      </w:tblPr>
      <w:tblGrid>
        <w:gridCol w:w="679"/>
        <w:gridCol w:w="597"/>
        <w:gridCol w:w="599"/>
        <w:gridCol w:w="211"/>
        <w:gridCol w:w="616"/>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17, 2025, the Company and J.J. Astor &amp; Co. entered into an amendment to the May 2025 Loan (the “June 2025 Loan Amendment”). The June 2025 Loan Amendment, among other things, revised the conditions for funding the Second Tranche to occur within three business days after the effectiveness of a resale registration statement, subject to Nasdaq listing maintenance, a stock price of not less than $22.31, a market capitalization of not less than $6.7 million, and trading volume conditions. It also reduced the conversion price on both tranches to the lesser of the closing price of the Company’s Class A common stock June 2025 Loan Amendment date and the closing price prior to the Second Tranche issuance. Additionally, the June 2025 Loan Amendment introduced a cash make-whole payment upon conversion equal to the difference between the conversion price and the lower of the closing price on conversion or the lowest volume weighted average closing price over 20 prior trading days. If not paid in cash, the Company would issue shares equal to the make-whole amount divided by the make-whole price. If the Company completed an equity offering sufficient to repay the Initial Tranche before the Second Tranche funding date, the obligation to issue the Second Tranche would be suspended, with a $0.1 million termination fee and issuance of warrants for 26,688 shares of Class A common stock (the “Second Tranche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May 2025 Loan contained customary events of default, upon which the outstanding obligations would be accelerated. The loan ranked senior to unsecured indebtedness. The Company was in compliance with all covenants prior to extinguishment of the May 2025 Loan on July 1,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1, 2025, the Company prepaid $1.0 million, inclusive of the $0.1 million termination fee, in order to extinguish the May 2025 Loan. In addition, in relation to the extinguishment of the May 2025 Loan on July 1, 2025, the 26,688 Second Tranche Warrants were issued with an exercise price of $20.17 per share. The Second Tranche Warrants had a fair value of $0.4 million, which was included in the measurement of loss on extinguishment of the May 2025 Loan. The Second Tranche Warrants were exercisable immediately after issuance and will expire five years from the date of issuance. The Company determined the fair value of the Second Tranche Warrants by using a BSM option pricing model, with the following assumptions:</w:t>
      </w:r>
    </w:p>
    <w:tbl>
      <w:tblPr>
        <w:tblW w:w="3018" w:type="dxa"/>
        <w:jc w:val="left"/>
        <w:tblInd w:w="0" w:type="dxa"/>
        <w:tblLayout w:type="fixed"/>
        <w:tblCellMar>
          <w:top w:w="28" w:type="dxa"/>
          <w:left w:w="28" w:type="dxa"/>
          <w:bottom w:w="28" w:type="dxa"/>
          <w:right w:w="28" w:type="dxa"/>
        </w:tblCellMar>
      </w:tblPr>
      <w:tblGrid>
        <w:gridCol w:w="679"/>
        <w:gridCol w:w="597"/>
        <w:gridCol w:w="599"/>
        <w:gridCol w:w="211"/>
        <w:gridCol w:w="616"/>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a $0.5 million loss on extinguishment in July 2025 related to the May 2025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 xml:space="preserve">Note 8. Loan Payable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AGP Convertible Promissory Note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13, 2025, the Company entered into an unsecured convertible promissory note (the “May 2025 Convertible Note”) with A.G.P./Alliance Global Partners (“AGP”) for a principal amount of $1.2 million, issued in exchange for AGP’s services in facilitating the issuance of equity securities under the MSA with VLD (see Note 9). The May 2025 Convertible Note bore interest at 4.5% per annum and matured on November 13, 2026, unless earlier converted or prepaid. AGP could elect to convert all or any portion of the outstanding principal and accrued interest into shares of the Company’s Class A common stock at a conversion price of $29.81 per share, based on the closing price on May 9, 2025, subject to adjustment for stock splits, dividends, or similar events. At maturity, all outstanding principal and accrued interest would be payable in cash or, at AGP’s option, in shares of Class A common stock at the conversion price. The Company could prepay the May 2025 Convertible Note in whole or in part at any time without penalty.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May 2025 Convertible Note was classified as a liability under ASC Topic 718, as it was issued to a non</w:t>
        <w:noBreakHyphen/>
        <w:t>employee for services, and was remeasured at fair value at each reporting period until settlement, with changes in fair value recognized in earnings as part of operating expenses. The note represented payment for legal services incurred in relation to the VLD MSA. Upon issuance, the Company recognized $0.3 million of legal expense related to the May 2025 Convertible Note in selling, general and administrative expenses in the Company’s condensed consolidated statements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May 2025 Convertible Note contained customary events of default, upon which the outstanding obligations would be accelerated. The note was unsecured and ranked pari passu with the Company’s other unsecured indebtedness. The Company was in compliance with all covenants prior to settlement on January 9,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17, 2025, the Company and AGP executed a letter agreement (the “June 2025 Note Amendment”) modifying the terms of the May 2025 Convertible Note. The June 2025 Note Amendment provided that a new convertible promissory note with a reduced principal amount of $0.5 million (the “Amended Note”) would replace the May 2025 Convertible Note. AGP agreed to waive any claim or recourse with respect to the $0.7 million differential between the May 2025 Convertible Note and the Amended Note. The Amended Note would retain substantially similar terms to the May 2025 Convertible Note, including the interest rate, maturity, conversion price, and conversion mechanics, with the only change being the reduction of the principal from $1.2 million to $0.5 million. The June 2025 Note Amendment was accounted for as a modification, with no change to the accounting treatment, as the note remained liability-classified and continued to be remeasured at fair value at each reporting period. No additional costs or premiums were recognized.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January 9, 2026, the Company exchanged the May 2025 Convertible Note for a new unsecured convertible promissory note (the “January 2026 Convertible Note”) with substantially similar terms, except that the conversion price on the January 2026 Convertible Note was reduced from $29.8095 to $10.00 per share of Class A common stock. On the same date, the January 2026 Convertible Note was settled through the issuance of 50,000 shares of Class A common stock. The Company recognized legal expense of $0.3 million in January 2026, representing the change in the fair value of the liability-classified award immediately prior to settlement.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SIV Convertible Promissory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12, 2024, the Company and Space Infrastructure Ventures (“SIV”) entered into a secured convertible promissory note (the “July 2024 Convertible Note”) pursuant to which the Company borrowed $2.3 million as of September 26, 2024. The July 2024 Convertible Note bore an annual interest rate of 15%. Principal on the July 2024 Convertible Note was originally to be re-paid in four equal payments on a quarterly basis, commencing on December 1, 2024, and maturing on September 1, 2025, at which time all accrued interest is due. The July 2024 Convertible Note was subsequently amended in November 2024 which, among other things, provided that amounts owed under the July 2024 Convertible Note may be converted into Class A common stock at any time.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Amounts borrowed under the July 2024 Convertible Note were secured by a lien on substantially all of the assets of the Company. In lieu of cash payments of accrued interest, SIV, in its sole discretion, could elect to receive shares of Class A common stock at an original conversion price of $132.27 per share. On the maturity date, subject to the satisfaction of applicable legal and regulatory conditions, all outstanding obligations under the July 2024 Convertible Note would automatically convert into Class A common stock at the conversion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 xml:space="preserve">Note 8. Loan Payable </w:t>
      </w:r>
      <w:r>
        <w:rPr>
          <w:rFonts w:ascii="Times New Roman;serif" w:hAnsi="Times New Roman;serif"/>
          <w:b w:val="false"/>
          <w:color w:val="000000"/>
          <w:sz w:val="20"/>
        </w:rPr>
        <w:t>(cont.)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July 2024 Convertible Note could be prepaid in full at any time, subject to a prepayment penalty fee of 10%. The July 2024 Convertible Note would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 Contingent interest related to these events of default was an embedded derivative that required bifurcation and recognition as a derivative liability (“July 2024 Default Interest Derivative”). The July 2024 Default Interest Derivative instrument was recorded at fair value and marked-to-market each reporting period with changes in fair value being reflected in earnings. As of the issuance date, each subsequent period end, and upon extinguishment at final maturity of the July 2024 Convertible Note on December 1, 2025, the July 2024 Default Interest Derivative was valued at zero.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24, 2024, the Company and SIV entered into a secured convertible promissory note (the “October 2024 Convertible Note” and, collectively with the July 2024 Convertible Note, the “SIV Convertible Notes”) pursuant to which the Company borrowed $3.0 million in two tranches, consisting of (i) an initial loan in the principal amount of $2.0 million, and (ii) an additional $1.0 million in principal amount which could originally be borrowed from December 2, 2024 through February 14, 2025. Borrowings under the October 2024 Convertible Note bear interest at 15% per annum. The October 2024 Convertible Note had an original maturity date of October 24, 2025, at which time all principal and accrued interest is due. The October 2024 Convertible Note was subsequently amended in November 2024 which, among other things, (i) accelerated the borrowing of the additional $1.0 million in principal in November 2024 and (ii) provided that amounts owed under the October 2024 Convertible Note may be converted into Class A common stock at any time.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Amounts borrowed under the October 2024 Convertible Note are secured by a lien on substantially all of the assets of the Company. At any time after the date that is six months after the original issuance date of the October 2024 Convertible Note, SIV, in its sole discretion, may convert some or all of the outstanding obligations under the October 2024 Convertible Note into shares of Class A common stock at an original conversion price of $132.27 per share.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October 2024 Convertible Note can be prepaid in full at any time, subject to a prepayment fee of 10%. The October 2024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the Company. Contingent interest related to these events of default was an embedded derivative that required bifurcation and recognition as a derivative liability (“October 2024 Default Interest Derivative”). The October 2024 Default Interest Derivative instrument is recorded at fair value and marked</w:t>
        <w:noBreakHyphen/>
        <w:t>to-market each reporting period with changes in fair value being reflected in earnings. As of the issuance date and each subsequent period end through June 30, 2026, the October 2024 Default Interest Derivative was valued at zero.</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SIV Convertible Notes require SIV’s consent for the Company to take certain actions, such as increasing compensation, purchasing assets outside the ordinary course of business, extending financing, making capital expenditures in excess of $0.1 million, repaying debts outside the ordinary course of business, or investing in any entity or enterprise.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debt premium on the first tranche of the October 2024 Convertible Note, as amended, was being amortized over the term of the October 2024 Convertible Note, prior to the September 2025 Amendment, using an effective interest rate of (18)%. The debt issuance costs on the second tranche of the October 2024 Convertible Note, as amended, were being amortized over the term of the October 2024 Convertible Note, until the September 2025 Amendment discussed below, using an effective interest rate of 348%.</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3, 2025, the Board of Directors of the Company approved a reduction in the conversion price for the July 2024 Convertible Note from $132.27 per share to $37.84 per share during the period beginning on March 3, 2025, and continuing until there are no further obligations outstanding under the July 2024 Convertible Note. The reduction in the conversion price for the July 2024 Convertible Note was accounted for as an extinguishment. The Company recognized a $0.1 million gain on extinguishment in the condensed consolidated statements of operations related to this extinguishment, resulting from the difference between the carrying value and reacquisition price of the July 2024 Convertible Note. The Company recognized a debt premium of $0.2 million related to the July 2024 Convertible Note, which was amortized over the term of the July 2024 Convertible Note, prior to the September 2025 Amendment, using an effective interest rate of (25)%.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 xml:space="preserve">Note 8. Loan Payable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16, 2025, the Company offered SIV the opportunity to convert amounts outstanding under the July 2024 Convertible Note, at a reduced conversion price of $31.59 per share, into up to 6,307 shares of Class A common stock and, thereafter, to convert amount outstanding under the October 2024 Convertible Note, at a reduced conversion price of $31.59 per share. Pursuant to this offer, and as part of the Company’s May 2025 contractual repayment, on May 20, 2025, SIV converted $0.2 million of principal of the July 2024 Convertible Note into 6,307 shares of Class A common stock at a conversion price of $31.59 per share. The conversion was accounted for as a partial extinguishment of the July 2024 Convertible Note, resulting in a $0.01 million gain on extinguishment in the condensed consolidated statements of operations. In addition to the $0.2 million of principal converted into equity, the Company repaid $0.3 million of principal in cash, and postponed $0.1 million of payments, including $0.06 million of principal and $0.04 million of interest, to the following quarter. The postponement was accounted for as a modification of the July 2024 Convertible Note. SIV did not convert any amounts outstanding under the October 2024 Convertible Note pursuant to this offer.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8, 2025, the Company amended the SIV Convertible Notes (the “September 2025 Amendment”). The September 2025 Amendment, among other things, extended the maturity date of the July 2024 Convertible Note and the October 2024 Convertible Note to December 1, 2025, and March 1, 2026, respectively. As a result of the September 2025 Amendment, the $2.7 million outstanding principal amount of the October 2024 Convertible Note is payable in two tranches, with the first tranche of $1.0 million due on December 1, 2025, and the remaining $1.7 million, plus unpaid accrued interest, due at maturity on March 1, 2026. The September 2025 Amendment further changed the conversion price of both of the SIV Convertible Notes to an amount equal to the lower of (i) $19.81 per share and (ii) a 10% discount to the closing price of the Class A common stock on the day prior to each conversion, but in no event lower than $3.57 per share. The September 2025 Amendment was accounted for as an extinguishment of both of the SIV Convertible Notes. The Company recognized a $2.4 million loss on extinguishment in September 2025 related to the September 2025 Amendment, resulting from the difference between the carrying value and reacquisition price of the SIV 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September 2025 Amendment, the Company issued to SIV warrants to purchase up to 112,045 shares of Class A common stock with an exercise price of $19.81 per share (the “September 2025 SIV Warrants”). The September 2025 SIV Warrants had a fair value of $1.7 million which was included in measurement of the September 2025 Amendment loss on extinguishment. The September 2025 SIV Warrants were exercisable immediately after issuance and will expire five years from the date of issuance. The Company determined the fair value of the September 2025 SIV Warrants by using a BSM option pricing model, with the following assumptions:</w:t>
      </w:r>
    </w:p>
    <w:tbl>
      <w:tblPr>
        <w:tblW w:w="3018" w:type="dxa"/>
        <w:jc w:val="left"/>
        <w:tblInd w:w="0" w:type="dxa"/>
        <w:tblLayout w:type="fixed"/>
        <w:tblCellMar>
          <w:top w:w="28" w:type="dxa"/>
          <w:left w:w="28" w:type="dxa"/>
          <w:bottom w:w="28" w:type="dxa"/>
          <w:right w:w="28" w:type="dxa"/>
        </w:tblCellMar>
      </w:tblPr>
      <w:tblGrid>
        <w:gridCol w:w="679"/>
        <w:gridCol w:w="597"/>
        <w:gridCol w:w="599"/>
        <w:gridCol w:w="211"/>
        <w:gridCol w:w="616"/>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in connection with the September 2025 Amendment, the Company also agreed to amend each of the October 2024 SIV Warrants and December 2024 SIV Warrants to purchase up to an aggregate of 25,951 shares of Class A common stock at an exercise price of $132.27 per share and a termination date of April 24, 2030 (the “SIV Modified Warrants”). The SIV Modified Warrants were amended on September 8, 2025, to have a reduced exercise price of $19.81 per share. The Company estimated the fair value of the SIV Modified Warrants immediately before and after modification using the BSM option pricing model and determined an incremental increase in fair value of approximately $0.2 million. The incremental change in fair value of the SIV Modified Warrants was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 xml:space="preserve">Note 8. Loan Payable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measurement of the September 2025 Amendment loss on extinguishment. The Company determined the incremental fair value of the SIV Modified Warrants by using a BSM option pricing model, with the following assumptions:</w:t>
      </w:r>
    </w:p>
    <w:tbl>
      <w:tblPr>
        <w:tblW w:w="5399" w:type="dxa"/>
        <w:jc w:val="left"/>
        <w:tblInd w:w="0" w:type="dxa"/>
        <w:tblLayout w:type="fixed"/>
        <w:tblCellMar>
          <w:top w:w="28" w:type="dxa"/>
          <w:left w:w="28" w:type="dxa"/>
          <w:bottom w:w="28" w:type="dxa"/>
          <w:right w:w="28" w:type="dxa"/>
        </w:tblCellMar>
      </w:tblPr>
      <w:tblGrid>
        <w:gridCol w:w="679"/>
        <w:gridCol w:w="597"/>
        <w:gridCol w:w="599"/>
        <w:gridCol w:w="271"/>
        <w:gridCol w:w="926"/>
        <w:gridCol w:w="349"/>
        <w:gridCol w:w="109"/>
        <w:gridCol w:w="109"/>
        <w:gridCol w:w="109"/>
        <w:gridCol w:w="304"/>
        <w:gridCol w:w="889"/>
        <w:gridCol w:w="45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Post-modification</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capitalized cash debt issuance costs of $0.03 and recognized a debt premium of $0.3 million on the October 2024 Convertible Note in relation to the September 2025 Amendment. The net debt premium of $0.3 million was being amortized over the term of the October 2024 Convertible Note, until the December 2025 Amendment discussed below, using effective interest rates of (7)% and (34)% for the first and second tranches of the October 2024 Convertible Note, respectively. The Company also recognized a $0.1 million debt discount on the July 2024 Convertible Note in relation to the September 2025 Amendment. The debt discount was being amortized over the term of the July 2024 Convertible Note, until extinguishment in December 2025, using an effective interest rate of 103%.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September 2025 Amendment permits the Company to incur up to $4.0 million of indebtedness on or after December 1, 2025, that is pari passu with the unpaid balance of the SIV Convertible Notes, provided that the Company issues to SIV warrants to purchase up to 10% of the total number of shares of Class A common stock SIV has converted under both of the SIV Convertible Notes after September 8, 2025, with the exercise price per share to correspond with the conversion price applicable under the SIV Convertible Notes at the time of the debt incurrence. Thereafter, the Company will continue to issue to SIV warrants to purchase shares of Class A common equal to 10% of the shares converted from time to time under the SIV Convertible Notes, with the warrants having an exercise price equal to the corresponding conversion price at the time of issuance.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paid $0.1 million to pay off the July 2024 Convertible Note in December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December 5, 2025, the Company amended the October 2024 Convertible Note (the “December 2025 Amendment”). The December 2025 Amendment, among other things, deferred the first payment tranche of $1.0 million principal, originally due December 1, 2025, to May 1, 2026, and all remaining accrued unpaid interest, originally due March 1, 2026, to May 1, 2026. It also delayed the date on or after which the Company may incur up to $4.0 million of additional indebtedness pari passu with the October 2024 Convertible Note from December 1, 2025, to March 1,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December 2025 Amendment, the Company issued to SIV warrants to purchase up to 13,446 shares of Class A common stock with an exercise price of $14.10 per share (the “December 2025 SIV Warrants”). The December 2025 SIV Warrants had a fair value of $0.1 million which was accounted for as a debt modification cost for the October 2024 Convertible Note. The December 2025 SIV Warrants are exercisable immediately after issuance and expire five years from the date of issuance. The Company determined the fair value of the December 2025 SIV Warrants by using a BSM option pricing model, with the following assumptions:</w:t>
      </w:r>
    </w:p>
    <w:tbl>
      <w:tblPr>
        <w:tblW w:w="3018" w:type="dxa"/>
        <w:jc w:val="left"/>
        <w:tblInd w:w="0" w:type="dxa"/>
        <w:tblLayout w:type="fixed"/>
        <w:tblCellMar>
          <w:top w:w="28" w:type="dxa"/>
          <w:left w:w="28" w:type="dxa"/>
          <w:bottom w:w="28" w:type="dxa"/>
          <w:right w:w="28" w:type="dxa"/>
        </w:tblCellMar>
      </w:tblPr>
      <w:tblGrid>
        <w:gridCol w:w="679"/>
        <w:gridCol w:w="597"/>
        <w:gridCol w:w="599"/>
        <w:gridCol w:w="211"/>
        <w:gridCol w:w="616"/>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$0.1 million of debt issuance costs related to the December 2025 SIV Warrants in addition to an unamortized debt premium of $0.1 million on the first tranche of the October 2024 Convertible Note. The net debt discount of $0.04 million is being amortized over the term of the October 2024 Convertible Note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left"/>
        <w:rPr/>
      </w:pPr>
      <w:r>
        <w:rPr>
          <w:rFonts w:ascii="Times New Roman;serif" w:hAnsi="Times New Roman;serif"/>
          <w:b/>
          <w:color w:val="000000"/>
          <w:sz w:val="20"/>
        </w:rPr>
        <w:t xml:space="preserve">Note 8. Loan Payable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effective interest rates of 13% and 27% for the first and second tranches of the October 2024 Convertible Note,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April 2026, the Company converted $1.1 million of principal and $0.2 million of accrued interest on the October 2024 Convertible Note into 388,300 shares of Class A common stock. During the six months ended June 30, 2026, the Company converted $1.9 million of principal and $0.4 million of accrued interest on the October 2024 Convertible Note into 547,330 shares of Class A common stock. The conversions were accounted for under ASC Sub-Topic 470-20, with no gain or loss recognized.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converted $0.2 million of principal on the SIV Convertible Notes into 6,307 shares of Class A common stock, accounted for as a partial extinguishment resulting in a $0.01 million gain. During the six months ended June 30, 2025, the Company converted $0.8 million of principal and $0.1 million of accrued interest on the SIV Convertible Notes into 16,952 shares of Class A common stock.</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April 2026 conversions, the Company has no remaining amounts outstanding under the October 2024 Convertible Note. For the three and six months ended June 30, 2026, interest recognized on the October 2024 Convertible Note totaled less than $0.01 million and $0.1 million, respectively. These amounts consisted of cash interest expense of less than $0.01 million and $0.1 million, respectively, and non-cash amortization of debt discount of less than $0.01 million and $0.02 million, respectively. For the three and six months ended June 30, 2025, interest recognized on the SIV Convertible Notes totaled $0.1 million and $(0.1) million, respectively. These amounts consisted of non-cash amortization of net debt premiums of $0.1 million and $0.4 million, respectively, partially offset by cash interest expense of $0.1 million and $0.3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Stockholders' Equity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Common Stock and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Effective December 17, 2025, the Company’s stockholders approved a 1-for-17.85 reverse stock split of the Company’s Class A common stock. As a result of the reverse stock split, every 17.85 shares of Class A common stock issued and outstanding on December 17, 2025, were automatically combined into one share of Class A common stock. Any fractional shares resulting from the reverse stock split were rounded up to the next nearest whole share of Class A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To effectuate the December 2025 1-for-17.85 reverse stock split, the Company filed a Certificate of Amendment to the Second Amended and Restated Certificate of Incorporation, as amended. As a result of the reverse stock split, there was no change to par value and the total number of authorized shares of Class A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Second Amended and Restated Certificate of Incorporation, as amended, the Company is authorized and has available a total of 270,000,000 shares of stock, consisting of (i) 250,000,000 shares of Class A common stock, par value $0.00001 per share, (ii) zero shares of Class B common stock, par value $0.00001 per share, and (iii) 20,000,000 shares of Series A preferred stock, par value $0.00001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Each share of Series A preferred stock is non-voting and convertible, at the option of the holder thereof, at any time and from time to time, and without the payment of additional consideration by the holder thereof, into 0.56 shares of Class A common stock. The Series A preferred stock is senior to the Company’s common stock with respect to dividends and liquidation distributions. In the event of a liquidation, dissolution, or winding up of the Company, holders of Series A preferred stock are entitled to receive, before any payment to common stockholders, the greater of the $20.80 per share of Series A preferred stock or the as-converted value based on conversion into shares of Class A common stock. Holders are entitled to dividends on an as-converted basis, proportionate to any dividends declared on common stock, which are discretionary and non-cumulative. The Series A preferred stock is classified as permanent equity under ASC Topic 480, as it is not mandatorily redeemable and lacks redemption triggers outside of a final liquidation event.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were exercisable or convertible by 17.85 and multiplying the exercise or conversion price thereof by 17.85, all in accordance with the terms of the plans, agreements or arrangements governing such options, warrants and other convertible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and subject to rounding to the nearest whole share. Such proportional adjustments were also made to the number of shares and RSUs issued and issuable under the Company’s equity compensation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retroactively adjusted all periods presented for the effects of the December 2025 1-for-17.85 reverse stock split.</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At-The-Market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19, 2025, the Company entered into an At-the-Market Equity Offering Sales Agreement with AGP (the “ATM Sales Agreement”). Pursuant to the ATM Sales Agreement, the Company may sell, from time to time, at its option, up to $7.4 million in aggregate offering price of an indeterminate amount of shares of the Class A common stock through AGP acting as sales agent. If the Company’s public float increases such that it may sell additional amounts under the ATM Sales Agreement and the 2025 Registration Statement (as defined below), the Company may file supplements to the prospectus included in the Registration Statement prior to making additional sales.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Any shares of Class A common stock to be offered and sold under the ATM Sales Agreement will be issued and sold (i) by methods deemed to be an “at-the-market offering” as defined in Rule 415(a)(4) promulgated under the Securities Act, or in negotiated transactions, if authorized by the Company, and (ii) pursuant to, and only upon the effectiveness of, a Registration Statement on Form S-3 filed by the Company with the SEC on September 22, 2025 for an offering of up to $50.0 million of various securities, including shares of the Company’s Class A common stock, preferred stock, debt securities, warrants and/or units for sale to the public in one or more public offerings (the “2025 Registration Statement”). Under the ATM Sales Agreement, AGP will be entitled to compensation at a commission rate of up to 3.0% of the gross sales price per share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2025, the Company filed several prospectus supplements to the 2025 Registration Statement increasing the aggregate offering price. As of December 31, 2025, the aggregate offering price was $17.4 million. On February 6, 2026, the Company filed a prospectus supplement to the 2025 Registration Statement increasing the aggregate offering price to $21.6 million and, on February 9, 2026, the Company filed another prospectus supplement to the 2025 Registration Statement further increasing the aggregate offering price to $50.0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26, 2026, the Company filed a new Registration Statement on Form S-3, which was declared effective on June 4, 2026 (the “2026 Registration Statement”). On June 18, 2026, the Company filed a prospectus supplement relating to the ATM Sales Agreement under the 2026 Registration Statement, providing for the sale of up to $75.0 million in aggregate offering price of Class A common stock through AGP. This amount does not include shares previously sold under the ATM Sales Agreement. If the Company is eligible to increase the aggregate offering price available to be sold under the 2026 Registration Statement in the future, the Company may file additional supplemental prospectuses to the 2026 Registration Statement.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sold 5,806,465 and 8,010,080 shares of Class A common stock, respectively, under the ATM Sales Agreement for net proceeds of $32.6 million and $45.5 million, respectively, after deducting sales commissions of $1.1 million and $1.5 million, respectively. As of June 30, 2026, $64.4 million in aggregate offering price of an indeterminate amount of shares of the Class A common stock may still be sold under the ATM Sales Agreement.</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Shares issued in settlement of accounts payable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March 2026, the Company settled $0.1 million of accounts payable with a vendor through the issuance of 5,723 of Class A common stock. The fair value of the shares issued was determined to be $0.1 million based on the closing price of the Class A common stock on the settlement dates and no gain or loss on extinguishment was recognized as fair value was equal to the carrying amount of the liability settled.</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June 2026 Registered Direct Offering</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11, 2026, the Company entered into a Securities Purchase Agreement with investors, pursuant to which the Company issued and sold to the investors in a Registered Direct Offering (the “June 2026 Offering”) 1,851,852 shares of Class A common stock at a purchase price of $13.50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received aggregate gross proceeds from the June 2026 Offering of approximately $25.0 million, before deducting estimated issuance costs of $1.9 million. Net proceeds of $23.1 million from the June 2026 Offering was recorded to additional paid-in capital.</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June 2026 Offering, the Company entered into a Placement Agency Agreement, dated June 11, 2026, with A.G.P./Alliance Global Partners, the placement agent for the June 2026 Offering. The Company paid a cash placement agent commission equal to 7.0% of the gross proceeds from the June 2026 Offering, reimbursed certain legal expenses of the placement agent’s counsel, and issued warrants (the “June 2026 Placement Agent Warrants”) to purchase 92,592 shares of Class A common stock at an exercise price of $14.85 per share, exercisable beginning December 8, 2026 and expiring June 11, 2031. The grant-date fair value of the June 2026 Placement Agent Warrants of $0.7 million was accounted for as an additional equity issuance cost of the June 2026 Offering and recorded to additional paid-in capital.</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June 2026 Placement Agent Warrants using the BSM option pricing model. The significant inputs into the BSM option pricing model at the initial recognition date are as follows:</w:t>
      </w:r>
    </w:p>
    <w:tbl>
      <w:tblPr>
        <w:tblW w:w="3225" w:type="dxa"/>
        <w:jc w:val="left"/>
        <w:tblInd w:w="0" w:type="dxa"/>
        <w:tblLayout w:type="fixed"/>
        <w:tblCellMar>
          <w:top w:w="28" w:type="dxa"/>
          <w:left w:w="28" w:type="dxa"/>
          <w:bottom w:w="28" w:type="dxa"/>
          <w:right w:w="28" w:type="dxa"/>
        </w:tblCellMar>
      </w:tblPr>
      <w:tblGrid>
        <w:gridCol w:w="635"/>
        <w:gridCol w:w="559"/>
        <w:gridCol w:w="561"/>
        <w:gridCol w:w="109"/>
        <w:gridCol w:w="109"/>
        <w:gridCol w:w="109"/>
        <w:gridCol w:w="211"/>
        <w:gridCol w:w="616"/>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May 2026 Private Placement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26, 2026, the Company entered into a Securities Purchase Agreement with investors, pursuant to which the Company issued and sold to the investors in a private placement (the “May 2026 Offering”) (i) 2,173,420 shares of Class A common stock at a purchase price of $8.50 per share, and (ii) pre-funded warrants (the “May 2026 Pre</w:t>
        <w:noBreakHyphen/>
        <w:t>funded Warrants”) to purchase 768,580 shares of Class A common stock.</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of each May 2026 Pre-funded Warrant was equal to the price per share of Class A common stock being sold in the May 2026 Offering minus $0.00001. The May 2026 Pre-Funded Warrants have an exercise price of $0.00001 per share and are exercisable any time after the issuance, and will not expire until exercised. The May 2026 Pre-funded Warrants meet the requirements for equity classification.</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received aggregate gross proceeds from the May 2026 Offering of approximately $25.0 million, before deducting estimated issuance costs of $1.9 million. Net proceeds of $23.1 million from the May 2026 Offering was recorded to additional paid-in capital.</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May 2026 Offering, the Company entered into a Placement Agency Agreement, dated May 26, 2026, with A.G.P./Alliance Global Partners, the placement agent for the May 2026 Offering. The Company paid a cash placement agent commission equal to 7.0% of the gross proceeds from the May 2026 Offering, reimbursed certain legal expenses of the placement agent’s counsel, and issued warrants (the “May 2026 Placement Agent Warrants”) to purchase 147,100 shares of Class A common stock at an exercise price of $9.35 per share, exercisable beginning November 22, 2026 and expiring May 26, 2031. The grant-date fair value of the May 2026 Placement Agent Warrants of $2.4 million was accounted for as an additional equity issuance cost of the May 2026 Offering and recorded to additional paid-in capital.</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May 2026 Pre-funded Warrants based on the fair value of the Company’s Class A common stock from the issuance date, less the $0.00001 exercise price. The Company estimated the fair value of the May 2026 Placement Agent Warrants using the BSM option pricing model. The significant inputs into the BSM option pricing model at the initial recognition date are as follows:</w:t>
      </w:r>
    </w:p>
    <w:tbl>
      <w:tblPr>
        <w:tblW w:w="3225" w:type="dxa"/>
        <w:jc w:val="left"/>
        <w:tblInd w:w="0" w:type="dxa"/>
        <w:tblLayout w:type="fixed"/>
        <w:tblCellMar>
          <w:top w:w="28" w:type="dxa"/>
          <w:left w:w="28" w:type="dxa"/>
          <w:bottom w:w="28" w:type="dxa"/>
          <w:right w:w="28" w:type="dxa"/>
        </w:tblCellMar>
      </w:tblPr>
      <w:tblGrid>
        <w:gridCol w:w="635"/>
        <w:gridCol w:w="559"/>
        <w:gridCol w:w="561"/>
        <w:gridCol w:w="109"/>
        <w:gridCol w:w="109"/>
        <w:gridCol w:w="109"/>
        <w:gridCol w:w="211"/>
        <w:gridCol w:w="616"/>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entered into a Registration Rights Agreement requiring it to register the resale of the shares issued, the shares underlying the May 2026 Pre-funded Warrants, and the shares underlying the May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Placement Agent Warrants in the May 2026 Offering. If the Company fails to satisfy specified filing or effectiveness obligations, it must pay the investor certain liquidated damages of up to an aggregate of 10.5% of the subscription amount. The Company filed the required resale registration statement on Form S-3, which the SEC declared effective on June 4, 2026, within the time periods specified in the Registration Rights Agreement. Accordingly, no event giving rise to liquidated damages has occurred, payment of liquidated damages is not probable, and no liability has been recorded as of June 30, 2026.</w:t>
      </w:r>
    </w:p>
    <w:p>
      <w:pPr>
        <w:pStyle w:val="TextBody"/>
        <w:bidi w:val="0"/>
        <w:spacing w:lineRule="auto" w:line="268" w:before="160" w:after="160"/>
        <w:jc w:val="both"/>
        <w:rPr>
          <w:rFonts w:ascii="Times New Roman;serif" w:hAnsi="Times New Roman;serif"/>
          <w:b w:val="false"/>
          <w:color w:val="000000"/>
          <w:sz w:val="20"/>
        </w:rPr>
      </w:pPr>
      <w:r>
        <w:rPr>
          <w:rFonts w:ascii="Times New Roman;serif" w:hAnsi="Times New Roman;serif"/>
          <w:b w:val="false"/>
          <w:color w:val="000000"/>
          <w:sz w:val="20"/>
        </w:rPr>
        <w:t>In June 2026, the Company issued 768,580 shares of Class A common stock as a result of the exercise of the May 2026 Pre-Funded Warrants.</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April 2026 Private Placement</w:t>
      </w:r>
    </w:p>
    <w:p>
      <w:pPr>
        <w:pStyle w:val="TextBody"/>
        <w:bidi w:val="0"/>
        <w:spacing w:lineRule="auto" w:line="268" w:before="160" w:after="283"/>
        <w:jc w:val="both"/>
        <w:rPr/>
      </w:pPr>
      <w:r>
        <w:rPr>
          <w:rFonts w:ascii="Times New Roman;serif" w:hAnsi="Times New Roman;serif"/>
          <w:b w:val="false"/>
          <w:color w:val="000000"/>
          <w:sz w:val="20"/>
          <w:shd w:fill="FFFFFF" w:val="clear"/>
        </w:rPr>
        <w:t>On April 14, 2026, the Company entered into a Securities Purchase Agreement with an investor, pursuant to which the Company issued and sold to the investor in a private placement (the “April 2026 Offering”) (i) 450,000 shares of Class A common stock at a purchase price of $3.75 per share, and (ii) pre-funded warrants (the “April 2026 Pre</w:t>
      </w:r>
      <w:r>
        <w:rPr>
          <w:color w:val="000000"/>
        </w:rPr>
        <w:noBreakHyphen/>
      </w:r>
      <w:r>
        <w:rPr>
          <w:rFonts w:ascii="Times New Roman;serif" w:hAnsi="Times New Roman;serif"/>
          <w:b w:val="false"/>
          <w:color w:val="000000"/>
          <w:sz w:val="20"/>
          <w:shd w:fill="FFFFFF" w:val="clear"/>
        </w:rPr>
        <w:t>funded Warrants”) to purchase 883,334 shares of Class A common stock.</w:t>
      </w:r>
    </w:p>
    <w:p>
      <w:pPr>
        <w:pStyle w:val="TextBody"/>
        <w:bidi w:val="0"/>
        <w:spacing w:lineRule="auto" w:line="26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purchase price of each April 2026 Pre-funded Warrant was equal to the price per share of Class A common stock being sold in the April 2026 Offering minus $0.00001. The April 2026 Pre-Funded Warrants have an exercise price of $0.00001 per share and are exercisable any time after the issuance, and will not expire until exercised. The April 2026 Pre-funded Warrants meet the requirements for equity classification.</w:t>
      </w:r>
    </w:p>
    <w:p>
      <w:pPr>
        <w:pStyle w:val="TextBody"/>
        <w:bidi w:val="0"/>
        <w:spacing w:lineRule="auto" w:line="26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received aggregate gross proceeds from the April 2026 Offering of approximately $5.0 million, before deducting estimated issuance costs of $0.4 million. Net proceeds of $4.6 million from the April 2026 Offering was recorded to additional paid-in capital.</w:t>
      </w:r>
    </w:p>
    <w:p>
      <w:pPr>
        <w:pStyle w:val="TextBody"/>
        <w:bidi w:val="0"/>
        <w:spacing w:lineRule="auto" w:line="26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April 2026 Offering, the Company entered into a Placement Agency Agreement, dated April 14, 2026, with AGP, the placement agent for the April 2026 Offering. The Company paid a cash placement agent commission equal to 7.0% of the gross proceeds from the April 2026 Offering, reimbursed certain legal expenses of the placement agent’s counsel, and issued warrants (the “April 2026 Placement Agent Warrants”) to purchase 66,666 shares of Class A common stock at an exercise price of $4.125 per share, exercisable beginning October 11, 2026 and expiring April 15, 2031. The grant-date fair value of the April 2026 Placement Agent Warrants of $0.4 million was accounted for as an additional equity issuance cost of the April 2026 Offering and recorded to additional paid-in capital.</w:t>
      </w:r>
    </w:p>
    <w:p>
      <w:pPr>
        <w:pStyle w:val="TextBody"/>
        <w:bidi w:val="0"/>
        <w:spacing w:lineRule="auto" w:line="26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estimated the fair value of the April 2026 Pre-funded Warrants based on the fair value of the Company’s Class A common stock from the issuance date, less the $0.00001 exercise price. The Company estimated the fair value of the April 2026 Placement Agent Warrants using the BSM option pricing model. The significant inputs into the BSM option pricing model at the initial recognition date are as follows:</w:t>
      </w:r>
    </w:p>
    <w:tbl>
      <w:tblPr>
        <w:tblW w:w="3120" w:type="dxa"/>
        <w:jc w:val="left"/>
        <w:tblInd w:w="0" w:type="dxa"/>
        <w:tblLayout w:type="fixed"/>
        <w:tblCellMar>
          <w:top w:w="28" w:type="dxa"/>
          <w:left w:w="28" w:type="dxa"/>
          <w:bottom w:w="28" w:type="dxa"/>
          <w:right w:w="28" w:type="dxa"/>
        </w:tblCellMar>
      </w:tblPr>
      <w:tblGrid>
        <w:gridCol w:w="635"/>
        <w:gridCol w:w="559"/>
        <w:gridCol w:w="561"/>
        <w:gridCol w:w="109"/>
        <w:gridCol w:w="109"/>
        <w:gridCol w:w="109"/>
        <w:gridCol w:w="211"/>
        <w:gridCol w:w="511"/>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60" w:after="283"/>
        <w:jc w:val="both"/>
        <w:rPr/>
      </w:pPr>
      <w:r>
        <w:rPr>
          <w:rFonts w:ascii="Times New Roman;serif" w:hAnsi="Times New Roman;serif"/>
          <w:b w:val="false"/>
          <w:color w:val="000000"/>
          <w:sz w:val="20"/>
          <w:shd w:fill="FFFFFF" w:val="clear"/>
        </w:rPr>
        <w:t xml:space="preserve">The Company also entered into a Registration Rights Agreement requiring it to register the resale of the shares issued, the shares underlying the April 2026 Pre-funded Warrants, and the shares underlying the April 2026 Placement Agent Warrants in the April 2026 Offering. If the Company fails to satisfy specified filing or effectiveness obligations, it must pay the investor certain liquidated damages of up to an aggregate of 10.5% of the subscription amount. The Company filed the required resale registration statement on Form S-3, which the SEC declared effective on April 28, 2026, within the time periods specified in the Registration Rights Agreement. Accordingly, no event giving rise to liquidated damages has occurred, payment of liquidated damages is not probable, and no liability has been recorded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68" w:before="160" w:after="160"/>
        <w:jc w:val="both"/>
        <w:rPr/>
      </w:pPr>
      <w:r>
        <w:rPr>
          <w:rFonts w:ascii="Times New Roman;serif" w:hAnsi="Times New Roman;serif"/>
          <w:b w:val="false"/>
          <w:color w:val="000000"/>
          <w:sz w:val="20"/>
        </w:rPr>
        <w:t xml:space="preserve">In May 2026, the Company issued </w:t>
      </w:r>
      <w:r>
        <w:rPr>
          <w:rFonts w:ascii="Times New Roman;serif" w:hAnsi="Times New Roman;serif"/>
          <w:b w:val="false"/>
          <w:color w:val="000000"/>
          <w:sz w:val="20"/>
          <w:shd w:fill="FFFFFF" w:val="clear"/>
        </w:rPr>
        <w:t>883,334</w:t>
      </w:r>
      <w:r>
        <w:rPr>
          <w:color w:val="000000"/>
        </w:rPr>
        <w:t xml:space="preserve"> </w:t>
      </w:r>
      <w:r>
        <w:rPr>
          <w:rFonts w:ascii="Times New Roman;serif" w:hAnsi="Times New Roman;serif"/>
          <w:b w:val="false"/>
          <w:color w:val="000000"/>
          <w:sz w:val="20"/>
        </w:rPr>
        <w:t>shares of Class A common stock as a result of the exercise of the April 2026 Pre-Funded Warrants.</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January 2026 Securities Purchase Agreement</w:t>
      </w:r>
    </w:p>
    <w:p>
      <w:pPr>
        <w:pStyle w:val="TextBody"/>
        <w:bidi w:val="0"/>
        <w:spacing w:lineRule="auto" w:line="268" w:before="160" w:after="283"/>
        <w:jc w:val="both"/>
        <w:rPr/>
      </w:pPr>
      <w:r>
        <w:rPr>
          <w:rFonts w:ascii="Times New Roman;serif" w:hAnsi="Times New Roman;serif"/>
          <w:b w:val="false"/>
          <w:color w:val="000000"/>
          <w:sz w:val="20"/>
        </w:rPr>
        <w:t>On January 5, 2026, the Company entered into a Securities Purchase Agreement with an investor, pursuant to which the Company issued and sold to an investor in a private placement transaction (the “January 2026 Offering”), (i) pre-funded warrants (the “January 2026 Pre-Funded Warrants”) to purchase 925,926 shar</w:t>
      </w:r>
      <w:r>
        <w:rPr>
          <w:rFonts w:ascii="Times New Roman;serif" w:hAnsi="Times New Roman;serif"/>
          <w:b w:val="false"/>
          <w:color w:val="000000"/>
          <w:sz w:val="20"/>
          <w:shd w:fill="FFFFFF" w:val="clear"/>
        </w:rPr>
        <w:t xml:space="preserve">es of the Company’s Class A common stock and (ii) warrants to purchase </w:t>
      </w:r>
      <w:r>
        <w:rPr>
          <w:rFonts w:ascii="Times New Roman;serif" w:hAnsi="Times New Roman;serif"/>
          <w:b w:val="false"/>
          <w:color w:val="000000"/>
          <w:sz w:val="20"/>
        </w:rPr>
        <w:t>925,926</w:t>
      </w:r>
      <w:r>
        <w:rPr>
          <w:color w:val="000000"/>
          <w:shd w:fill="FFFFFF" w:val="clear"/>
        </w:rPr>
        <w:t xml:space="preserve"> </w:t>
      </w:r>
      <w:r>
        <w:rPr>
          <w:rFonts w:ascii="Times New Roman;serif" w:hAnsi="Times New Roman;serif"/>
          <w:b w:val="false"/>
          <w:color w:val="000000"/>
          <w:sz w:val="20"/>
          <w:shd w:fill="FFFFFF" w:val="clear"/>
        </w:rPr>
        <w:t>shares of Class A common stock (the “January 2026 Warrants”).</w:t>
      </w:r>
    </w:p>
    <w:p>
      <w:pPr>
        <w:pStyle w:val="TextBody"/>
        <w:bidi w:val="0"/>
        <w:spacing w:lineRule="auto" w:line="288" w:before="160" w:after="283"/>
        <w:jc w:val="both"/>
        <w:rPr/>
      </w:pPr>
      <w:r>
        <w:rPr>
          <w:rFonts w:ascii="Times New Roman;serif" w:hAnsi="Times New Roman;serif"/>
          <w:b w:val="false"/>
          <w:color w:val="000000"/>
          <w:sz w:val="20"/>
          <w:shd w:fill="FFFFFF" w:val="clear"/>
        </w:rPr>
        <w:t>The January 2026 Pre-Funded Warrants have an</w:t>
      </w:r>
      <w:r>
        <w:rPr>
          <w:color w:val="000000"/>
        </w:rPr>
        <w:t xml:space="preserve"> </w:t>
      </w:r>
      <w:r>
        <w:rPr>
          <w:rFonts w:ascii="Times New Roman;serif" w:hAnsi="Times New Roman;serif"/>
          <w:b w:val="false"/>
          <w:color w:val="000000"/>
          <w:sz w:val="20"/>
        </w:rPr>
        <w:t xml:space="preserve">exercise price of $0.00001 per share and are exercisable any time after issuance, and will not expire until exercised. </w:t>
      </w:r>
      <w:r>
        <w:rPr>
          <w:rFonts w:ascii="Times New Roman;serif" w:hAnsi="Times New Roman;serif"/>
          <w:b w:val="false"/>
          <w:color w:val="000000"/>
          <w:sz w:val="20"/>
          <w:shd w:fill="FFFFFF" w:val="clear"/>
        </w:rPr>
        <w:t xml:space="preserve">The January 2026 Warrants have an exercise price per share of Class A common stock equal to </w:t>
      </w:r>
      <w:r>
        <w:rPr>
          <w:rFonts w:ascii="Times New Roman;serif" w:hAnsi="Times New Roman;serif"/>
          <w:b w:val="false"/>
          <w:color w:val="000000"/>
          <w:sz w:val="20"/>
        </w:rPr>
        <w:t>$5.40</w:t>
      </w:r>
      <w:r>
        <w:rPr>
          <w:color w:val="000000"/>
          <w:shd w:fill="FFFFFF" w:val="clear"/>
        </w:rPr>
        <w:t xml:space="preserve"> </w:t>
      </w:r>
      <w:r>
        <w:rPr>
          <w:rFonts w:ascii="Times New Roman;serif" w:hAnsi="Times New Roman;serif"/>
          <w:b w:val="false"/>
          <w:color w:val="000000"/>
          <w:sz w:val="20"/>
          <w:shd w:fill="FFFFFF" w:val="clear"/>
        </w:rPr>
        <w:t xml:space="preserve">per share and expire February 6, 2031. </w:t>
      </w:r>
      <w:r>
        <w:rPr>
          <w:rFonts w:ascii="Times New Roman;serif" w:hAnsi="Times New Roman;serif"/>
          <w:b w:val="false"/>
          <w:color w:val="000000"/>
          <w:sz w:val="20"/>
        </w:rPr>
        <w:t>The January 2026 Offering closed on January 6, 2026.</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The Company received aggregate gross proceeds from the January 2026 Offering of approximately </w:t>
      </w:r>
      <w:r>
        <w:rPr>
          <w:rFonts w:ascii="Times New Roman;serif" w:hAnsi="Times New Roman;serif"/>
          <w:b w:val="false"/>
          <w:color w:val="000000"/>
          <w:sz w:val="20"/>
        </w:rPr>
        <w:t>$5.0 million</w:t>
      </w:r>
      <w:r>
        <w:rPr>
          <w:rFonts w:ascii="Times New Roman;serif" w:hAnsi="Times New Roman;serif"/>
          <w:b w:val="false"/>
          <w:color w:val="000000"/>
          <w:sz w:val="20"/>
          <w:shd w:fill="FFFFFF" w:val="clear"/>
        </w:rPr>
        <w:t xml:space="preserve">, before deducting estimated placement agent commissions and expenses of </w:t>
      </w:r>
      <w:r>
        <w:rPr>
          <w:rFonts w:ascii="Times New Roman;serif" w:hAnsi="Times New Roman;serif"/>
          <w:b w:val="false"/>
          <w:color w:val="000000"/>
          <w:sz w:val="20"/>
        </w:rPr>
        <w:t>$0.4 million</w:t>
      </w:r>
      <w:r>
        <w:rPr>
          <w:rFonts w:ascii="Times New Roman;serif" w:hAnsi="Times New Roman;serif"/>
          <w:b w:val="false"/>
          <w:color w:val="000000"/>
          <w:sz w:val="20"/>
          <w:shd w:fill="FFFFFF" w:val="clear"/>
        </w:rPr>
        <w:t xml:space="preserve">. Net proceeds of </w:t>
      </w:r>
      <w:r>
        <w:rPr>
          <w:rFonts w:ascii="Times New Roman;serif" w:hAnsi="Times New Roman;serif"/>
          <w:b w:val="false"/>
          <w:color w:val="000000"/>
          <w:sz w:val="20"/>
        </w:rPr>
        <w:t>$4.6 million</w:t>
      </w:r>
      <w:r>
        <w:rPr>
          <w:color w:val="000000"/>
          <w:shd w:fill="FFFFFF" w:val="clear"/>
        </w:rPr>
        <w:t xml:space="preserve"> </w:t>
      </w:r>
      <w:r>
        <w:rPr>
          <w:rFonts w:ascii="Times New Roman;serif" w:hAnsi="Times New Roman;serif"/>
          <w:b w:val="false"/>
          <w:color w:val="000000"/>
          <w:sz w:val="20"/>
          <w:shd w:fill="FFFFFF" w:val="clear"/>
        </w:rPr>
        <w:t>from the January 2026 Offering was recorded to additional paid-in-capital. Both the January 2026 Pre-Funded Warrants and the January 2026 Warrants meet the requirements for equity classification.</w:t>
      </w:r>
    </w:p>
    <w:p>
      <w:pPr>
        <w:pStyle w:val="TextBody"/>
        <w:bidi w:val="0"/>
        <w:spacing w:lineRule="auto" w:line="288" w:before="160" w:after="283"/>
        <w:jc w:val="both"/>
        <w:rPr/>
      </w:pPr>
      <w:r>
        <w:rPr>
          <w:rFonts w:ascii="Times New Roman;serif" w:hAnsi="Times New Roman;serif"/>
          <w:b w:val="false"/>
          <w:color w:val="000000"/>
          <w:sz w:val="20"/>
          <w:shd w:fill="FFFFFF" w:val="clear"/>
        </w:rPr>
        <w:t>In connection with the January 2026 Offering, the Company entered into a Placement Agency Agreement with the agency which assisted with the transaction. The Compa</w:t>
      </w:r>
      <w:r>
        <w:rPr>
          <w:rFonts w:ascii="Times New Roman;serif" w:hAnsi="Times New Roman;serif"/>
          <w:b w:val="false"/>
          <w:color w:val="000000"/>
          <w:sz w:val="20"/>
        </w:rPr>
        <w:t xml:space="preserve">ny paid a cash placement agent commission equal to 7.0% of gross proceeds from the January 2026 Offering and issued warrants (the “January 2026 Placement Agent Warrants”) to purchase 46,296 shares of Class A common stock at an exercise price of $5.94, exercisable beginning 180 days after the commencement of sales in the offering </w:t>
      </w:r>
      <w:r>
        <w:rPr>
          <w:rFonts w:ascii="Times New Roman;serif" w:hAnsi="Times New Roman;serif"/>
          <w:b w:val="false"/>
          <w:color w:val="000000"/>
          <w:sz w:val="20"/>
          <w:shd w:fill="FFFFFF" w:val="clear"/>
        </w:rPr>
        <w:t xml:space="preserve">and expiring January 6, 2031. </w:t>
      </w:r>
      <w:r>
        <w:rPr>
          <w:rFonts w:ascii="Times New Roman;serif" w:hAnsi="Times New Roman;serif"/>
          <w:b w:val="false"/>
          <w:color w:val="000000"/>
          <w:sz w:val="20"/>
        </w:rPr>
        <w:t>The $0.3 million fair value of the January 2026 Placement Agent Warrants was accounted for as an additional equity issuance cost for the January 2026</w:t>
      </w:r>
      <w:r>
        <w:rPr>
          <w:color w:val="000000"/>
          <w:shd w:fill="FFFFFF" w:val="clear"/>
        </w:rPr>
        <w:t xml:space="preserve"> </w:t>
      </w:r>
      <w:r>
        <w:rPr>
          <w:rFonts w:ascii="Times New Roman;serif" w:hAnsi="Times New Roman;serif"/>
          <w:b w:val="false"/>
          <w:color w:val="000000"/>
          <w:sz w:val="20"/>
        </w:rPr>
        <w:t>Offering, which was recorded to additional paid-in-capital.</w:t>
      </w:r>
    </w:p>
    <w:p>
      <w:pPr>
        <w:pStyle w:val="TextBody"/>
        <w:bidi w:val="0"/>
        <w:spacing w:lineRule="auto" w:line="288" w:before="160" w:after="160"/>
        <w:jc w:val="both"/>
        <w:rPr/>
      </w:pPr>
      <w:r>
        <w:rPr>
          <w:rFonts w:ascii="Times New Roman;serif" w:hAnsi="Times New Roman;serif"/>
          <w:b w:val="false"/>
          <w:color w:val="000000"/>
          <w:sz w:val="20"/>
        </w:rPr>
        <w:t>The Company estimated the fair value of the January 2026 Pre-Funded Warrants based on the fair value of the Company’s Class A common stock from the issuance date, less the $0.00001 exercise price. The Company estimated the fair value of the January 2026</w:t>
      </w:r>
      <w:r>
        <w:rPr>
          <w:color w:val="000000"/>
          <w:shd w:fill="FFFFFF" w:val="clear"/>
        </w:rPr>
        <w:t xml:space="preserve"> </w:t>
      </w:r>
      <w:r>
        <w:rPr>
          <w:rFonts w:ascii="Times New Roman;serif" w:hAnsi="Times New Roman;serif"/>
          <w:b w:val="false"/>
          <w:color w:val="000000"/>
          <w:sz w:val="20"/>
        </w:rPr>
        <w:t>Warrants and the January 2026 Placement Agent using the BSM option pricing model. The significant inputs into the BSM option pricing model at the initial recognition date are as follows:</w:t>
      </w:r>
    </w:p>
    <w:tbl>
      <w:tblPr>
        <w:tblW w:w="7917" w:type="dxa"/>
        <w:jc w:val="left"/>
        <w:tblInd w:w="0" w:type="dxa"/>
        <w:tblLayout w:type="fixed"/>
        <w:tblCellMar>
          <w:top w:w="28" w:type="dxa"/>
          <w:left w:w="28" w:type="dxa"/>
          <w:bottom w:w="28" w:type="dxa"/>
          <w:right w:w="28" w:type="dxa"/>
        </w:tblCellMar>
      </w:tblPr>
      <w:tblGrid>
        <w:gridCol w:w="635"/>
        <w:gridCol w:w="559"/>
        <w:gridCol w:w="561"/>
        <w:gridCol w:w="459"/>
        <w:gridCol w:w="1112"/>
        <w:gridCol w:w="589"/>
        <w:gridCol w:w="109"/>
        <w:gridCol w:w="109"/>
        <w:gridCol w:w="109"/>
        <w:gridCol w:w="747"/>
        <w:gridCol w:w="1809"/>
        <w:gridCol w:w="111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2026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2026 Placement Agent Warrants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term (years)</w:t>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the January 2026 Offering, the Company agreed to amend each of the October 2025 Warrants and the December 2025 Warrants (see the discussions of the December 2025 Warrant Inducement and the October 2025 Warrant Inducement, respectively, below) to purchase up to an aggregate of 827,042 shares of Class A common stock at an exercise price of $13.74 per share (the “January 2026 Modified Warrants”). Prior to amendment, the January 2026 Modified Warrants had a termination date of December 9, 2030. The January 2026 Modified Warrants were amended to have a reduced exercise price of $5.40 per share and a termination date of February 6, 2031.</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estimated the fair value of the January 2026 Modified Warrants immediately before and after modification using the BSM option pricing model and determined an incremental increase in fair value of approximately $1.1 million. In accordance with ASC Topic 815 guidance on equity classified warrant modifications, the incremental change in fair value of the January 2026 Modified Warrants was accounted for as an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equity issuance cost for the January 2026 Offering, which was recorded to additional paid-in-capital. The significant inputs into the BSM option pricing model before and after the modification date are as follows:</w:t>
      </w:r>
    </w:p>
    <w:tbl>
      <w:tblPr>
        <w:tblW w:w="9846" w:type="dxa"/>
        <w:jc w:val="left"/>
        <w:tblInd w:w="0" w:type="dxa"/>
        <w:tblLayout w:type="fixed"/>
        <w:tblCellMar>
          <w:top w:w="28" w:type="dxa"/>
          <w:left w:w="28" w:type="dxa"/>
          <w:bottom w:w="28" w:type="dxa"/>
          <w:right w:w="28" w:type="dxa"/>
        </w:tblCellMar>
      </w:tblPr>
      <w:tblGrid>
        <w:gridCol w:w="635"/>
        <w:gridCol w:w="559"/>
        <w:gridCol w:w="561"/>
        <w:gridCol w:w="452"/>
        <w:gridCol w:w="1096"/>
        <w:gridCol w:w="581"/>
        <w:gridCol w:w="109"/>
        <w:gridCol w:w="109"/>
        <w:gridCol w:w="109"/>
        <w:gridCol w:w="487"/>
        <w:gridCol w:w="1181"/>
        <w:gridCol w:w="626"/>
        <w:gridCol w:w="109"/>
        <w:gridCol w:w="109"/>
        <w:gridCol w:w="109"/>
        <w:gridCol w:w="611"/>
        <w:gridCol w:w="1483"/>
        <w:gridCol w:w="920"/>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Post-modification</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2025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2025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2026 Modified Warrants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term (years)</w:t>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issued 925,926 shares of Class A common stock as a result of the exercise of the January 2026 Pre-Funded Warrants.</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December 2025 Warrant Inducement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December 9, 2025, the Company entered into a warrant inducement agreement (the “December 2025 Warrant Inducement”) with an investor who was holding the August 2025 Warrants (see discussion of the August 2025 Warrant Inducement below). Pursuant to the December 2025 Warrant Inducement, on December 9, 2025, the investor agreed to exercise for cash all 272,385 of the August 2025 Warrants at an exercise price of $13.74 per share. The investor paid gross proceeds of $3.7 million, before deducting offering fees and other expenses of $0.3 million payable by the Company. Prior to entering into the December 2025 Warrant Inducement, the August 2025 Warrants were immediately exercisable at an exercise price of $19.81 per share. Net proceeds of $3.4 million from the exercise of the August 2025 Warrants was recorded to additional paid-in 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August 2025 Warrants immediately before and after modification by using a BSM option pricing model and the inducement exercise price of $13.74 per share, respectively, and determined an incremental increase in fair value of approximately $1.5 million. In accordance with ASC Topic 815 guidance on equity classified warrant modifications, the incremental change in fair value of the August 2025 Warrants was accounted for as an additional equity issuance cost for the December 2025 Warrant Inducement, which was recorded to additional paid-in capital. The significant inputs into the BSM option pricing model immediately before modification date are as follows:</w:t>
      </w:r>
    </w:p>
    <w:tbl>
      <w:tblPr>
        <w:tblW w:w="3018" w:type="dxa"/>
        <w:jc w:val="left"/>
        <w:tblInd w:w="0" w:type="dxa"/>
        <w:tblLayout w:type="fixed"/>
        <w:tblCellMar>
          <w:top w:w="28" w:type="dxa"/>
          <w:left w:w="28" w:type="dxa"/>
          <w:bottom w:w="28" w:type="dxa"/>
          <w:right w:w="28" w:type="dxa"/>
        </w:tblCellMar>
      </w:tblPr>
      <w:tblGrid>
        <w:gridCol w:w="679"/>
        <w:gridCol w:w="597"/>
        <w:gridCol w:w="599"/>
        <w:gridCol w:w="211"/>
        <w:gridCol w:w="616"/>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agreed to issue new warrants to purchase up to 408,576 shares of Class A common stock, with an exercise price of $13.74 per share (the “December 2025 Warrants”), in consideration of the investor’s agreement to exercise the August 2025 Warrants. The December 2025 Warrants were exercisable immediately after issuance and expire five years from the date of issuance. The December 2025 Warrants meet the requirements for equity classification. The Company determined the fair value of the December 2025 Warrants at issuance by using a BSM option pricing model, with the following assumptions:</w:t>
      </w:r>
    </w:p>
    <w:tbl>
      <w:tblPr>
        <w:tblW w:w="3018" w:type="dxa"/>
        <w:jc w:val="left"/>
        <w:tblInd w:w="0" w:type="dxa"/>
        <w:tblLayout w:type="fixed"/>
        <w:tblCellMar>
          <w:top w:w="28" w:type="dxa"/>
          <w:left w:w="28" w:type="dxa"/>
          <w:bottom w:w="28" w:type="dxa"/>
          <w:right w:w="28" w:type="dxa"/>
        </w:tblCellMar>
      </w:tblPr>
      <w:tblGrid>
        <w:gridCol w:w="679"/>
        <w:gridCol w:w="597"/>
        <w:gridCol w:w="599"/>
        <w:gridCol w:w="211"/>
        <w:gridCol w:w="616"/>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may not effect the exercise of certain December 2025 Warrants, and the investor will not be entitled to exercise any portion of any such December 2025 Warrant, which, upon giving effect to such exercise, would cause the aggregate number of shares of Class A common stock beneficially owned by the investor of such December 2025 Warrants (together with its affiliates) to exceed 4.99% of the number of shares of Class A common stock outstanding immediately after giving effect to the exercise, as such percentage ownership is determined in accordance with the terms of such December 2025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December 2025 Warrant Inducement, the Company also agreed to amend the October 2025 Warrants (see discussion of the October 2025 Warrant Inducement below) to purchase up to an aggregate of 418,465 shares of Class A common stock at an exercise price of $25.53 per share. Prior to amendment, the October 2025 Warrants had a termination date of October 15, 2030. The October 2025 Warrants were amended on December 9, 2025, to have a reduced exercise price of $13.74 per share and will expire five years from the date of stockholder approval.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October 2025 Warrants immediately before and after modification using the BSM option pricing model and determined an incremental increase in fair value of approximately $0.6 million. In accordance with ASC Topic 815 guidance on equity classified warrant modifications, the incremental change in fair value of the October 2025 Warrants was accounted for as an additional equity issuance cost for the December 2025 Warrant Inducement, which was recorded to additional paid-in-capital. The significant inputs into the BSM option pricing model before and after the modification date are as follows:</w:t>
      </w:r>
    </w:p>
    <w:tbl>
      <w:tblPr>
        <w:tblW w:w="5399" w:type="dxa"/>
        <w:jc w:val="left"/>
        <w:tblInd w:w="0" w:type="dxa"/>
        <w:tblLayout w:type="fixed"/>
        <w:tblCellMar>
          <w:top w:w="28" w:type="dxa"/>
          <w:left w:w="28" w:type="dxa"/>
          <w:bottom w:w="28" w:type="dxa"/>
          <w:right w:w="28" w:type="dxa"/>
        </w:tblCellMar>
      </w:tblPr>
      <w:tblGrid>
        <w:gridCol w:w="679"/>
        <w:gridCol w:w="597"/>
        <w:gridCol w:w="599"/>
        <w:gridCol w:w="297"/>
        <w:gridCol w:w="867"/>
        <w:gridCol w:w="382"/>
        <w:gridCol w:w="109"/>
        <w:gridCol w:w="109"/>
        <w:gridCol w:w="109"/>
        <w:gridCol w:w="304"/>
        <w:gridCol w:w="889"/>
        <w:gridCol w:w="45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Post-modification</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October 2025 Warrant Inducement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14, 2025, the Company entered into a warrant inducement agreement (the “October 2025 Warrant Inducement”) with an investor who was holding the March 2025 Warrants (see discussion of the March 2025 Warrant Inducement below) and the July 2025 Warrants (see discussion of the July 2025 Offering below). Pursuant to the October 2025 Warrant Inducement, on October 14, 2025, the investor agreed to exercise for cash (i) 120,049 of the March 2025 Warrants at an exercise price of $25.53 per share and (ii) 158,925 of the July 2025 Warrants at an exercise price of $25.17 per share. The investor paid gross proceeds of $7.1 million, before deducting offering fees and other expenses of $0.5 million payable by the Company. Prior to entering into the October 2025 Warrant Inducement, the March 2025 Warrants and July 2025 Warrants were immediately exercisable at an exercise price of $35.70 per share and $25.17 per share, respectively. Net proceeds of $6.6 million from the exercise of the March 2025 Warrants and the July 2025 Warrants was recorded to additional paid-in 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fair value of the March 2025 Warrants and the July 2025 Warrants immediately before modification by using a BSM option pricing model and immediately after modification by using the inducement exercise prices of $25.53 per share and $25.17 per share, respectively. The Company determined an incremental aggregate increase in fair value of approximately $1.3 million. In accordance with ASC Topic 815 guidance on equity classified warrant modifications, the incremental change in fair value of the March 2025 Warrants and the July 2025 Warrants was accounted for as an additional equity issuance cost for the October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Warrant Inducement, which was recorded to additional paid-in capital. The significant inputs into the BSM option pricing model immediately before the modification date are as follows:</w:t>
      </w:r>
    </w:p>
    <w:tbl>
      <w:tblPr>
        <w:tblW w:w="6071" w:type="dxa"/>
        <w:jc w:val="left"/>
        <w:tblInd w:w="0" w:type="dxa"/>
        <w:tblLayout w:type="fixed"/>
        <w:tblCellMar>
          <w:top w:w="28" w:type="dxa"/>
          <w:left w:w="28" w:type="dxa"/>
          <w:bottom w:w="28" w:type="dxa"/>
          <w:right w:w="28" w:type="dxa"/>
        </w:tblCellMar>
      </w:tblPr>
      <w:tblGrid>
        <w:gridCol w:w="679"/>
        <w:gridCol w:w="597"/>
        <w:gridCol w:w="599"/>
        <w:gridCol w:w="386"/>
        <w:gridCol w:w="1128"/>
        <w:gridCol w:w="496"/>
        <w:gridCol w:w="109"/>
        <w:gridCol w:w="109"/>
        <w:gridCol w:w="109"/>
        <w:gridCol w:w="343"/>
        <w:gridCol w:w="1002"/>
        <w:gridCol w:w="51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2025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2025 Warrants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agreed to issue new warrants to purchase up to 418,465 shares of Class A common stock, with an exercise price of $25.53 per share (the “October 2025 Warrants”), in consideration of the investor’s agreement to exercise the March 2025 Warrants and July 2025 Warrants. The October 2025 Warrants are exercisable immediately after stockholder approval and will expire five years from the date of stockholder approval. The October 2025 Warrants meet the requirements for equity classification. The Company determined the fair value of the October 2025 Warrants at issuance by using a BSM option pricing model, with the following assumptions:</w:t>
      </w:r>
    </w:p>
    <w:tbl>
      <w:tblPr>
        <w:tblW w:w="3018" w:type="dxa"/>
        <w:jc w:val="left"/>
        <w:tblInd w:w="0" w:type="dxa"/>
        <w:tblLayout w:type="fixed"/>
        <w:tblCellMar>
          <w:top w:w="28" w:type="dxa"/>
          <w:left w:w="28" w:type="dxa"/>
          <w:bottom w:w="28" w:type="dxa"/>
          <w:right w:w="28" w:type="dxa"/>
        </w:tblCellMar>
      </w:tblPr>
      <w:tblGrid>
        <w:gridCol w:w="679"/>
        <w:gridCol w:w="597"/>
        <w:gridCol w:w="599"/>
        <w:gridCol w:w="211"/>
        <w:gridCol w:w="616"/>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may not effect the exercise of certain October 2025 Warrants, and the investor will not be entitled to exercise any portion of any such October 2025 Warrants, which, upon giving effect to such exercise, would cause the aggregate number of shares of Class A common stock beneficially owned by the investor of such October 2025 Warrants (together with its affiliates) to exceed 9.99% of the number of shares of Class A common stock outstanding immediately after giving effect to the exercise, as such percentage ownership is determined in accordance with the terms of such October 2025 Warrants.</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Baker &amp; McKenzie LLP Settlement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2025, the Company entered into a General Release and Settlement Agreement (the “Settlement Agreement”) with Baker &amp; McKenzie LLP (“B&amp;M”) to settle an obligation of $1.1 million owed by the Company to B&amp;M.</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Settlement Agreement, the Company agreed to (i) pay B&amp;M $0.1 million in cash and (ii) enter into a Securities Purchase Agreement (the “B&amp;M SPA”) to issue to B&amp;M 32,527 Class A common stock and pre-funded warrants to purchase 19,210 shares of Class A common stock (the “B&amp;M Pre-funded Warrants”). The B&amp;M Pre</w:t>
        <w:noBreakHyphen/>
        <w:t>funded Warrants have an exercise price of $0.00001 per share and are exercisable any time after the issuance, and will not expire until exercised. The Company evaluated the issuance of the B&amp;M Pre-funded Warrants under ASC Topic 718 and determined that they are equity classified and should be measured at their grant-date fair value, with the related expense recognized immediately upon issuance, as the underlying services were fully rendered prior to grant. The fair value of the shares and B&amp;M Pre-funded Warrants issued was determined to be $1.2 million, based on the closing price of the Class A common stock on the settlement date, resulting in $0.1 million of additional expense recognized for the difference between the fair value shares and pre-funded warrants and the carrying amount of the liability settled.</w:t>
      </w:r>
    </w:p>
    <w:p>
      <w:pPr>
        <w:pStyle w:val="TextBody"/>
        <w:bidi w:val="0"/>
        <w:spacing w:lineRule="auto" w:line="268" w:before="160" w:after="16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issued 19,210 shares of Class A common stock as a result of all of the B&amp;M Pre-funded Warrants being exercised.</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September 2025 Equity Line of Credit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September 2025 Private Placement, on September 25, 2025, the Company entered into an equity purchase agreement (the “ELOC”) with an investor and a registration rights agreement, pursuant to which the Company has the right, but not the obligation, to direct the investor to purchase up to $50.0 million in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Class A common stock, subject to certain limitations and conditions set forth in the ELOC, including the requirement that the trading price of the Class A common stock as listed on Nasdaq is at or above 106% of the purchase price, with a purchase price of $22.13 per share to be paid by the investor. The Company will control the timing and amount of any sale of shares pursuant to the ELOC.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term of the ELOC began on September 25, 2025, and will end on the earlier of (i) the date on which the investor shall have purchased shares of Class A common stock equal to $50.0 million, (ii) 36 months from September 30, 2025, the date the Registration Statement on Form S-3 was declared effective, (iii) written notice of termination by the Company to the investor (which shall not occur at any time that the investor holds any of the shares of Class A common stock purchased under the ELOC, or within 30 days of the sale to the investor of shares of Class A common stock pursuant to the ELOC), or (iv) written notice of termination by the investor to the Company. The ELOC represents a forward contract for the sale of Class A common stock and the Company will record sales of the Class A common stock under the ELOC as they occur.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consideration for the investor’s execution and delivery of, and performance under, the ELOC, the Company issued prefunded warrants to purchase 37,816 shares of Class A common stock (the “ELOC Pre-funded Warrants”). The ELOC Pre-funded Warrants have an exercise price of $0.00001 per share and are exercisable any time after issuance, and will not expire until exercised. Unless the ELOC is terminated by January 26, 2026, the number of exercisable prefunded warrants will increase to 42,017 shares. The ELOC Pre-funded Warrants are liability classified. The ELOC Pre-funded Warrants were initially measured at a fair value of $0.8 million on the issuance date, based on the closing price of the Class A common stock on the issuance date, with a corresponding allocation from the proceeds of the September 2025 Private Placement (see Note 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ELOC Pre-funded Warrants liability was recorded at fair value and marked-to-market each reporting period with changes in fair value being reflected in earnings. On November 21, 2025, the Company issued 37,816 shares of Class A common stock as a result of all of the ELOC Pre-funded Warrants being exercised.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December 23, 2025, the Company entered into a First Amendment to the ELOC (the “ELOC Amendment”) with the investor. The ELOC Amendment modified the purchase price mechanism for shares issuable upon delivery of a put notice from a fixed price of $1.24 per share to a variable price equal to 94% of the lowest trading price of the Class A common stock reported during the three consecutive trading days commencing on the date the applicable put notice is delivered. As of June 30, 2026, no shares have been sold under the ELOC.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under the ELOC Pre-funded Warrants increased by 4,202 as the ELOC was not terminated on January 26, 2026. The Company issued 4,202 shares of Class A common stock as a result of these additional ELOC Pre-funded Warrants being exercised in January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17, 2026, pursuant to certain provisions of the ELOC Pre-funded Warrants, the number of shares issuable was recalibrated based on a Reference VWAP Price, resulting in an additional 16,440 shares issuable to the investor. The Company recognized an increase in the ELOC Pre-funded Warrants liability of $0.1 million, with the change in fair value recognized in earnings. On the same date, the Company issued 16,440 shares of Class A common stock in satisfaction of the true-up, and the ELOC Pre-funded Warrants liability was extinguished, with the fair value of the shares issued reclassified to equity. No gain or loss was recognized on the extinguishment. As a result, the ELOC Pre-funded Warrants were fully settled and are no longer outstanding as of June 30,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August 2025 Warrant Inducement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entered into a warrant inducement agreement (the “August 2025 Warrant Inducement”) with an investor who was holding the February 2025 Warrants (see discussion of the February 2025 Offering below) and the Investor Modified Warrants (see discussion of the July 2025 Offering below). Pursuant to the August 2025 Warrant Inducement, on August 13, 2025, the investor agreed to exercise for cash (i) 71,367 of the February 2025 Warrants at an exercise price of $19.81 per share and (ii) 64,826 of the remaining Investor Modified Warrants at an exercise price of $19.81 per share. The investor paid gross proceeds of $2.7 million, before deducting offering fees and other expenses of $0.3 million payable by the Company. Prior to entering into the August 2025 Warrant Inducement, the February 2025 Warrants and Investor were immediately exercisable at an exercise price of $67.83 per share and $25.17 per share, respectively. Net proceeds of $2.4 million from the exercise of the February 2025 Warrants and the Investor Modified Warrants was recorded to additional paid-in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February 2025 Warrants and the Investor Modified Warrants immediately before modification by using a BSM option pricing model and immediately after modification by using the inducement exercise price of $19.81 per share. The Company determined there was a decrease in the fair value of the February 2025 Warrants and the Investor Modified Warrants. In accordance with ASC Topic 815 guidance on equity classified warrant modifications, a decrease in fair value is not recognized. The significant inputs into the BSM option pricing model immediately before the modification date are as follows:</w:t>
      </w:r>
    </w:p>
    <w:tbl>
      <w:tblPr>
        <w:tblW w:w="6863" w:type="dxa"/>
        <w:jc w:val="left"/>
        <w:tblInd w:w="0" w:type="dxa"/>
        <w:tblLayout w:type="fixed"/>
        <w:tblCellMar>
          <w:top w:w="28" w:type="dxa"/>
          <w:left w:w="28" w:type="dxa"/>
          <w:bottom w:w="28" w:type="dxa"/>
          <w:right w:w="28" w:type="dxa"/>
        </w:tblCellMar>
      </w:tblPr>
      <w:tblGrid>
        <w:gridCol w:w="635"/>
        <w:gridCol w:w="559"/>
        <w:gridCol w:w="561"/>
        <w:gridCol w:w="432"/>
        <w:gridCol w:w="1262"/>
        <w:gridCol w:w="555"/>
        <w:gridCol w:w="109"/>
        <w:gridCol w:w="109"/>
        <w:gridCol w:w="109"/>
        <w:gridCol w:w="368"/>
        <w:gridCol w:w="190"/>
        <w:gridCol w:w="473"/>
        <w:gridCol w:w="190"/>
        <w:gridCol w:w="190"/>
        <w:gridCol w:w="190"/>
        <w:gridCol w:w="190"/>
        <w:gridCol w:w="190"/>
        <w:gridCol w:w="551"/>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2025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Investor Modified Warrants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term (years)</w:t>
            </w:r>
          </w:p>
        </w:tc>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4.70</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3"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agreed to issue new warrants to purchase up to 272,385 shares of Class A common stock, with an exercise price of $19.81 per share (the “August 2025 Warrants”), in consideration of the investor’s agreement to exercise the February 2025 Warrants and the Investor Modified Warrants. The August 2025 Warrants were exercisable immediately after issuance and expire five years from the date of issuance. The August 2025 Warrants meet the requirements for equity classification. The Company determined the fair value of the August 2025 Warrants at issuance by using a BSM option pricing model, with the following assumptions:</w:t>
      </w:r>
    </w:p>
    <w:tbl>
      <w:tblPr>
        <w:tblW w:w="2898" w:type="dxa"/>
        <w:jc w:val="left"/>
        <w:tblInd w:w="0" w:type="dxa"/>
        <w:tblLayout w:type="fixed"/>
        <w:tblCellMar>
          <w:top w:w="28" w:type="dxa"/>
          <w:left w:w="28" w:type="dxa"/>
          <w:bottom w:w="28" w:type="dxa"/>
          <w:right w:w="28" w:type="dxa"/>
        </w:tblCellMar>
      </w:tblPr>
      <w:tblGrid>
        <w:gridCol w:w="635"/>
        <w:gridCol w:w="559"/>
        <w:gridCol w:w="561"/>
        <w:gridCol w:w="211"/>
        <w:gridCol w:w="616"/>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term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may not effect the exercise of certain August 2025 Warrants, and the investor will not be entitled to exercise any portion of any such August 2025 Warrants, which, upon giving effect to such exercise, would cause the aggregate number of shares of Class A common stock beneficially owned by the investor of such August 2025 Warrants (together with its affiliates) to exceed 4.99% of the number of shares of Class A common stock outstanding immediately after giving effect to the exercise, as such percentage ownership is determined in accordance with the terms of such August 2025 Warrants.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July 2025 Public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01, 2025, the Company consummated a “best efforts” public offering (the “July 2025 Offering”) of an aggregate of (i) 38,096 shares of Class A common stock at a purchase price of $25.17 per share, (ii) pre-funded warrants (the “July 2025 Pre-funded Warrants”) to purchase 120,834 shares of Class A common stock, and (iii) warrants to purchase 158,925 shares of Class A common stock (the “July 2025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of each July 2025 Pre-funded Warrant was equal to the price per share of Class A common stock being sold in the July 2025 Offering minus $0.00001. The July 2025 Pre-funded Warrants have an exercise price of $0.00001 per share and are exercisable any time after the issuance, and will not expire until exercised. The July 2025 Warrants have an exercise price per share of Class A common stock equal to $25.17 per share and will expire five years from the date of issuance. The July 2025 Offering closed on July 01, 2025. Both the July 2025 Pre-funded Warrants and the July 2025 Warrants meet the requirements for equity classification.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received aggregate gross proceeds from the July 2025 Offering of approximately $4.0 million, before deducting issuance costs of $0.6 million. Net proceeds of $3.4 million from the July 2025 Offering was recorded to additional paid-in-capital.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July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period of 45 days and will not effect or enter into an agreement to effect any issuance by the Company or any of its subsidiaries of shares of common stock or common stock equivalents (or a combination of units thereof) involving a variable rate transaction for a period of 3 months after July 1, 2025, subject to certain exceptions.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July 2025 Pre-funded Warrants based on the fair value of the Company’s Class A common stock from the issuance date, less the $0.00001 exercise price.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Also in connection with the July 2025 Offering, the Company agreed to amend the remaining Investor Modified Warrants still outstanding (see discussion of the March 2025 Warrant Inducement below) to purchase up to an aggregate of 64,826 shares of Class A common stock. Prior to amendment, the Investor Modified Warrants had an exercise price of $67.83 per share and a termination date of February 11, 2030. Upon amendment, each of the Investor Modified Warrants had a reduced exercise price of $25.17 per share and a termination date of July 1, 2030.</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Investor Modified Warrants immediately before and after modification using the BSM option pricing model and determined an incremental increase in fair value of approximately $0.4 million. In accordance with ASC Topic 815 guidance on equity classified warrant modifications, the incremental change in fair value of the Investor Modified Warrants was accounted for as an additional equity issuance cost for the July 2025 Offering, which was recorded to additional paid-in-capital. The significant inputs into the BSM option pricing model before and after the modification date are as follows:</w:t>
      </w:r>
    </w:p>
    <w:tbl>
      <w:tblPr>
        <w:tblW w:w="5714" w:type="dxa"/>
        <w:jc w:val="left"/>
        <w:tblInd w:w="0" w:type="dxa"/>
        <w:tblLayout w:type="fixed"/>
        <w:tblCellMar>
          <w:top w:w="28" w:type="dxa"/>
          <w:left w:w="28" w:type="dxa"/>
          <w:bottom w:w="28" w:type="dxa"/>
          <w:right w:w="28" w:type="dxa"/>
        </w:tblCellMar>
      </w:tblPr>
      <w:tblGrid>
        <w:gridCol w:w="635"/>
        <w:gridCol w:w="559"/>
        <w:gridCol w:w="561"/>
        <w:gridCol w:w="337"/>
        <w:gridCol w:w="174"/>
        <w:gridCol w:w="297"/>
        <w:gridCol w:w="119"/>
        <w:gridCol w:w="119"/>
        <w:gridCol w:w="119"/>
        <w:gridCol w:w="138"/>
        <w:gridCol w:w="138"/>
        <w:gridCol w:w="353"/>
        <w:gridCol w:w="109"/>
        <w:gridCol w:w="109"/>
        <w:gridCol w:w="109"/>
        <w:gridCol w:w="337"/>
        <w:gridCol w:w="174"/>
        <w:gridCol w:w="296"/>
        <w:gridCol w:w="119"/>
        <w:gridCol w:w="119"/>
        <w:gridCol w:w="119"/>
        <w:gridCol w:w="136"/>
        <w:gridCol w:w="136"/>
        <w:gridCol w:w="402"/>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Pre-modification</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term (years)</w:t>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4.82</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441"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3.78%</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441"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Subsequent to the July 2025 Offering, during 2025, the Company issued 120,834 shares of Class A common stock as a result of all of the July 2025 Pre-funded Warrants being exercised.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Master Services Agreement with Velo3D, Inc.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12, 2025, the Company entered into a Master Services Agreement (the “MSA”) with Velo3D, Inc. (“VLD”), a provider of additive manufacturing solutions, also referred to as 3D printing, pursuant to which VLD will provide services to design and produce components and systems that will be utilized by the Company or its customers in its spacecraft, systems, and components. The MSA has a term of five years and provides the Company with priority access to manufacturing capacity equivalent to approximately $3,000,000 annually, corresponding to the output of two Sapphire XC 3D metal printers or comparable equipment. If the Company does not fully utilize this capacity in a given year, it may receive credits equal to 20% of the unused value (net of service fees paid) in the first year and 50% thereafter. The Company has an option to purchase the equipment after the second anniversary of the MSA at 70% of its amortized value.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exchange for the services, the Company issued an aggregate of 26,749 shares of Class A common stock and 673,408 shares of Series A preferred stock. The grant-date fair value of the equity issued was determined to be $10.7 million, based upon the enterprise value of the company on the date of the transaction and considering the quoted market price of the Class A common stock on the issuance date for the common shares issued and, for the Series A preferred stock, an as-converted basis using the same closing price adjusted for its conversion ratio and features. A Discount for Lack of Marketability (“DLOM”) was applied to the aggregate valuation. This discount was determined based on certain assumptions, including a volatility rate of 45.0% per year and a length of holding period restriction of 0.5 years. The Company evaluated the issuance of these shares under ASC Topic 718 and determined that shares were equity classified and, at contract inception, there was no recognition required related to the MSA as no goods or services had been delivered.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credit provision related to unused capacity was determined to be an embedded derivative under ASC Topic 815 (the “Credit Provision Derivative”). The Credit Provision Derivative was bifurcated from the contract and is recorded at fair value and marked-to-market each reporting period with changes in fair value being reflected in earnings. As of the inception date, the Credit Provision Derivative was valued at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14, 2025, the Company irrevocably waived its right under the MSA to cancel shares of the Company’s capital stock held by VLD upon expiration or termination of the MSA (the “VLD Amendment”). The shares of Series A preferred stock held by VLD are fully vested and non-forfeitable. This amendment was accounted for as a Type I Modification under ASC Topic 718 and the Company recognized the grant-date fair value of $10.7 million immediately as a prepaid asset. Of the $10.7 million recognized on August 14, 2025, $2.1 million was recorded within prepaids and other current assets and $8.6 million was recorded within other non-current assets in our condensed consolidated balance sheets. As only term that changed as a result of the VLD Amendment was related to vesting, there was no change in fair value of the equity issued as a result of the amendment and no incremental fair value recognized. The prepaid asset will be amortized to expense over the 5 year period of the MSA as services are provided to 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17, 2025, VLD converted 126,000 shares of the Company’s Series A preferred stock into 70,588 shares of Class A common stock.</w:t>
      </w:r>
    </w:p>
    <w:p>
      <w:pPr>
        <w:pStyle w:val="TextBody"/>
        <w:bidi w:val="0"/>
        <w:spacing w:lineRule="auto" w:line="288" w:before="160" w:after="283"/>
        <w:jc w:val="both"/>
        <w:rPr/>
      </w:pPr>
      <w:r>
        <w:rPr>
          <w:rFonts w:ascii="Times New Roman;serif" w:hAnsi="Times New Roman;serif"/>
          <w:b w:val="false"/>
          <w:color w:val="000000"/>
          <w:sz w:val="20"/>
        </w:rPr>
        <w:t>During the year ended December 31, 2025, the Company only received $0.1 million out of the $3.0 million</w:t>
      </w:r>
      <w:r>
        <w:rPr>
          <w:color w:val="000000"/>
        </w:rPr>
        <w:t xml:space="preserve"> </w:t>
      </w:r>
      <w:r>
        <w:rPr>
          <w:rFonts w:ascii="Times New Roman;serif" w:hAnsi="Times New Roman;serif"/>
          <w:b w:val="false"/>
          <w:color w:val="000000"/>
          <w:sz w:val="20"/>
        </w:rPr>
        <w:t>annual prepayment of services from VLD. The Company determined that $1.7 million of the prepaid services would not be utilized in the first annual period of the MSA and were thus not recoverable as of December 31, 2025. In relation to this underutilization of prepaid services, $0.2 million of other income was recognized for an increase in the fair value of the Credit Provision Derivative. The Credit Provision Derivative asset, which was recorded in prepaids and other current assets in the condensed consolidated balance sheets as of December 31, 2025, has no remaining balance, and the amounts owed from VLD are included in accounts receivable, as of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February 9, 2026, VLD converted 547,408 shares of the Company’s Series A preferred stock into 306,672 shares of Class A common stock. As a result of the conversion, there are no shares of the Company’s Series A preferred stock outstanding.</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March 2025 Warrant Inducement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20, 2025, the Company entered into a warrant inducement agreement (the “March 2025 Warrant Inducement”) with an investor who was holding the Investor Modified Warrants (see discussion of the February 2025 Offering below). Pursuant to the March 2025 Warrant Inducement, on March 21, 2025, the investor agreed to exercise for cash 60,025 of the Investor Modified Warrants at an exercise price of $34.45 per share. The investor paid gross proceeds of $2.1 million, before deducting offering fees and other expenses of $0.2 million payable by the Company. Prior to entering into the March 2025 Warrant Inducement, the Investor Modified Warrants were immediately exercisable at an exercise price of $67.83 per share. Net proceeds of $1.9 million from the exercise of the Investor Modified Warrants was recorded to additional paid-in 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agreed to issue new warrants to purchase up to 120,049 shares of Class A common stock, with an exercise price of $35.70 per share (the “March 2025 Warrants”), in consideration of the investor’s agreement to exercise the Investor Modified Warrants. The March 2025 Warrants were exercisable immediately after issuance and expire five years from the date of issuance. The March 2025 Warrants meet the requirements for equity classification.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may not effect the exercise of certain March 2025 Warrants, and the investor will not be entitled to exercise any portion of any such March 2025 Warrants, which, upon giving effect to such exercise, would cause the aggregate number of shares of Class A common stock beneficially owned by the investor of such March 2025 Warrants (together with its affiliates) to exceed 4.99% of the number of shares of Class A common stock outstanding immediately after giving effect to the exercise, as such percentage ownership is determined in accordance with the terms of such March 2025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24, 2025, only 18,544 shares of Class A common stock were delivered to the investor due to beneficial ownership limitations upon the exercise of the Investor Modified Warrants. The remaining 41,481 shares were subsequently delivered to the investor during the year ended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February 2025 Public Offering</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February 11, 2025, the Company consummated a “best efforts” public offering (the “February 2025 Offering”) of an aggregate of (i) 16,807 shares of Class A common stock at a purchase price of $70.06 per share, (ii) pre</w:t>
        <w:noBreakHyphen/>
        <w:t xml:space="preserve">funded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warrants (the “February 2025 Pre-funded Warrants”) to purchase 54,560 shares of Class A common stock, and (iii) warrants to purchase 71,367 shares of Class A common stock (the “February 2025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of each February 2025 Pre-funded Warrant was equal to the price per share of Class A common stock being sold in the February 2025 Offering minus $0.00001. The February 2025 Pre-funded Warrants have an exercise price of $0.00001 per share and are exercisable any time after the issuance, and will not expire until exercised. The February 2025 Warrants have an exercise price per share of Class A common stock equal to $67.83 and will expire five years from the date of issuance. The February 2025 Offering closed on February 11, 2025. Both the February 2025 Pre-funded Warrants and the February 2025 Warrants meet the requirements for equity classification.</w:t>
      </w:r>
    </w:p>
    <w:p>
      <w:pPr>
        <w:pStyle w:val="TextBody"/>
        <w:bidi w:val="0"/>
        <w:spacing w:lineRule="auto" w:line="288" w:before="160" w:after="283"/>
        <w:jc w:val="both"/>
        <w:rPr/>
      </w:pPr>
      <w:r>
        <w:rPr>
          <w:rFonts w:ascii="Times New Roman;serif" w:hAnsi="Times New Roman;serif"/>
          <w:b w:val="false"/>
          <w:color w:val="000000"/>
          <w:sz w:val="20"/>
        </w:rPr>
        <w:t>The Company received aggregate gross proceeds from the February 2025 Offering of approximately $5.0 million, before deducting estimated issuance costs of $0.6 million. N</w:t>
      </w:r>
      <w:r>
        <w:rPr>
          <w:rFonts w:ascii="Times New Roman;serif" w:hAnsi="Times New Roman;serif"/>
          <w:b w:val="false"/>
          <w:color w:val="000000"/>
          <w:sz w:val="20"/>
          <w:shd w:fill="FFFFFF" w:val="clear"/>
        </w:rPr>
        <w:t xml:space="preserve">et proceeds of </w:t>
      </w:r>
      <w:r>
        <w:rPr>
          <w:rFonts w:ascii="Times New Roman;serif" w:hAnsi="Times New Roman;serif"/>
          <w:b w:val="false"/>
          <w:color w:val="000000"/>
          <w:sz w:val="20"/>
        </w:rPr>
        <w:t>$4.4 million from the February 2025 Offering was recorded to additional paid-in-capital.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February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30 days and would not effect or enter into an agreement to effect any issuance by the Company or any of its subsidiaries of shares of common stock or common stock equivalents (or a combination of units thereof) involving a variable rate transaction for a period of 6 months after February 11, 2025, subject to certain exceptions.</w:t>
      </w:r>
    </w:p>
    <w:p>
      <w:pPr>
        <w:pStyle w:val="TextBody"/>
        <w:bidi w:val="0"/>
        <w:spacing w:lineRule="auto" w:line="268" w:before="160" w:after="283"/>
        <w:jc w:val="both"/>
        <w:rPr/>
      </w:pPr>
      <w:r>
        <w:rPr>
          <w:rFonts w:ascii="Times New Roman;serif" w:hAnsi="Times New Roman;serif"/>
          <w:b w:val="false"/>
          <w:color w:val="000000"/>
          <w:sz w:val="20"/>
          <w:shd w:fill="FFFFFF" w:val="clear"/>
        </w:rPr>
        <w:t xml:space="preserve">Also in connection with the February 2025 Offering, the Company entered into a Placement Agency Agreement on </w:t>
      </w:r>
      <w:r>
        <w:rPr>
          <w:rFonts w:ascii="Times New Roman;serif" w:hAnsi="Times New Roman;serif"/>
          <w:b w:val="false"/>
          <w:color w:val="000000"/>
          <w:sz w:val="20"/>
        </w:rPr>
        <w:t>February 11, 2025</w:t>
      </w:r>
      <w:r>
        <w:rPr>
          <w:rFonts w:ascii="Times New Roman;serif" w:hAnsi="Times New Roman;serif"/>
          <w:b w:val="false"/>
          <w:color w:val="000000"/>
          <w:sz w:val="20"/>
          <w:shd w:fill="FFFFFF" w:val="clear"/>
        </w:rPr>
        <w:t xml:space="preserve">, with the agency that assisted with the February 2025 Offering. The Company paid a cash placement agent commission equal to </w:t>
      </w:r>
      <w:r>
        <w:rPr>
          <w:rFonts w:ascii="Times New Roman;serif" w:hAnsi="Times New Roman;serif"/>
          <w:b w:val="false"/>
          <w:color w:val="000000"/>
          <w:sz w:val="20"/>
        </w:rPr>
        <w:t>7.0%</w:t>
      </w:r>
      <w:r>
        <w:rPr>
          <w:color w:val="000000"/>
          <w:shd w:fill="FFFFFF" w:val="clear"/>
        </w:rPr>
        <w:t xml:space="preserve"> </w:t>
      </w:r>
      <w:r>
        <w:rPr>
          <w:rFonts w:ascii="Times New Roman;serif" w:hAnsi="Times New Roman;serif"/>
          <w:b w:val="false"/>
          <w:color w:val="000000"/>
          <w:sz w:val="20"/>
          <w:shd w:fill="FFFFFF" w:val="clear"/>
        </w:rPr>
        <w:t xml:space="preserve">of gross proceeds from the February 2025 Offering and issued warrants (the “February 2025 Placement Agent Warrants”) to purchase </w:t>
      </w:r>
      <w:r>
        <w:rPr>
          <w:rFonts w:ascii="Times New Roman;serif" w:hAnsi="Times New Roman;serif"/>
          <w:b w:val="false"/>
          <w:color w:val="000000"/>
          <w:sz w:val="20"/>
        </w:rPr>
        <w:t>3,569</w:t>
      </w:r>
      <w:r>
        <w:rPr>
          <w:color w:val="000000"/>
          <w:shd w:fill="FFFFFF" w:val="clear"/>
        </w:rPr>
        <w:t xml:space="preserve"> </w:t>
      </w:r>
      <w:r>
        <w:rPr>
          <w:rFonts w:ascii="Times New Roman;serif" w:hAnsi="Times New Roman;serif"/>
          <w:b w:val="false"/>
          <w:color w:val="000000"/>
          <w:sz w:val="20"/>
          <w:shd w:fill="FFFFFF" w:val="clear"/>
        </w:rPr>
        <w:t>shares of Class A common stoc</w:t>
      </w:r>
      <w:r>
        <w:rPr>
          <w:rFonts w:ascii="Times New Roman;serif" w:hAnsi="Times New Roman;serif"/>
          <w:b w:val="false"/>
          <w:color w:val="000000"/>
          <w:sz w:val="20"/>
        </w:rPr>
        <w:t>k at an exercise price of $77.07, exercisable immediately upon issuance. The February 2025 Placement Agent Warrants will expire five years from the date of issuance.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February 2025 Pre-funded Warrants based on the fair value of the Company’s Class A common stock from the issuance date, less the $0.00001 exercise price.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in connection with the February 2025 Offering, the Company agreed to amend the September 2024 Class A Warrants, September 2024 Class B Warrants (see discussion of the September 2024 Offering below), December 2024 Warrants (see discussion of the December 2024 Offering below), and Investor Warrants (collectively, the “Investor Modified Warrants”) to purchase up to an aggregate of 40,017, 20,009, 44,818, and 20,009 shares of Class A common stock, respectively. Prior to amendment, the September 2024 Class A Warrants, September 2024 Class B Warrants, and Investor Warrants had an exercise price of $143.69 per share and the December 2024 Warrants had an exercise price of $108.53 per share. The September 2024 Class A Warrants, September 2024 Class B Warrants, December 2024 Warrants, and Investor Warrants had termination dates of March 17, 2030, March 17, 2026, December 18, 2029, and April 24, 2030, respectively. Upon amendment, each of the Investor Modified Warrants had a reduced exercise price of $67.83 per share and a termination date of February 11, 2030.</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Subsequent to the February 2025 Offering, during the year ended December 31, 2025, the Company issued 54,560 shares of Class A common stock as a result of all of the February 2025 Pre-funded Warrants being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outstanding stock purchases warrants are summarized as follows:</w:t>
      </w:r>
    </w:p>
    <w:tbl>
      <w:tblPr>
        <w:tblW w:w="10205" w:type="dxa"/>
        <w:jc w:val="left"/>
        <w:tblInd w:w="0" w:type="dxa"/>
        <w:tblLayout w:type="fixed"/>
        <w:tblCellMar>
          <w:top w:w="28" w:type="dxa"/>
          <w:left w:w="28" w:type="dxa"/>
          <w:bottom w:w="28" w:type="dxa"/>
          <w:right w:w="28" w:type="dxa"/>
        </w:tblCellMar>
      </w:tblPr>
      <w:tblGrid>
        <w:gridCol w:w="1248"/>
        <w:gridCol w:w="1090"/>
        <w:gridCol w:w="1095"/>
        <w:gridCol w:w="211"/>
        <w:gridCol w:w="1081"/>
        <w:gridCol w:w="109"/>
        <w:gridCol w:w="109"/>
        <w:gridCol w:w="109"/>
        <w:gridCol w:w="109"/>
        <w:gridCol w:w="478"/>
        <w:gridCol w:w="478"/>
        <w:gridCol w:w="480"/>
        <w:gridCol w:w="109"/>
        <w:gridCol w:w="109"/>
        <w:gridCol w:w="109"/>
        <w:gridCol w:w="424"/>
        <w:gridCol w:w="406"/>
        <w:gridCol w:w="407"/>
        <w:gridCol w:w="109"/>
        <w:gridCol w:w="109"/>
        <w:gridCol w:w="109"/>
        <w:gridCol w:w="500"/>
        <w:gridCol w:w="500"/>
        <w:gridCol w:w="717"/>
      </w:tblGrid>
      <w:tr>
        <w:trPr/>
        <w:tc>
          <w:tcPr>
            <w:tcW w:w="124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Tranche</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2024 Placement Agent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2024 SIV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SIV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Placement Agent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Wolverine Warrants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2025 Placement Agent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Tranche Warrants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Tranche Warrants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 SIV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112,045</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81,847</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2025 Warrants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418,465</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2025 Warrants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408,576</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2025 SIV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 Placement Agent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 Placement Agent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 Placement Agent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 Placement Agent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(1) The exercise price of these warrants was reduced from $4.87 to $3.80 per share during the six months ended June 30, 2026 as a result of down-round adjustments triggered by sales under the Company’s ATM Sales Agreement. These warrants were exercised in full in May 2026, resulting in the issuance of 54,973 shares of Class A common stock for gross proceeds of $0.2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(2) The October 2025 Warrants and December 2025 Warrants were amended in January 2026 to reduce the exercise price and extend the expiration date, as discussed under January 2026 Offering discussion above, and are referred to as the January 2026 Modified Warrants thereafter. The January 2026 Modified Warrants were exercised in full in May 2026, resulting in the issuance of 827,041 shares of Class A common stock for gross proceeds of $4.4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January 2026 Warrants, issued in connection with the January 2026 Offering, were exercised in full in May 2026, resulting in the issuance of 925,926 shares of Class A common stock for gross proceeds of $5.0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All of the Company’s outstanding warrants are classified as equity, other than the Private Warrants which are classified as derivative liabilities under ASC Topic 815.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Contingent Sponsor Earnout Shares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August 2021, the Company modified the terms of 116 shares of Class A common stock (the “Sponsor Earnout Shares”), such that all such shares will be forfeited if the share price of Class A common stock does not reach a volume-weighted average closing sale price of $156,188, two thirds of such shares will be forfeited if the share price of Class A common stock does not reach a volume-weighted average closing sale price of $187,425, and one third of such shares will be forfeited if the share price of Class A common stock does not reach a volume-weighted average closing sale price of $218,663, in each case, prior to the August 12, 2026. The Sponsor Earnout Shares may not be transferred without the Company’s consent until the shares vest.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240" w:after="283"/>
        <w:jc w:val="both"/>
        <w:rPr/>
      </w:pPr>
      <w:r>
        <w:rPr>
          <w:rFonts w:ascii="Times New Roman;serif" w:hAnsi="Times New Roman;serif"/>
          <w:b/>
          <w:color w:val="000000"/>
          <w:sz w:val="20"/>
        </w:rPr>
        <w:t>Note 9. Stockholders' Equity</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Legacy Stock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May 2018, the Board of Directors of Momentus Inc. approved the 2018 Stock Plan (the “Initial Plan”) that allowed for granting of incentive and non-qualified stock options (“NSOs”) and restricted stock awards (“RSAs”) to employees, directors, and consultants. The Initial Plan was terminated in November 2018. Awards outstanding under the Initial Plan continue to be governed by the terms of the Initial Plan.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TextBody"/>
        <w:bidi w:val="0"/>
        <w:spacing w:lineRule="auto" w:line="288" w:before="160" w:after="283"/>
        <w:jc w:val="both"/>
        <w:rPr/>
      </w:pPr>
      <w:r>
        <w:rPr>
          <w:rFonts w:ascii="Times New Roman;serif" w:hAnsi="Times New Roman;serif"/>
          <w:b w:val="false"/>
          <w:color w:val="000000"/>
          <w:sz w:val="20"/>
        </w:rPr>
        <w:t>In 2021, the Company adopted the 2021 Equity Incentive Plan (the “2021 Plan”), under which 479 shares of Class A common stock were initially reserved for issuance. The 2021 Plan allows for the issuance of incentive stock options, NSOs, RSAs, stock appreciation rights (“SARs”),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three percent (3.0%) of the outstanding shares on the last day of the immediately preceding fiscal year or (ii) such number of shares determined by the Board of Directors</w:t>
      </w:r>
      <w:r>
        <w:rPr>
          <w:rFonts w:ascii="Times New Roman;serif" w:hAnsi="Times New Roman;serif"/>
          <w:b w:val="false"/>
          <w:color w:val="000000"/>
          <w:sz w:val="20"/>
          <w:shd w:fill="FFFFFF" w:val="clear"/>
        </w:rPr>
        <w: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19, 2025, the Company adopted the first amendment to the 2021 Plan to increase the number of shares of Class A common stock available for issuance under the 2021 Plan by 53,222 shares. All other terms of the 2021 Plan remained the same.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19, 2026, the Company adopted the second amendment to the 2021 Plan to increase the number of shares of Class A common stock available for issuance under the 2021 Plan by 500,000 shares and to increase the annual evergreen percentage from 3.0% to 5.0%. All other terms of the 2021 Plan remained the same.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shares available for grant under the 2021 Plan increased by 564,964 due to the second amendment and evergreen provision.</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As of June 30, 2026, there were </w:t>
      </w:r>
      <w:r>
        <w:rPr>
          <w:rFonts w:ascii="Times New Roman;serif" w:hAnsi="Times New Roman;serif"/>
          <w:b w:val="false"/>
          <w:color w:val="000000"/>
          <w:sz w:val="20"/>
        </w:rPr>
        <w:t>245,710</w:t>
      </w:r>
      <w:r>
        <w:rPr>
          <w:color w:val="000000"/>
          <w:shd w:fill="FFFFFF" w:val="clear"/>
        </w:rPr>
        <w:t xml:space="preserve"> </w:t>
      </w:r>
      <w:r>
        <w:rPr>
          <w:rFonts w:ascii="Times New Roman;serif" w:hAnsi="Times New Roman;serif"/>
          <w:b w:val="false"/>
          <w:color w:val="000000"/>
          <w:sz w:val="20"/>
          <w:shd w:fill="FFFFFF" w:val="clear"/>
        </w:rPr>
        <w:t xml:space="preserve">shares remaining available for grant. Grant activity under the 2021 Plan is described below.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2021 Employee Stock Purchase Plan</w:t>
      </w:r>
    </w:p>
    <w:p>
      <w:pPr>
        <w:pStyle w:val="TextBody"/>
        <w:bidi w:val="0"/>
        <w:spacing w:lineRule="auto" w:line="288" w:before="160" w:after="283"/>
        <w:jc w:val="both"/>
        <w:rPr/>
      </w:pPr>
      <w:r>
        <w:rPr>
          <w:rFonts w:ascii="Times New Roman;serif" w:hAnsi="Times New Roman;serif"/>
          <w:b w:val="false"/>
          <w:color w:val="000000"/>
          <w:sz w:val="20"/>
        </w:rPr>
        <w:t xml:space="preserve">In 2021, the Company adopted the Employee Stock Purchase Plan (the “2021 ESPP”), under which 284 shares of Class A common stock were initially reserved for issuance. The 2021 ESPP provides a means by which eligible employees of the Company may be given an opportunity to purchase shares of Class A common stock at a discount as permitted under the Internal Revenue Code of 1986, as amended. The 2021 ESPP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half a percent (0.5%) of the outstanding shares on the last day of the calendar month prior to the date of such automatic increase or (ii) 284 shares. In 2024, participation in the 2021 ESPP was suspended by the Board of Directors. </w:t>
      </w:r>
      <w:r>
        <w:rPr>
          <w:rFonts w:ascii="Times New Roman;serif" w:hAnsi="Times New Roman;serif"/>
          <w:b w:val="false"/>
          <w:color w:val="000000"/>
          <w:sz w:val="20"/>
          <w:shd w:fill="FFFFFF" w:val="clear"/>
        </w:rPr>
        <w:t>The Company has an outstanding liability pertaining to the 2021 ESPP of $4 thousand as of June 30, 2026, included in accrued expenses, for employee contributions to the 2021 ESPP, which will be refunded to participants due to the suspension of the plan. As of June 30, 2026, there were 284 shares remaining available</w:t>
      </w:r>
      <w:r>
        <w:rPr>
          <w:color w:val="000000"/>
        </w:rPr>
        <w:t xml:space="preserve"> </w:t>
      </w:r>
      <w:r>
        <w:rPr>
          <w:rFonts w:ascii="Times New Roman;serif" w:hAnsi="Times New Roman;serif"/>
          <w:b w:val="false"/>
          <w:color w:val="000000"/>
          <w:sz w:val="20"/>
        </w:rPr>
        <w:t>for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shd w:fill="FFFFFF" w:val="clear"/>
          </w:rPr>
          <w:t>Table of Contents</w:t>
        </w:r>
      </w:hyperlink>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MOMENTUS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INTERIM FINANCIAL STATEMENTS</w:t>
      </w:r>
    </w:p>
    <w:p>
      <w:pPr>
        <w:pStyle w:val="TextBody"/>
        <w:bidi w:val="0"/>
        <w:spacing w:lineRule="auto" w:line="288" w:before="240" w:after="283"/>
        <w:jc w:val="both"/>
        <w:rPr>
          <w:shd w:fill="FFFFFF" w:val="clear"/>
        </w:rPr>
      </w:pPr>
      <w:r>
        <w:rPr>
          <w:rFonts w:ascii="Times New Roman;serif" w:hAnsi="Times New Roman;serif"/>
          <w:b/>
          <w:color w:val="000000"/>
          <w:sz w:val="20"/>
          <w:shd w:fill="FFFFFF" w:val="clear"/>
        </w:rPr>
        <w:t xml:space="preserve">Note 10. Stock-based Compensation </w:t>
      </w:r>
      <w:r>
        <w:rPr>
          <w:rFonts w:ascii="Times New Roman;serif" w:hAnsi="Times New Roman;serif"/>
          <w:b w:val="false"/>
          <w:color w:val="000000"/>
          <w:sz w:val="20"/>
          <w:shd w:fill="FFFFFF" w:val="clear"/>
        </w:rPr>
        <w:t>(cont.)</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2022 Inducement Equity Plan</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February 2022, the Company adopted the 2022 Inducement Equity Plan (the “2022 Plan”), under which 321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w:t>
        <w:noBreakHyphen/>
        <w:t>year period.</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22, 2023, the Company adopted the first amendment to the 2022 Plan to increase the number of shares of Class A common stock available for issuance under the 2022 Plan from 321 shares of Class A common stock to 561 shares of Class A common stock. All other terms of the 2022 Plan remained the same.</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8, 2023, the Company adopted the second amendment to the 2022 Plan to increase the number of shares of Class A common stock available for issuance under the 2022 Plan from 561 shares of Class A common stock to 641 shares of Class A common stock. All other terms of the 2022 Plan remained the same.</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six months ended June 30, 2026, the shares available for issuance under the 2022 Plan increased by 50,000 due to the evergreen provision.</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only RSU grants have been made under the 2022 Plan and there were 54,502 shares remaining available for issuance. Grant activity under the 2022 Plan is described below.</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Options Activity</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summary of options activity, under the 2018 Plan and the 2021 Plan, for the six months ended June 30, 2026:</w:t>
      </w:r>
    </w:p>
    <w:tbl>
      <w:tblPr>
        <w:tblW w:w="10205" w:type="dxa"/>
        <w:jc w:val="left"/>
        <w:tblInd w:w="0" w:type="dxa"/>
        <w:tblLayout w:type="fixed"/>
        <w:tblCellMar>
          <w:top w:w="28" w:type="dxa"/>
          <w:left w:w="28" w:type="dxa"/>
          <w:bottom w:w="28" w:type="dxa"/>
          <w:right w:w="28" w:type="dxa"/>
        </w:tblCellMar>
      </w:tblPr>
      <w:tblGrid>
        <w:gridCol w:w="719"/>
        <w:gridCol w:w="624"/>
        <w:gridCol w:w="625"/>
        <w:gridCol w:w="109"/>
        <w:gridCol w:w="109"/>
        <w:gridCol w:w="109"/>
        <w:gridCol w:w="109"/>
        <w:gridCol w:w="109"/>
        <w:gridCol w:w="109"/>
        <w:gridCol w:w="109"/>
        <w:gridCol w:w="379"/>
        <w:gridCol w:w="304"/>
        <w:gridCol w:w="306"/>
        <w:gridCol w:w="109"/>
        <w:gridCol w:w="109"/>
        <w:gridCol w:w="109"/>
        <w:gridCol w:w="381"/>
        <w:gridCol w:w="1304"/>
        <w:gridCol w:w="197"/>
        <w:gridCol w:w="109"/>
        <w:gridCol w:w="109"/>
        <w:gridCol w:w="109"/>
        <w:gridCol w:w="773"/>
        <w:gridCol w:w="773"/>
        <w:gridCol w:w="776"/>
        <w:gridCol w:w="109"/>
        <w:gridCol w:w="109"/>
        <w:gridCol w:w="109"/>
        <w:gridCol w:w="353"/>
        <w:gridCol w:w="679"/>
        <w:gridCol w:w="268"/>
      </w:tblGrid>
      <w:tr>
        <w:trPr/>
        <w:tc>
          <w:tcPr>
            <w:tcW w:w="7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share-based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3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there was an immaterial amount of unrecognized compensation cost related to unvested options, which is expected to be recognized over a weighted-average period of 0.4 years.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Restricted Stock Unit and Restricted Stock Award Activity</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summary of RSU and RSA activity, under the Initial Plan, the 2018 Plan, the 2021 Plan, and the 2022 Plan, for the six months ended June 30, 2026. RSAs were an immaterial portion of activity for the period:</w:t>
      </w:r>
    </w:p>
    <w:tbl>
      <w:tblPr>
        <w:tblW w:w="9550" w:type="dxa"/>
        <w:jc w:val="left"/>
        <w:tblInd w:w="0" w:type="dxa"/>
        <w:tblLayout w:type="fixed"/>
        <w:tblCellMar>
          <w:top w:w="28" w:type="dxa"/>
          <w:left w:w="28" w:type="dxa"/>
          <w:bottom w:w="28" w:type="dxa"/>
          <w:right w:w="28" w:type="dxa"/>
        </w:tblCellMar>
      </w:tblPr>
      <w:tblGrid>
        <w:gridCol w:w="1147"/>
        <w:gridCol w:w="1006"/>
        <w:gridCol w:w="1012"/>
        <w:gridCol w:w="109"/>
        <w:gridCol w:w="412"/>
        <w:gridCol w:w="414"/>
        <w:gridCol w:w="226"/>
        <w:gridCol w:w="109"/>
        <w:gridCol w:w="1100"/>
        <w:gridCol w:w="3212"/>
        <w:gridCol w:w="803"/>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(i.e. Share 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shd w:fill="FFFFFF" w:val="clear"/>
          </w:rPr>
          <w:t>Table of Contents</w:t>
        </w:r>
      </w:hyperlink>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MOMENTUS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INTERIM FINANCIAL STATEMENTS</w:t>
      </w:r>
    </w:p>
    <w:p>
      <w:pPr>
        <w:pStyle w:val="TextBody"/>
        <w:bidi w:val="0"/>
        <w:spacing w:lineRule="auto" w:line="288" w:before="240" w:after="283"/>
        <w:jc w:val="both"/>
        <w:rPr>
          <w:shd w:fill="FFFFFF" w:val="clear"/>
        </w:rPr>
      </w:pPr>
      <w:r>
        <w:rPr>
          <w:rFonts w:ascii="Times New Roman;serif" w:hAnsi="Times New Roman;serif"/>
          <w:b/>
          <w:color w:val="000000"/>
          <w:sz w:val="20"/>
          <w:shd w:fill="FFFFFF" w:val="clear"/>
        </w:rPr>
        <w:t xml:space="preserve">Note 10. Stock-based Compensation </w:t>
      </w:r>
      <w:r>
        <w:rPr>
          <w:rFonts w:ascii="Times New Roman;serif" w:hAnsi="Times New Roman;serif"/>
          <w:b w:val="false"/>
          <w:color w:val="000000"/>
          <w:sz w:val="20"/>
          <w:shd w:fill="FFFFFF" w:val="clear"/>
        </w:rPr>
        <w:t>(cont.)</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Included in the outstanding RSUs as of June 30, 2026, are 1,824 vested RSUs that have not yet been released. As of June 30, 2026, there was a total of $1.7 million in unrecognized compensation cost related to unvested RSUs, which is expected to be recognized over a weighted-average period of 1.6 years.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stock-based compensation under the Initial Plan, the 2018 Plan, the 2021 Plan, and the 2022 Plan by expense type:</w:t>
      </w:r>
    </w:p>
    <w:tbl>
      <w:tblPr>
        <w:tblW w:w="8055" w:type="dxa"/>
        <w:jc w:val="left"/>
        <w:tblInd w:w="0" w:type="dxa"/>
        <w:tblLayout w:type="fixed"/>
        <w:tblCellMar>
          <w:top w:w="28" w:type="dxa"/>
          <w:left w:w="28" w:type="dxa"/>
          <w:bottom w:w="28" w:type="dxa"/>
          <w:right w:w="28" w:type="dxa"/>
        </w:tblCellMar>
      </w:tblPr>
      <w:tblGrid>
        <w:gridCol w:w="1352"/>
        <w:gridCol w:w="1190"/>
        <w:gridCol w:w="1193"/>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stock-based compensation under the Initial Plan, the 2018 Plan, the 2021 Plan, and the 2022 Plan by award type:</w:t>
      </w:r>
    </w:p>
    <w:tbl>
      <w:tblPr>
        <w:tblW w:w="5610" w:type="dxa"/>
        <w:jc w:val="left"/>
        <w:tblInd w:w="0" w:type="dxa"/>
        <w:tblLayout w:type="fixed"/>
        <w:tblCellMar>
          <w:top w:w="28" w:type="dxa"/>
          <w:left w:w="28" w:type="dxa"/>
          <w:bottom w:w="28" w:type="dxa"/>
          <w:right w:w="28" w:type="dxa"/>
        </w:tblCellMar>
      </w:tblPr>
      <w:tblGrid>
        <w:gridCol w:w="467"/>
        <w:gridCol w:w="411"/>
        <w:gridCol w:w="412"/>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&amp; RSAs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Net Loss Per Share</w:t>
      </w:r>
    </w:p>
    <w:p>
      <w:pPr>
        <w:pStyle w:val="TextBody"/>
        <w:bidi w:val="0"/>
        <w:spacing w:lineRule="auto" w:line="288" w:before="160" w:after="283"/>
        <w:jc w:val="both"/>
        <w:rPr>
          <w:shd w:fill="FFFFFF" w:val="clear"/>
        </w:rPr>
      </w:pPr>
      <w:r>
        <w:rPr>
          <w:rFonts w:ascii="Times New Roman;serif" w:hAnsi="Times New Roman;serif"/>
          <w:b w:val="false"/>
          <w:color w:val="000000"/>
          <w:sz w:val="20"/>
          <w:shd w:fill="FFFFFF" w:val="clear"/>
        </w:rPr>
        <w:t xml:space="preserve">Net loss per share is provided in accordance with ASC Sub-Topic 260-10, </w:t>
      </w:r>
      <w:r>
        <w:rPr>
          <w:rFonts w:ascii="Times New Roman;serif" w:hAnsi="Times New Roman;serif"/>
          <w:b w:val="false"/>
          <w:i/>
          <w:color w:val="000000"/>
          <w:sz w:val="20"/>
          <w:shd w:fill="FFFFFF" w:val="clear"/>
        </w:rPr>
        <w:t>Earnings Per Share</w:t>
      </w:r>
      <w:r>
        <w:rPr>
          <w:rFonts w:ascii="Times New Roman;serif" w:hAnsi="Times New Roman;serif"/>
          <w:b w:val="false"/>
          <w:color w:val="000000"/>
          <w:sz w:val="20"/>
          <w:shd w:fill="FFFFFF" w:val="clear"/>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the Company incurred a net loss for the three and six months ended June 30, 2026 and 2025, the inclusion of preferred stock, certain options, unvested stock units, warrants, convertible promissory notes, and contingent Sponsor Earnout Shares in the calculation of diluted earnings per share would be anti-dilutive and, accordingly, were excluded from the diluted loss per share calculation.</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potential common shares that were excluded as their effect is anti-dilutive:</w:t>
      </w:r>
    </w:p>
    <w:tbl>
      <w:tblPr>
        <w:tblW w:w="9475" w:type="dxa"/>
        <w:jc w:val="left"/>
        <w:tblInd w:w="0" w:type="dxa"/>
        <w:tblLayout w:type="fixed"/>
        <w:tblCellMar>
          <w:top w:w="28" w:type="dxa"/>
          <w:left w:w="28" w:type="dxa"/>
          <w:bottom w:w="28" w:type="dxa"/>
          <w:right w:w="28" w:type="dxa"/>
        </w:tblCellMar>
      </w:tblPr>
      <w:tblGrid>
        <w:gridCol w:w="1391"/>
        <w:gridCol w:w="1223"/>
        <w:gridCol w:w="1226"/>
        <w:gridCol w:w="413"/>
        <w:gridCol w:w="413"/>
        <w:gridCol w:w="208"/>
        <w:gridCol w:w="208"/>
        <w:gridCol w:w="208"/>
        <w:gridCol w:w="208"/>
        <w:gridCol w:w="413"/>
        <w:gridCol w:w="413"/>
        <w:gridCol w:w="208"/>
        <w:gridCol w:w="109"/>
        <w:gridCol w:w="109"/>
        <w:gridCol w:w="109"/>
        <w:gridCol w:w="413"/>
        <w:gridCol w:w="413"/>
        <w:gridCol w:w="178"/>
        <w:gridCol w:w="178"/>
        <w:gridCol w:w="178"/>
        <w:gridCol w:w="178"/>
        <w:gridCol w:w="413"/>
        <w:gridCol w:w="413"/>
        <w:gridCol w:w="252"/>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 outstanding</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377,260 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377,260 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unvested stock units outstanding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372,426 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outstanding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228,369 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228,369 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related to VLD MSA</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Sponsor Earnout Shares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967,892 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763,039 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967,892 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763,039 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Tables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Note 12. Commitments and Contingencies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Momentus enters into purchase obligations in the normal course of business. These obligations include purchase orders and agreements to purchase goods or services that are enforceable, legally binding, and have significant terms and minimum purchases stipulated. As of June 30, 2026, the Company’s future unconditional purchase obligations are as follows:</w:t>
      </w:r>
    </w:p>
    <w:tbl>
      <w:tblPr>
        <w:tblW w:w="2660" w:type="dxa"/>
        <w:jc w:val="left"/>
        <w:tblInd w:w="0" w:type="dxa"/>
        <w:tblLayout w:type="fixed"/>
        <w:tblCellMar>
          <w:top w:w="28" w:type="dxa"/>
          <w:left w:w="28" w:type="dxa"/>
          <w:bottom w:w="28" w:type="dxa"/>
          <w:right w:w="28" w:type="dxa"/>
        </w:tblCellMar>
      </w:tblPr>
      <w:tblGrid>
        <w:gridCol w:w="608"/>
        <w:gridCol w:w="535"/>
        <w:gridCol w:w="536"/>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Except as noted below, there have been no material changes to the legal proceedings disclosed in the Company’s Annual Report on Form 10-K filed with the SEC on March 31, 2026. The Company continues to monitor the status of those proceedings, and developments will be disclosed in future filings as necessary.</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Founder Litigation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5, 2026, Lev Khasis filed a verified complaint against the Company in Delaware Court of Chancery (Case No. 2026-0179-DG) seeking indemnification and advancement expenses from the Company in connection with the National Security Agreement (“NSA”) and investigation by the SEC. Legal counsel to Khasis indicated that total expenses for which Mr. Khasis seeks indemnification is approximately $1.2 million plus legal expenses in connection with this suit. On April 6, 2026, the Company and Mr. Khasis entered into a confidential settlement and release agreement settling the claim for $0.4 million and the suit was dismissed with prejudice.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Delaware Class Actions</w:t>
      </w:r>
    </w:p>
    <w:p>
      <w:pPr>
        <w:pStyle w:val="TextBody"/>
        <w:bidi w:val="0"/>
        <w:spacing w:lineRule="auto" w:line="288" w:before="160" w:after="283"/>
        <w:jc w:val="both"/>
        <w:rPr/>
      </w:pPr>
      <w:r>
        <w:rPr>
          <w:rFonts w:ascii="Times New Roman;serif" w:hAnsi="Times New Roman;serif"/>
          <w:b w:val="false"/>
          <w:color w:val="000000"/>
          <w:sz w:val="20"/>
        </w:rPr>
        <w:t xml:space="preserve">ANV Global Services Inc. (“ANV”), the insurer who issued a Side-A directors and officers liability insurance policy that provides coverage for the SRAC directors and officers, has asserted a claim against the Company for indemnification of certain former SRAC directors and officers in connection with a lawsuit captioned </w:t>
      </w:r>
      <w:r>
        <w:rPr>
          <w:rFonts w:ascii="Times New Roman;serif" w:hAnsi="Times New Roman;serif"/>
          <w:b w:val="false"/>
          <w:i/>
          <w:color w:val="000000"/>
          <w:sz w:val="20"/>
        </w:rPr>
        <w:t>In re Momentus, Inc. Stockholders Litigation</w:t>
      </w:r>
      <w:r>
        <w:rPr>
          <w:rFonts w:ascii="Times New Roman;serif" w:hAnsi="Times New Roman;serif"/>
          <w:b w:val="false"/>
          <w:color w:val="000000"/>
          <w:sz w:val="20"/>
        </w:rPr>
        <w:t>, No. 2023-0322, pending in the Delaware Court of Chancery (the “Consolidated Delaware Action”). ANV has requested reimbursement of $1.2 million for defense costs paid and contribution to a global settlement and has indicated it is prepared to file suit if a settlement is not reached. In April 2026, the Company and ANV agreed in principle to settle this matter for $1.0 million. The parties are negotiating the terms of a release and settlement agreement. The Company has made a settlement offer of $0.1 million in shares of Class A common stock to each of the three former SRAC directors and officers subject to the Consolidated Delaware Action. Discussions with ANV and the affected individuals are ongoing, but there can be no assurances a resolution will be achieved.</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Lease Restoration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a lease for office space at 1762 Automation Parkway, San Jose, California 95131 in December 2025. Previously, the Company leased a facility at 3901 North First Street, San Jose, California 95134 (“3901”) that expired on March 31, 2026. The Company vacated 3901 on or before lease termination.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Under the sublease for 3901, under certain circumstances, the Company would have an obligation to restore certain modifications prior to termination of the lease. The Company attempted to negotiate with the sublandlord and the landlord regarding a financial settlement. The Company believes that it is probable that it will be required to pay a yet-to-be-determined amount of restoration costs. Total restoration costs should not exceed $0.7 million to $0.8 million based on construction proposals received by the Company and the sublandlord. However, the Company’s obligation to restore certain alterations is subject to the landlord’s having designated such alterations for removal at the time the landlord approved the Company’s alteration plans. The Company has requested documentation from the landlord to evidence the Company’s restoration obligations. The Company has not yet received such documentation. The Company has recorded an asset retirement obligation (“ARO”) of $0.5 million related to these restoration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160" w:after="160"/>
        <w:jc w:val="both"/>
        <w:rPr/>
      </w:pPr>
      <w:r>
        <w:rPr>
          <w:rFonts w:ascii="Times New Roman;serif" w:hAnsi="Times New Roman;serif"/>
          <w:b/>
          <w:color w:val="000000"/>
          <w:sz w:val="20"/>
        </w:rPr>
        <w:t>Note 12. Commitments and Contingencies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landlord has presented a construction proposal for $1.4 million and is claiming additional damages. The Company disputes the landlord’s construction proposal and any additional damages.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21, 2026, the landlord filed a complaint against the sublandlord in the Superior Court of the State of California County of Santa Clara seeking damages for breach of lease. As of the date of this filing, the Company has not received notice that the sublandlord has filed a cross-complaint against 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attempting to resolve these claims, but there can be no assurances a resolution will be achieved.</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Other Litigation and Related Matters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consolidated operating results and financial condition.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450-20. Legal fees are expensed as incurred.</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Accrued Loss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recorded accruals for certain probable loss contingencies and an ARO. These include $1.3 million for the ANV claim, $0.3 million for the 3901 sublease complaint, and a $0.5 million ARO recognized for the 3901 sublease. The $1.6 million of probable loss contingencies are recorded in litigation settlement contingency in the condensed consolidated balance sheets, and the $0.5 million ARO is recorded in other current liabilities in the condensed consolidated balance sheets. The Company believes these accruals are adequate based on information currently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13. Income Taxes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June 30, 2026 and 2025,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One Big Beautiful Bill Act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4, 2025, a budget and reconciliation package known as the One Big Beautiful Bill Act (the “OBBBA”) was signed into law in the United States. Among other provisions, the OBBBA amends U.S. tax law including the permanent extension of certain expiring provisions of the 2017 Tax Cuts and Jobs Act, modifications to the international tax framework and the restoration of favorable tax treatment for certain business provisions. The legislation has multiple effective dates, with certain provisions effective in 2025 and others implemented through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Segment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operating segment. The Company’s CODM is its Chief Executive Officer, who reviews financial information presented on a consolidated basis. The CODM uses consolidated net loss and net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Pr>
          <w:t xml:space="preserve">Table of </w:t>
        </w:r>
      </w:hyperlink>
      <w:hyperlink w:anchor="i0fd60911f930448a94c70572355970ae_127">
        <w:r>
          <w:rPr>
            <w:rStyle w:val="InternetLink"/>
          </w:rPr>
          <w:t>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lineRule="auto" w:line="288" w:before="160" w:after="160"/>
        <w:jc w:val="both"/>
        <w:rPr/>
      </w:pPr>
      <w:r>
        <w:rPr>
          <w:rFonts w:ascii="Times New Roman;serif" w:hAnsi="Times New Roman;serif"/>
          <w:b/>
          <w:color w:val="000000"/>
          <w:sz w:val="20"/>
        </w:rPr>
        <w:t>Note 14. Segment Information</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used in operations to assess financial performance and allocate resources. These financial metrics are used by the CODM to make key operating decisions, such as the allocation of budget between research and development and selling, general and administrative expenses and determination of cash from financing activities required.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financial information with respect to the Company’s single operating segment: </w:t>
      </w:r>
    </w:p>
    <w:tbl>
      <w:tblPr>
        <w:tblW w:w="10205" w:type="dxa"/>
        <w:jc w:val="left"/>
        <w:tblInd w:w="0" w:type="dxa"/>
        <w:tblLayout w:type="fixed"/>
        <w:tblCellMar>
          <w:top w:w="28" w:type="dxa"/>
          <w:left w:w="28" w:type="dxa"/>
          <w:bottom w:w="28" w:type="dxa"/>
          <w:right w:w="28" w:type="dxa"/>
        </w:tblCellMar>
      </w:tblPr>
      <w:tblGrid>
        <w:gridCol w:w="1787"/>
        <w:gridCol w:w="1568"/>
        <w:gridCol w:w="1570"/>
        <w:gridCol w:w="211"/>
        <w:gridCol w:w="690"/>
        <w:gridCol w:w="109"/>
        <w:gridCol w:w="109"/>
        <w:gridCol w:w="109"/>
        <w:gridCol w:w="109"/>
        <w:gridCol w:w="211"/>
        <w:gridCol w:w="690"/>
        <w:gridCol w:w="109"/>
        <w:gridCol w:w="109"/>
        <w:gridCol w:w="109"/>
        <w:gridCol w:w="109"/>
        <w:gridCol w:w="211"/>
        <w:gridCol w:w="795"/>
        <w:gridCol w:w="109"/>
        <w:gridCol w:w="109"/>
        <w:gridCol w:w="109"/>
        <w:gridCol w:w="109"/>
        <w:gridCol w:w="211"/>
        <w:gridCol w:w="795"/>
        <w:gridCol w:w="158"/>
      </w:tblGrid>
      <w:tr>
        <w:trPr/>
        <w:tc>
          <w:tcPr>
            <w:tcW w:w="178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disposal of assets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debt carried at fair value</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See the condensed consolidated interim financial statements for other financial information regarding the Company’s operating segment. The Company’s long-lived tangible assets, as well as the Company’s operating ROU assets recognized on the condensed consolidated balance sheets,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MOMENTUS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INTERIM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Supplemental Disclosures for Condensed Consolidated Statements of 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Supplemental disclosures for the accompanying condensed consolidated statements of cash flows consist of the following:</w:t>
      </w:r>
    </w:p>
    <w:tbl>
      <w:tblPr>
        <w:tblW w:w="9083" w:type="dxa"/>
        <w:jc w:val="left"/>
        <w:tblInd w:w="0" w:type="dxa"/>
        <w:tblLayout w:type="fixed"/>
        <w:tblCellMar>
          <w:top w:w="28" w:type="dxa"/>
          <w:left w:w="28" w:type="dxa"/>
          <w:bottom w:w="28" w:type="dxa"/>
          <w:right w:w="28" w:type="dxa"/>
        </w:tblCellMar>
      </w:tblPr>
      <w:tblGrid>
        <w:gridCol w:w="2607"/>
        <w:gridCol w:w="2293"/>
        <w:gridCol w:w="2299"/>
        <w:gridCol w:w="211"/>
        <w:gridCol w:w="466"/>
        <w:gridCol w:w="109"/>
        <w:gridCol w:w="109"/>
        <w:gridCol w:w="109"/>
        <w:gridCol w:w="109"/>
        <w:gridCol w:w="211"/>
        <w:gridCol w:w="406"/>
        <w:gridCol w:w="154"/>
      </w:tblGrid>
      <w:tr>
        <w:trPr/>
        <w:tc>
          <w:tcPr>
            <w:tcW w:w="260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issuance costs included in accounts payable and accrued expenses at period end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settlement of accounts payable and customer deposits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related to warrant modifications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related to placement agent warrants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conversion of SIV Convertible Notes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conversion of September 2025 Convertible Note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settlement of May 2025 Convertible Note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 liability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payments included in operating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Note 16. Subsequent Events</w:t>
      </w:r>
      <w:r>
        <w:rPr>
          <w:color w:val="000000"/>
          <w:shd w:fill="FFFFFF" w:val="clear"/>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At-The-Market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July and August of 2026, the Company issued an aggregate of 1,500,000 shares of Class A common stock under the ATM Sales Agreement for gross proceeds of $6.4 million, before deducting estimated issuance costs of $0.2 million. Up to $58.0 million in aggregate principal amount of an indeterminate amount of shares of the Class A common stock may still be sold under the ATM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our Annual Report on Form 10-K filed with the SEC on March 31, 2026. This discussion and analysis should also be read together with our financial information for the period ended as of June 30, 2026.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March 31, 2026, and “Cautionary Statement Regarding Forward-Looking Statements” elsewhere in this Form 10-Q, our actual results may differ materially from those anticipated in these forward</w:t>
        <w:noBreakHyphen/>
        <w:t>looking statements.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Momentus offers or plans to offer satellites, satellite buses, satellite technologies and components, including solar arrays, and transportation, communications and infrastructure services for commercial companies and to support the missions of U.S. and friendly governments. Government and commercial satellite operators and space technology companies and organizations are our target commercial customers. Momentus is also seeking business in support of U.S. government missions for departments and agencies like NASA and the U.S. Department of War/ Department of Defense.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provide or plan to provide satellites, satellite buses, satellite technologies and components, including solar arrays, 3D printed propulsion tanks, integration of payload instruments, communication, tracking, and other satellite services, “last mile” satellite transportation, payload-hosting, on</w:t>
        <w:noBreakHyphen/>
        <w:t>orbit satellite refueling, on-orbit inspection, on</w:t>
        <w:noBreakHyphen/>
        <w:t>orbit satellite maintenance, de-orbiting, debris removal, and other satellite-to-satellite service offerings.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sensing, data processing and storage, Earth observation and data collection services, and other satellite services.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Beyond transportation, we anticipate that growth of the satellite constellations market may drive demand for our satellites, satellites buses, and technologies like solar arrays, 3D printed propulsion tanks, hosted payload, communication, tracking, and other satellite services, on-orbit satellite refueling, on-orbit inspection, on-orbit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Momentus offers the Vigoride satellite bus to both commercial and U.S. government customers. The market for satellite buses in this class is substantial and growing. Momentus also offers a smaller satellite bus based on a smaller scale version of the Vigoride bus called Vigoride Lite.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Momentus has launched five missions to date, deployed 17 customer satellites, and provided hosted payload services. Four of these missions involved operation of the Vigoride OSV in orbit. During these four Vigoride missions, the system and technology were tested repeatedly. Improvements based on lessons learned during these missions were rapidly incorporated. As a result of these four missions, the Vigoride OSV has been successfully demonstrated in space and accumulated significant flight heritage. The fifth mission involved use of a deployer system to carry and orbit customer satellites.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30, 2026, the Vigoride 7 OSV was launched to low Earth orbit with 10 payloads. This mission is scheduled to last several months and includes payloads from government and commercial customers, including DARPA, SpaceWERX which is the innovation organization of the U.S. Space Force, the U.S. Air Force Research Laboratory, NASA, and commercial customers.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 of this filing, the Vigoride 7 OSV has completed a series of orbit-lowering maneuvers, reducing its altitude by nearly 20 kilometers through more than 50 controlled operations of its onboard water-based Microwave Electrothermal Thrusters (“METs”), which have now been used cumulatively over 400 times across the Company's missions since 2023.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Vigoride 8 mission, expected to launch in 2027, is fully booked with two NASA payloads, and the Company has begun work on its Vigoride 9 spacecraft, including signing an initial customer contract for this 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pStyle w:val="TextBody"/>
        <w:bidi w:val="0"/>
        <w:spacing w:lineRule="auto" w:line="288" w:before="160" w:after="283"/>
        <w:jc w:val="both"/>
        <w:rPr/>
      </w:pPr>
      <w:r>
        <w:rPr>
          <w:rFonts w:ascii="Times New Roman;serif" w:hAnsi="Times New Roman;serif"/>
          <w:b w:val="false"/>
          <w:color w:val="000000"/>
          <w:sz w:val="20"/>
        </w:rPr>
        <w:t>During the three and six months ended June 30, 2026, the Company recognized $0.03 million and</w:t>
      </w:r>
      <w:r>
        <w:rPr>
          <w:color w:val="000000"/>
        </w:rPr>
        <w:t xml:space="preserve"> </w:t>
      </w:r>
      <w:r>
        <w:rPr>
          <w:rFonts w:ascii="Times New Roman;serif" w:hAnsi="Times New Roman;serif"/>
          <w:b w:val="false"/>
          <w:color w:val="000000"/>
          <w:sz w:val="20"/>
        </w:rPr>
        <w:t>$3.2 million and of revenue, respectively, primarily from the completion of performance obligations on hosted payload services and engineering services performed for U.S. government and engineering project services.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signed contracts with customers and had collected approximately $0.3 million in customer deposits, $0.1 million of which are recorded as non-current contract liabilities in our condensed consolidated balance sheets.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w:t>
        <w:noBreakHyphen/>
        <w:t>by</w:t>
        <w:noBreakHyphen/>
        <w:t>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expenses associated with third-party launch costs and direct headcount related to the related engineering work. The costs associated with OSVs are deferred to prepaid cost of revenues and amortized to cost of revenues upon release of payload. The current design and technology allow for a single use of the OSV.</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expenditures consist primarily of the cost of the following activities for developing existing and future technologies for our satellites, satellite technologies, and our OSV. Research and development activities include basic research, applied research, design, development, and related test program activities. Costs incurred for developing our technologies primarily include equipment and labor hours (both internal and subcontractors). The Company also records launch costs related to the testing of its Vigoride vehicles as research and development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have expensed all research and development costs associated with developing and building our vehicles.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Realized loss on disposal of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Realized loss on disposal of assets consists of disposals of machinery and equipment with carrying values in excess of proceeds received, if any.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by the Company on investment holdings in interest bearing bank accounts.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includes interest incurred by the Company related to our loan payables as well as the amortization of warrant discount and debt issuance costs.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Gain (Loss) on debt extinguishment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Gains or losses on extinguishment of debt are recognized for unamortized debt premiums, discounts and issuance costs as well as any fees paid to the lender in relation to the extinguishment.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Convertible Debt Carried at Fair Value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convertible debt measured at fair value on a recurring basis.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warrant liabilities measured at fair value on a recurring basis.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primarily relates to non-recurring fees incurred in conjunction with impairment or write-off charges and other immaterial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The period-to-period comparisons of financial results are not necessarily indicative of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Comparison of Financial Results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793"/>
        <w:gridCol w:w="1576"/>
        <w:gridCol w:w="1578"/>
        <w:gridCol w:w="211"/>
        <w:gridCol w:w="690"/>
        <w:gridCol w:w="109"/>
        <w:gridCol w:w="109"/>
        <w:gridCol w:w="109"/>
        <w:gridCol w:w="109"/>
        <w:gridCol w:w="211"/>
        <w:gridCol w:w="690"/>
        <w:gridCol w:w="109"/>
        <w:gridCol w:w="109"/>
        <w:gridCol w:w="109"/>
        <w:gridCol w:w="109"/>
        <w:gridCol w:w="211"/>
        <w:gridCol w:w="690"/>
        <w:gridCol w:w="109"/>
        <w:gridCol w:w="109"/>
        <w:gridCol w:w="109"/>
        <w:gridCol w:w="109"/>
        <w:gridCol w:w="338"/>
        <w:gridCol w:w="293"/>
        <w:gridCol w:w="616"/>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disposal of assets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15300</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debt carried at fair value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94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(8,269)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(6,450)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Service revenue</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Revenue recognized during the three months ended </w:t>
      </w:r>
      <w:r>
        <w:rPr>
          <w:rFonts w:ascii="Times New Roman;serif" w:hAnsi="Times New Roman;serif"/>
          <w:b w:val="false"/>
          <w:color w:val="000000"/>
          <w:sz w:val="20"/>
        </w:rPr>
        <w:t xml:space="preserve">June 30, 2026, was from hosted payload services related to the Vigoride 7 mission. </w:t>
      </w:r>
      <w:r>
        <w:rPr>
          <w:rFonts w:ascii="Times New Roman;serif" w:hAnsi="Times New Roman;serif"/>
          <w:b w:val="false"/>
          <w:color w:val="000000"/>
          <w:sz w:val="20"/>
          <w:shd w:fill="FFFFFF" w:val="clear"/>
        </w:rPr>
        <w:t xml:space="preserve">Revenue recognized during the three months ended </w:t>
      </w:r>
      <w:r>
        <w:rPr>
          <w:rFonts w:ascii="Times New Roman;serif" w:hAnsi="Times New Roman;serif"/>
          <w:b w:val="false"/>
          <w:color w:val="000000"/>
          <w:sz w:val="20"/>
        </w:rPr>
        <w:t>June 30, 2025, was</w:t>
      </w:r>
      <w:r>
        <w:rPr>
          <w:color w:val="000000"/>
          <w:shd w:fill="FFFFFF" w:val="clear"/>
        </w:rPr>
        <w:t xml:space="preserve"> </w:t>
      </w:r>
      <w:r>
        <w:rPr>
          <w:rFonts w:ascii="Times New Roman;serif" w:hAnsi="Times New Roman;serif"/>
          <w:b w:val="false"/>
          <w:color w:val="000000"/>
          <w:sz w:val="20"/>
          <w:shd w:fill="FFFFFF" w:val="clear"/>
        </w:rPr>
        <w:t xml:space="preserve">primarily driven by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of engineering services performed for the Space Development Agency agreement</w:t>
      </w:r>
      <w:r>
        <w:rPr>
          <w:rFonts w:ascii="Times New Roman;serif" w:hAnsi="Times New Roman;serif"/>
          <w:b w:val="false"/>
          <w:color w:val="000000"/>
          <w:sz w:val="20"/>
        </w:rPr>
        <w: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costs associated with performing engineering services for the Space Development Agency agreement during the three months ended June 30, 2025, were capitalized in cost of revenue. We tracked the individual hours worked in the project and allocated the portion of headcount cost from research and development operating expenses to cost of revenue.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from $2.2 million in the three months ended June 30, 2025, to $4.2 million in the three months ended June 30, 2026. Subcontractor costs increased by $0.6 million. Payroll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increased by $0.9 million, this increase was net of a decrease of $0.1 million in non-cash stock based compensation. Other miscellaneous fees, such as materials and overhead, increased by $0.5 million.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60" w:after="283"/>
        <w:jc w:val="both"/>
        <w:rPr/>
      </w:pPr>
      <w:r>
        <w:rPr>
          <w:rFonts w:ascii="Times New Roman;serif" w:hAnsi="Times New Roman;serif"/>
          <w:b w:val="false"/>
          <w:color w:val="000000"/>
          <w:sz w:val="20"/>
          <w:shd w:fill="FFFFFF" w:val="clear"/>
        </w:rPr>
        <w:t>Selling, general and administrative expenses were consistent at $3.9 million in the three m</w:t>
      </w:r>
      <w:r>
        <w:rPr>
          <w:rFonts w:ascii="Times New Roman;serif" w:hAnsi="Times New Roman;serif"/>
          <w:b w:val="false"/>
          <w:color w:val="000000"/>
          <w:sz w:val="20"/>
        </w:rPr>
        <w:t>onths ended June 30, 2025, and $3.9 million in the three months ended June 30, 2026. Payroll costs increased by $0.2 million, this increase was net of a decrease of $0.7 million in non-cash stock based compensation. Other miscellaneous fees, such as insurance and overhead, increased by $0.6 million. SEC and legal services expenses decreased by $0.8 million.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Realized loss on disposal of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realized loss on disposal of assets for the three months ended June 30, 2026, was due to losses from the write-off of machinery and equipment. There was no loss on disposal recognized during the three months ended June 30,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$0.3 million of interest income for the three months ended June 30, 2026, was primarily due to increased cash held in interest bearing accounts due to financing activities completed during 2026. See Note 9 for additional information and the Liquidity and Capital Resources discussion below.</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was consistent at $0.1 million for the three months ended June 30, 2025, and $0.1 million for the three months ended June 30, 2026. The interest expense recognized was primarily due to cash interest accruals and amortization of the debt discount on the SIV Convertible Notes and the September 2025 Convertible Note. See Note 8 for additional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Gain on debt extinguishment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gain on extinguishment of debt recognized for the three months ended June 30, 2025, was due to the amendment of the SIV Convertible Notes. See Note 8 for additional information. There was no gain or loss on extinguishment recognized during the three months ended June 30,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convertible debt carried at fair value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convertible debt carried at fair value for the three months ended June 30, 2025, was due to the change in fair value of the May 2025 Loan. See the Fair Value Measurement discussion in Note 2 for additional information. There was no change in fair value of convertible debt carried at fair value recognized during the three months ended June 30,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warrant liability for the three months ended June 30, 2026, was due to the change in fair value of the ELOC Pre-funded Warrants. See the Fair Value Measurement discussion in Note 2 for additional information. There was no change in fair value of warrant liability recognized during the three months ended June 30,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expense of $0.2 million during the three months ended June 30, 2026, was primarily due to fees incurred related to debt conversions (see Note 8). Other income of $0.4 million during the three months ended June 30, 2025, was primarily due to an employee retention credit under the CARES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Comparison of Financial Results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757"/>
        <w:gridCol w:w="1530"/>
        <w:gridCol w:w="1532"/>
        <w:gridCol w:w="211"/>
        <w:gridCol w:w="793"/>
        <w:gridCol w:w="109"/>
        <w:gridCol w:w="109"/>
        <w:gridCol w:w="109"/>
        <w:gridCol w:w="109"/>
        <w:gridCol w:w="211"/>
        <w:gridCol w:w="793"/>
        <w:gridCol w:w="109"/>
        <w:gridCol w:w="109"/>
        <w:gridCol w:w="109"/>
        <w:gridCol w:w="109"/>
        <w:gridCol w:w="211"/>
        <w:gridCol w:w="616"/>
        <w:gridCol w:w="109"/>
        <w:gridCol w:w="109"/>
        <w:gridCol w:w="109"/>
        <w:gridCol w:w="109"/>
        <w:gridCol w:w="314"/>
        <w:gridCol w:w="317"/>
        <w:gridCol w:w="612"/>
      </w:tblGrid>
      <w:tr>
        <w:trPr/>
        <w:tc>
          <w:tcPr>
            <w:tcW w:w="175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69800</w:t>
            </w:r>
          </w:p>
        </w:tc>
        <w:tc>
          <w:tcPr>
            <w:tcW w:w="612"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612"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disposal of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6933</w:t>
            </w:r>
          </w:p>
        </w:tc>
        <w:tc>
          <w:tcPr>
            <w:tcW w:w="6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612"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2" w:type="dxa"/>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debt carried at fair value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2"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2" w:type="dxa"/>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612"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81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(17,749)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(12,622)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Service revenue increased $2.7 million, from $0.5 million for the six months ended June 30, 2025, to $3.2 million for the six months ended June 30, 2026. The increase was driven by two factors. First, the Company recognized $1.6 million of revenue from hosted payload services related to the Vigoride 7 mission during the six months ended June 30, 2026, compared to no hosted payload services revenue during six months ended June 30, 2025. Second, engineering project services revenue increased $1.2 million, from $0.4 million for the six months ended June 30, 2025, to $1.6 million for the six months ended June 30, 2026, primarily due to expanded work for NASA and continued work under the DARPA NOM4D and DARPA BRIDGES programs. The remaining components of service revenue consist of forfeited customer deposits upon contract expiration, which were zero and $0.1 million for the six months ended June 30, 2026 and 2025, respectively.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2026, was primarily due to the launch cost allocated to customer payloads on the Vigoride 7 mission.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from $4.1 million in the six months ended June 30, 2025, to $8.4 million in the six months ended June 30, 2026. The increase was primarily due to a $1.7 million increase in payroll costs, a $1.2 million increase in subcontractor costs, and a $1.4 million increase in other miscellaneous fees, such as information technology and facilities overhead allocation.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from $8.5 million in the six months ended June 30, 2025, to $10.2 million in the six months ended June 30, 2026. The increase is primarily due to (i) an increase in legal expenses of $0.6 million, (ii) a $1.0 million increase in other miscellaneous fees, such as insurance and subscriptions, and (iii) a $0.1 million increase in payroll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Realized loss on disposal of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realized loss on disposal of assets for the six months ended June 30, 2026, was due to losses from the write-off of machinery and equipment. There was no loss on disposal recognized during the six months ended June 30,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$0.4 million of interest income for the six months ended June 30, 2026, was primarily due to increased cash held in interest bearing accounts due to financing activities completed during 2026. See Note 9 for additional information and the Liquidity and Capital Resources discussion below.</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from $(0.1) million for the six months ended June 30, 2025, to $0.7 million for the six months ended June 30, 2026. The interest increase is primarily due to an increase in cash interest accrual and amortization of the debt discount on the SIV Convertible Notes and the September 2025 Convertible Note in 2026, while interest expense was decreased during the six months ended June 30, 2025, due to amortization of the debt premium on the SIV Convertible Notes. See Note 8 for additional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Gain on debt extinguishment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gain on extinguishment of debt recognized for the six months ended June 30, 2025, was due to the amendment of the SIV Convertible Notes. See Note 8 for additional information. There was no gain or loss on extinguishment recognized during the six months ended June 30,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convertible debt carried at fair value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convertible debt carried at fair value for the six months ended June 30, 2025, was due to the change in fair value of the May 2025 Loan. See the Fair Value Measurement discussion in Note 2 for additional information. There was no change in fair value of convertible debt carried at fair value recognized during the six months ended June 30,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warrant liability for the six months ended June 30, 2026, was due to the change in fair value of the ELOC Pre-funded Warrants. See the Fair Value Measurement discussion in Note 2 for additional information. There was no change in fair value of warrant liability recognized during the six months ended June 30,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expense of $0.2 million during the six months ended June 30, 2026, was primarily due to fees incurred related to debt conversions (see Note 8). Other income of $0.2 million during the six months ended June 30, 2025, was primarily due to an employee retention credit under the CARES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Capital Resources and Recent Financing Transactions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described in Note 1 in the notes to our condensed consolidated interim financial statements included elsewhere in this Form 10-Q, management has concluded that the financings completed since December 31, 2025, including approximately $109.9 million of net cash provided by financing activities during the six months ended June 30, 2026, together with the Company's current cash position, expected operating plan, and forecasted liquidity needs.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Flows</w:t>
      </w:r>
    </w:p>
    <w:tbl>
      <w:tblPr>
        <w:tblW w:w="6107" w:type="dxa"/>
        <w:jc w:val="left"/>
        <w:tblInd w:w="0" w:type="dxa"/>
        <w:tblLayout w:type="fixed"/>
        <w:tblCellMar>
          <w:top w:w="28" w:type="dxa"/>
          <w:left w:w="28" w:type="dxa"/>
          <w:bottom w:w="28" w:type="dxa"/>
          <w:right w:w="28" w:type="dxa"/>
        </w:tblCellMar>
      </w:tblPr>
      <w:tblGrid>
        <w:gridCol w:w="1227"/>
        <w:gridCol w:w="1080"/>
        <w:gridCol w:w="1083"/>
        <w:gridCol w:w="211"/>
        <w:gridCol w:w="796"/>
        <w:gridCol w:w="109"/>
        <w:gridCol w:w="109"/>
        <w:gridCol w:w="109"/>
        <w:gridCol w:w="109"/>
        <w:gridCol w:w="211"/>
        <w:gridCol w:w="691"/>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six months ended June 30, 2026, was $14.9 million, consisting primarily of headcount costs, research and development activities, legal expenses, and professional fees, as well as net cash changes in operating assets and liabilities.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Headcount related payroll costs, excluding stock-based compensation of $0.5 million, were $6.6 million. Professional fees were $3.9 million, which includes $1.5 million in legal fees. Office overhead and other general corporate expenses were $3.8 million, which includes insurance costs of $0.5 million. Research and Development activity expenses, including materials, components, and subcontractor costs were $2.2 million. These cash outflows were partially offset by gross profit of $1.8 million primarily related to the fulfillment of performance obligations for Vigoride 7 customers during the six months ended June 30, 2026. Additionally, the Company had a change in operating assets and liabilities of $0.2 million during the six months ended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was $7.4 million, driven primarily by headcount costs, research and development activities, legal expenses, and professional fees, as well as net cash changes in operating assets and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Headcount related payroll costs, excluding stock-based compensation of $2.0 million, were $3.3 million. Professional fees were $3.5 million, which includes $0.9 million in legal fees. Office overhead and other general corporate expenses were $2.4 million, which includes insurance costs of $0.5 million. Research and Development activity expenses, including materials, components, and subcontractor costs were $0.8 million. These cash outflows were partially offset by gross profit of $0.5 million primarily related to the fulfillment of performance obligations during the six months ended June 30, 2025. Additionally, the Company had a change in operating assets and liabilities of $1.7 million during the six months ended June 30,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$0.2 million for six months ended June 30, 2026, which consisted of purchases of machinery and equipment.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$109.9 million for the six months ended June 30, 2026, primarily due to gross proceeds of (i) $107.0 million received for shares sold under the ATM Sales Agreement, January 2026 Offering, April 2026 Offering, May 2026 Offering, and June 2026 Offering, and (ii) $9.6 million received upon exercise of warrants. These gross proceeds were partially offset by (i) principal repayments of $0.8 million on the SIV Convertible Notes and the September 2025 Convertible Note and (ii) $5.9 million in issuance costs related to common stock and related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$6.0 million for the six months ended June 30, 2025, primarily due to gross proceeds of approximately (i) $5.0 million received from the February 2025 Offering, (ii) $2.1 million received from the March 2025 Warrant Inducement, and (iii) $0.8 million received from the May 2025 Loan. These gross proceeds were partially offset by (i) principal repayments of $0.7 million on the SIV Convertible Notes and (ii) $1.2 million in issuance costs related to common stock and related warrants.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expect our cash consumption to continue in connection with our ongoing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Specifically, our operating expenses will continue as we: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continue to refine and operate our corporate infrastructure, people, processes and systems;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pursue sales and marketing activities for our product and services;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pursue further research and development related to developing our satellites and satellite technology;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seek regulatory approvals for operation of our satellites and vehicles;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actively manage our workforce, including right sizing in personnel;</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maintain, expand and protect our intellectual property portfolio;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comply with public company reporting requirements;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defend against litigation.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party to leases primarily for facilities (e.g., office buildings, warehouses, and spaceport) under non</w:t>
        <w:noBreakHyphen/>
        <w:t>cancellable operating leases. Refer to Note 6.</w:t>
      </w:r>
    </w:p>
    <w:p>
      <w:pPr>
        <w:pStyle w:val="TextBody"/>
        <w:bidi w:val="0"/>
        <w:spacing w:lineRule="auto" w:line="288" w:before="160" w:after="283"/>
        <w:jc w:val="both"/>
        <w:rPr/>
      </w:pPr>
      <w:r>
        <w:rPr>
          <w:rFonts w:ascii="Times New Roman;serif" w:hAnsi="Times New Roman;serif"/>
          <w:b w:val="false"/>
          <w:color w:val="000000"/>
          <w:sz w:val="20"/>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we enter into agreements in the normal course of business with vendors for research and development services and outsourced services, which are generally cancellable upon written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do not engage in any off-balance sheet activities or have any arrangements or relationships with unconsolidated entities, such as variable interest, special purpose, and structured finance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condensed consolidated interim financial statements, which have been prepared in accordance with GAAP. The preparation of our condensed consolidated interim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condensed consolidated interim financial statements included elsewhere in this Form 10-Q.</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during the mission to its customers.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account for customer contracts in accordance with ASC Topic 606, which includes the following five</w:t>
        <w:noBreakHyphen/>
        <w:t>step model:</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Allocation of the transaction price to the performance obligations in the contract.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Recognition of revenue when, or as, the Company satisfies a performance obligation.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satellite and cargo delivery services (transportation services) are considered a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periods in which we recognize revenue, we will disclose the amounts of revenue recognized that was included as a contract liability balance at the beginning of the reporting period in accordance with ASC Sub</w:t>
        <w:noBreakHyphen/>
        <w:t>Topic 606-10-50-8(b).</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Deferred Fulfillment and Prepaid Launch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prepay for certain launch costs to third-party providers that will carry the OSV or satellite to orbit. Prepaid costs allocated to the delivery of a customer’s payload are classified as deferred fulfillment costs. Prepaid costs allocated to our payload are classified as prepaid launch costs. These costs are then recognized as cost of revenues upon release of the customer’s payload and our payload, respectively.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Some customer deposits are non-refundable. Each non-refundable deposit is determined to be a contract liability upon cash collection. Prior to making this determination, we ensure that a valid contract is in place that meets the definition of the existence of a contract in accordance with ASC Sub-Topic 606-10-25-1 and 2.</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various stock incentive plans under which incentive and NSOs and RSAs are granted to employees, directors, and consultants. All stock-based payments to employees, including grants of employee stock options are recognized in the condensed consolidated interim financial statements based on their respective grant date fair values.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recognize stock-based compensation expense using a fair value-based method for costs related to all stock-based payments. We estimate the fair value of stock-based payments on the date of grant using the Black-Scholes-Merton option pricing model (or “BSM”).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condensed consolidated interim financial statements is based on awards that are expected to vest. We account for forfeitures as they occur.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Estimating the fair value of equity awards as of the grant date using valuation models, such as the BSM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Debt and Equity Financings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debt and equity financing arrangements, including convertible promissory notes, warrants, pre-funded warrants, and an equity line of credit agreement. Accounting for these instruments requires significant management judgment, including the determination of whether warrants and embedded conversion options meet the criteria for equity classification or must be accounted for as liabilities. Certain warrants are accounted for as liabilities and are remeasured at fair value each reporting period using Level 3 valuation techniques, with changes in fair value recognized in the consolidated statements of operations. The fair value calculations involve assumptions regarding stock price volatility, expected term, and risk-free interest rates. Changes in these assumptions could materially affect the Company’s financial statements. Refer to Notes 8 and 9 to the condensed consolidated interim financial statements for additional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ASC Topic 740-10 requires companies to determine whether it is “more likely than not” that a tax position will be sustained upon examination by the appropriate taxing authorities before any tax benefit can be recorded in the condensed consolidated interim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Please refer to Note 2 in the notes to our condensed consolidated interim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a variety of market and other risks, including the effects of changes in interest rates, and inflation, as well as risks to the availability of funding sources, hazard events, and specific asset risks.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market risk inherent in our financial instruments and our financial position represents the potential loss arising from adverse changes in interest rates. As of June 30, 2026, we had cash and cash equivalents of $107.6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value of our cash and cash equivalents.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material foreign currency transactions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(“Disclosure Controls”) as such term is defined in Rules 13a-15(e) and 15d-15(e) under the Exchange Act that are designed to provide reasonable assurance that information required to be disclosed in our Exchange Act reports is recorded, processed, summarized and reported within the time periods specified in the SEC rules and forms, and that such information is accumulated and communicated to management, including the Chief Executive Officer (“CEO”) and Chief Financial Officer (“CFO”), as appropriate to allow timely decisions regarding required disclosure.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management recognizes that any controls and procedures, no matter how well designed and operated, can provide only reasonable assurance of achieving the desired control objectives and management was required to apply judgment in evaluating its controls and procedures. All internal control systems, no matter how well designed, have inherent limitations, including the possibility of human error and the circumvention of overriding controls.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this report, our management, under the supervision and with the participation of our CEO and CFO, conducted an evaluation of the effectiveness of the design and operation of our Disclosure Controls as of June 30, 2026. Based on this evaluation, the CEO and CFO concluded that the Company’s Disclosure Controls were effective as of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CFO, has concluded that the condensed consolidated interim financial statements included in this Quarterly Report on Form 10-Q fairly present, in all material respects, our financial condition, results of operations and cash flows for the periods presented in conformity with GAAP.</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fiscal quarter ended June 30,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pPr>
      <w:r>
        <w:rPr>
          <w:rFonts w:ascii="Times New Roman;serif" w:hAnsi="Times New Roman;serif"/>
          <w:b w:val="false"/>
          <w:color w:val="000000"/>
          <w:sz w:val="20"/>
        </w:rPr>
        <w:t>See the disclosures under the caption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in Note 12 in the notes to our condensed consolidated interim financial statements included elsewhere in this Form 10-Q for disclosures related to our legal proceedings, which disclosures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jc w:val="both"/>
        <w:rPr/>
      </w:pPr>
      <w:r>
        <w:rPr>
          <w:rFonts w:ascii="Times New Roman;serif" w:hAnsi="Times New Roman;serif"/>
          <w:b w:val="false"/>
          <w:color w:val="000000"/>
          <w:sz w:val="20"/>
        </w:rPr>
        <w:t>In addition to the other information set forth in this report, you should carefully consider the risk factors discussed in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most recent Annual Report on Form 10-K filed by the Company on March 31, 2026, which could materially affect our business, financial condition or future results. The risks described below and in our Annual Report on Form 10-K filed by the Company on March 31, 2026, are not the only risks facing our Company. Additional risks and uncertainties not currently known to us or that we currently deem immaterial also may materially adversely affect our business, financial condition, operating results,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Rule 16a-1 under the Exchange Act) adopted, modified or terminated a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6"/>
        <w:gridCol w:w="331"/>
        <w:gridCol w:w="332"/>
        <w:gridCol w:w="109"/>
        <w:gridCol w:w="109"/>
        <w:gridCol w:w="109"/>
        <w:gridCol w:w="2699"/>
        <w:gridCol w:w="2533"/>
        <w:gridCol w:w="3607"/>
      </w:tblGrid>
      <w:tr>
        <w:trPr/>
        <w:tc>
          <w:tcPr>
            <w:tcW w:w="3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2">
              <w:r>
                <w:rPr>
                  <w:rStyle w:val="InternetLink"/>
                  <w:rFonts w:ascii="Times New Roman;serif" w:hAnsi="Times New Roman;serif"/>
                  <w:b w:val="false"/>
                  <w:color w:val="0000FF"/>
                  <w:sz w:val="20"/>
                  <w:u w:val="single"/>
                </w:rPr>
                <w:t>Form of Placement Agency Agreement (incorporated by reference to Exhibit 1.1 to the Company’s Current Report on Form 8-K filed on June 15, 2026).</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Times New Roman;serif" w:hAnsi="Times New Roman;serif"/>
                  <w:b w:val="false"/>
                  <w:color w:val="0000FF"/>
                  <w:sz w:val="20"/>
                  <w:u w:val="single"/>
                </w:rPr>
                <w:t>Form of Pre-Funded Warrant (incorporated by reference to Exhibit 4.1 to the Company’s Current Report on Form 8-K filed on April 16, 2026).</w:t>
              </w:r>
            </w:hyperlink>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erif" w:hAnsi="Times New Roman;serif"/>
                  <w:b w:val="false"/>
                  <w:color w:val="0000FF"/>
                  <w:sz w:val="20"/>
                  <w:u w:val="single"/>
                </w:rPr>
                <w:t>Form of Placement Agent Warrant (incorporated by reference to Exhibit 4.2 to the Company’s Current Report on Form 8-K filed on April 16, 2026).</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erif" w:hAnsi="Times New Roman;serif"/>
                  <w:b w:val="false"/>
                  <w:color w:val="0000FF"/>
                  <w:sz w:val="20"/>
                  <w:u w:val="single"/>
                </w:rPr>
                <w:t>Form of Pre-Funded Warrant (incorporated by reference to Exhibit 4.1 to the Company’s Current Report on Form 8-K filed on May 29, 2026).</w:t>
              </w:r>
            </w:hyperlink>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erif" w:hAnsi="Times New Roman;serif"/>
                  <w:b w:val="false"/>
                  <w:color w:val="0000FF"/>
                  <w:sz w:val="20"/>
                  <w:u w:val="single"/>
                </w:rPr>
                <w:t>Form of Placement Agent Warrant (incorporated by reference to Exhibit 4.2 to the Company’s Current Report on Form 8-K filed on May 29, 2026).</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
              <w:r>
                <w:rPr>
                  <w:rStyle w:val="InternetLink"/>
                  <w:rFonts w:ascii="Times New Roman;serif" w:hAnsi="Times New Roman;serif"/>
                  <w:b w:val="false"/>
                  <w:color w:val="0000FF"/>
                  <w:sz w:val="20"/>
                  <w:u w:val="single"/>
                </w:rPr>
                <w:t>Form of Placement Agent Warrant (incorporated by reference to Exhibit 4.1 to the Company’s Current Report on Form 8-K filed on June 15, 2026).</w:t>
              </w:r>
            </w:hyperlink>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8">
              <w:r>
                <w:rPr>
                  <w:rStyle w:val="InternetLink"/>
                  <w:rFonts w:ascii="Times New Roman;serif" w:hAnsi="Times New Roman;serif"/>
                  <w:b w:val="false"/>
                  <w:color w:val="0000FF"/>
                  <w:sz w:val="20"/>
                  <w:u w:val="single"/>
                </w:rPr>
                <w:t>Fourth Amendment to Momentus Inc. 2022 Inducement Equity Plan (incorporated by reference to Exhibit 99.5 to the Company’s Registration Statement on Form S-8 (Registration No. 333 294837) filed on April 1, 2026).</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
              <w:r>
                <w:rPr>
                  <w:rStyle w:val="InternetLink"/>
                  <w:rFonts w:ascii="Times New Roman;serif" w:hAnsi="Times New Roman;serif"/>
                  <w:b w:val="false"/>
                  <w:color w:val="0000FF"/>
                  <w:sz w:val="20"/>
                  <w:u w:val="single"/>
                </w:rPr>
                <w:t>Form of Securities Purchase Agreement (incorporated by reference to Exhibit 10.1 to the Company’s Current Report on Form 8-K filed on April 16, 2026).</w:t>
              </w:r>
            </w:hyperlink>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10">
              <w:r>
                <w:rPr>
                  <w:rStyle w:val="InternetLink"/>
                  <w:rFonts w:ascii="Times New Roman;serif" w:hAnsi="Times New Roman;serif"/>
                  <w:b w:val="false"/>
                  <w:color w:val="0000FF"/>
                  <w:sz w:val="20"/>
                  <w:u w:val="single"/>
                </w:rPr>
                <w:t>Form of Registration Rights Agreement (incorporated by reference to Exhibit 10.2 to the Company’s Current Report on Form 8-K filed on April 16, 2026).</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
              <w:r>
                <w:rPr>
                  <w:rStyle w:val="InternetLink"/>
                  <w:rFonts w:ascii="Times New Roman;serif" w:hAnsi="Times New Roman;serif"/>
                  <w:b w:val="false"/>
                  <w:color w:val="0000FF"/>
                  <w:sz w:val="20"/>
                  <w:u w:val="single"/>
                </w:rPr>
                <w:t>Second Amendment to the 2021 Equity Incentive Plan (incorporated by reference to Exhibit 10.1 to the Company’s Current Report on Form 8-K filed on May 22, 2026).</w:t>
              </w:r>
            </w:hyperlink>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12">
              <w:r>
                <w:rPr>
                  <w:rStyle w:val="InternetLink"/>
                  <w:rFonts w:ascii="Times New Roman;serif" w:hAnsi="Times New Roman;serif"/>
                  <w:b w:val="false"/>
                  <w:color w:val="0000FF"/>
                  <w:sz w:val="20"/>
                  <w:u w:val="single"/>
                </w:rPr>
                <w:t>Form of Securities Purchase Agreement (incorporated by reference to Exhibit 10.1 to the Company’s Current Report on Form 8-K filed on May 29, 2026).</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3">
              <w:r>
                <w:rPr>
                  <w:rStyle w:val="InternetLink"/>
                  <w:rFonts w:ascii="Times New Roman;serif" w:hAnsi="Times New Roman;serif"/>
                  <w:b w:val="false"/>
                  <w:color w:val="0000FF"/>
                  <w:sz w:val="20"/>
                  <w:u w:val="single"/>
                </w:rPr>
                <w:t>Form of Registration Rights Agreement (incorporated by reference to Exhibit 10.2 to the Company’s Current Report on Form 8-K filed on May 29, 2026).</w:t>
              </w:r>
            </w:hyperlink>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14">
              <w:r>
                <w:rPr>
                  <w:rStyle w:val="InternetLink"/>
                  <w:rFonts w:ascii="Times New Roman;serif" w:hAnsi="Times New Roman;serif"/>
                  <w:b w:val="false"/>
                  <w:color w:val="0000FF"/>
                  <w:sz w:val="20"/>
                  <w:u w:val="single"/>
                </w:rPr>
                <w:t>Form of Securities Purchase Agreement (incorporated by reference to Exhibit 10.1 to the Company’s Current Report on Form 8-K filed on June 15, 2026).</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a20260630-ex311xceo.htm">
              <w:r>
                <w:rPr>
                  <w:rStyle w:val="InternetLink"/>
                  <w:rFonts w:ascii="Times New Roman;serif" w:hAnsi="Times New Roman;serif"/>
                  <w:b w:val="false"/>
                  <w:color w:val="0000FF"/>
                  <w:sz w:val="20"/>
                  <w:u w:val="single"/>
                </w:rPr>
                <w:t>Certification Pursuant to Rules 13a-14(a) and 15d-14(a) Under The Securities Act of 1934, As Adopted Pursuant to Section 302 of the Sarbanes-Oxley Act of 2002</w:t>
              </w:r>
            </w:hyperlink>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a20260630-ex312xcfo.htm">
              <w:r>
                <w:rPr>
                  <w:rStyle w:val="InternetLink"/>
                  <w:rFonts w:ascii="Times New Roman;serif" w:hAnsi="Times New Roman;serif"/>
                  <w:b w:val="false"/>
                  <w:color w:val="0000FF"/>
                  <w:sz w:val="20"/>
                  <w:u w:val="single"/>
                </w:rPr>
                <w:t>Certification Pursuant to Rules 13a-14(a) and 15d-14(a) Under The Securities Act of 1934, As Adopted Pursuant to Section 302 of the Sarbanes-Oxley Act of 2002</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a20260630-ex321xceo.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a20260630-ex322xcfo.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288" w:before="0" w:after="0"/>
        <w:ind w:left="0" w:right="0" w:hanging="360"/>
        <w:jc w:val="left"/>
        <w:rPr/>
      </w:pPr>
      <w:r>
        <w:rPr>
          <w:rFonts w:ascii="Arial;sans-serif" w:hAnsi="Arial;sans-serif"/>
          <w:b w:val="false"/>
          <w:color w:val="000000"/>
          <w:sz w:val="24"/>
        </w:rPr>
        <w:t>*     </w:t>
      </w: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pPr>
      <w:r>
        <w:rPr>
          <w:rFonts w:ascii="Arial;sans-serif" w:hAnsi="Arial;sans-serif"/>
          <w:b w:val="false"/>
          <w:color w:val="000000"/>
          <w:sz w:val="24"/>
        </w:rPr>
        <w:t>**     </w:t>
      </w:r>
      <w:r>
        <w:rPr>
          <w:rFonts w:ascii="Times New Roman;serif" w:hAnsi="Times New Roman;serif"/>
          <w:b w:val="false"/>
          <w:color w:val="000000"/>
          <w:sz w:val="20"/>
        </w:rPr>
        <w:t>Furnished herewith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of the exhibits and schedules to this Exhibit List have been omitted in accordance with Regulation S-K Item 601(a)(5). The Registrant agrees to furnish a copy of all omitted exhibits and schedules to the SEC upon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fd60911f930448a94c70572355970ae_127">
        <w:r>
          <w:rPr>
            <w:rStyle w:val="InternetLink"/>
            <w:rFonts w:ascii="Times New Roman;serif" w:hAnsi="Times New Roman;serif"/>
            <w:b w:val="false"/>
            <w:color w:val="3051F2"/>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w:t>
      </w:r>
    </w:p>
    <w:tbl>
      <w:tblPr>
        <w:tblW w:w="6762" w:type="dxa"/>
        <w:jc w:val="left"/>
        <w:tblInd w:w="0" w:type="dxa"/>
        <w:tblLayout w:type="fixed"/>
        <w:tblCellMar>
          <w:top w:w="28" w:type="dxa"/>
          <w:left w:w="28" w:type="dxa"/>
          <w:bottom w:w="28" w:type="dxa"/>
          <w:right w:w="28" w:type="dxa"/>
        </w:tblCellMar>
      </w:tblPr>
      <w:tblGrid>
        <w:gridCol w:w="705"/>
        <w:gridCol w:w="621"/>
        <w:gridCol w:w="624"/>
        <w:gridCol w:w="233"/>
        <w:gridCol w:w="197"/>
        <w:gridCol w:w="200"/>
        <w:gridCol w:w="139"/>
        <w:gridCol w:w="139"/>
        <w:gridCol w:w="139"/>
        <w:gridCol w:w="1102"/>
        <w:gridCol w:w="1102"/>
        <w:gridCol w:w="156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6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MOMENTUS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Rood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Rood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Lon Ensler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 Ensler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SARBANES-OXLEY ACT OF 2002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John Rood, certify that: </w:t>
      </w:r>
    </w:p>
    <w:p>
      <w:pPr>
        <w:pStyle w:val="TextBody"/>
        <w:bidi w:val="0"/>
        <w:spacing w:before="0" w:after="0"/>
        <w:jc w:val="left"/>
        <w:rPr/>
      </w:pPr>
      <w:r>
        <w:rPr/>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Momentus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5140" w:type="dxa"/>
        <w:jc w:val="center"/>
        <w:tblInd w:w="0" w:type="dxa"/>
        <w:tblLayout w:type="fixed"/>
        <w:tblCellMar>
          <w:top w:w="28" w:type="dxa"/>
          <w:left w:w="28" w:type="dxa"/>
          <w:bottom w:w="28" w:type="dxa"/>
          <w:right w:w="28" w:type="dxa"/>
        </w:tblCellMar>
      </w:tblPr>
      <w:tblGrid>
        <w:gridCol w:w="238"/>
        <w:gridCol w:w="210"/>
        <w:gridCol w:w="212"/>
        <w:gridCol w:w="484"/>
        <w:gridCol w:w="484"/>
        <w:gridCol w:w="486"/>
        <w:gridCol w:w="208"/>
        <w:gridCol w:w="208"/>
        <w:gridCol w:w="213"/>
        <w:gridCol w:w="109"/>
        <w:gridCol w:w="109"/>
        <w:gridCol w:w="109"/>
        <w:gridCol w:w="606"/>
        <w:gridCol w:w="606"/>
        <w:gridCol w:w="85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 John C. Rood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Rood</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SARBANES-OXLEY ACT OF 2002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Lon Ensler, certify that: </w:t>
      </w:r>
    </w:p>
    <w:p>
      <w:pPr>
        <w:pStyle w:val="TextBody"/>
        <w:bidi w:val="0"/>
        <w:spacing w:before="0" w:after="0"/>
        <w:jc w:val="left"/>
        <w:rPr/>
      </w:pPr>
      <w:r>
        <w:rPr/>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Momentus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5080" w:type="dxa"/>
        <w:jc w:val="center"/>
        <w:tblInd w:w="0" w:type="dxa"/>
        <w:tblLayout w:type="fixed"/>
        <w:tblCellMar>
          <w:top w:w="28" w:type="dxa"/>
          <w:left w:w="28" w:type="dxa"/>
          <w:bottom w:w="28" w:type="dxa"/>
          <w:right w:w="28" w:type="dxa"/>
        </w:tblCellMar>
      </w:tblPr>
      <w:tblGrid>
        <w:gridCol w:w="238"/>
        <w:gridCol w:w="210"/>
        <w:gridCol w:w="212"/>
        <w:gridCol w:w="484"/>
        <w:gridCol w:w="484"/>
        <w:gridCol w:w="486"/>
        <w:gridCol w:w="208"/>
        <w:gridCol w:w="208"/>
        <w:gridCol w:w="213"/>
        <w:gridCol w:w="109"/>
        <w:gridCol w:w="109"/>
        <w:gridCol w:w="109"/>
        <w:gridCol w:w="586"/>
        <w:gridCol w:w="586"/>
        <w:gridCol w:w="83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 Lon Ensler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 Ensler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Momentus Inc., a Delaware corporation (the “Company”), on Form 10-Q for the quarter ended June 30, 2026,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Form 10-Q fully complies with the requirements of section 13(a) or section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14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08"/>
        <w:gridCol w:w="208"/>
        <w:gridCol w:w="213"/>
        <w:gridCol w:w="109"/>
        <w:gridCol w:w="109"/>
        <w:gridCol w:w="109"/>
        <w:gridCol w:w="606"/>
        <w:gridCol w:w="606"/>
        <w:gridCol w:w="85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 John C. Rood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Rood</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Momentus Inc., a Delaware corporation (the “Company”), on Form 10-Q for the quarter ended June 30, 2026, as filed with the Securities and Exchange Commission on the date hereof (the “Form 10-Q”), I, Lon Ensler, Chief Financial Officer of the Company, certify, pursuant to 18 U.S.C. section 1350, as adopted pursuant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Form 10-Q fully complies with the requirements of section 13(a) or section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08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08"/>
        <w:gridCol w:w="208"/>
        <w:gridCol w:w="213"/>
        <w:gridCol w:w="109"/>
        <w:gridCol w:w="109"/>
        <w:gridCol w:w="109"/>
        <w:gridCol w:w="586"/>
        <w:gridCol w:w="586"/>
        <w:gridCol w:w="83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 Lon Ensler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 Ensler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1162/000114036126025252/ef20076187_ex1-1.htm" TargetMode="External"/><Relationship Id="rId3" Type="http://schemas.openxmlformats.org/officeDocument/2006/relationships/hyperlink" Target="https://www.sec.gov/Archives/edgar/data/1781162/000114036126014988/ef20070575_ex4-1.htm" TargetMode="External"/><Relationship Id="rId4" Type="http://schemas.openxmlformats.org/officeDocument/2006/relationships/hyperlink" Target="https://www.sec.gov/Archives/edgar/data/1781162/000114036126014988/ef20070575_ex4-2.htm" TargetMode="External"/><Relationship Id="rId5" Type="http://schemas.openxmlformats.org/officeDocument/2006/relationships/hyperlink" Target="https://www.sec.gov/Archives/edgar/data/1781162/000114036126023337/ef20075150_ex4-1.htm" TargetMode="External"/><Relationship Id="rId6" Type="http://schemas.openxmlformats.org/officeDocument/2006/relationships/hyperlink" Target="https://www.sec.gov/Archives/edgar/data/1781162/000114036126023337/ef20075150_ex4-2.htm" TargetMode="External"/><Relationship Id="rId7" Type="http://schemas.openxmlformats.org/officeDocument/2006/relationships/hyperlink" Target="https://www.sec.gov/Archives/edgar/data/1781162/000114036126025252/ef20076187_ex4-1.htm" TargetMode="External"/><Relationship Id="rId8" Type="http://schemas.openxmlformats.org/officeDocument/2006/relationships/hyperlink" Target="https://www.sec.gov/Archives/edgar/data/1781162/000114036126012810/ef20068589_ex99-5.htm" TargetMode="External"/><Relationship Id="rId9" Type="http://schemas.openxmlformats.org/officeDocument/2006/relationships/hyperlink" Target="https://www.sec.gov/Archives/edgar/data/1781162/000114036126014988/ef20070575_ex10-1.htm" TargetMode="External"/><Relationship Id="rId10" Type="http://schemas.openxmlformats.org/officeDocument/2006/relationships/hyperlink" Target="https://www.sec.gov/Archives/edgar/data/1781162/000114036126014988/ef20070575_ex10-2.htm" TargetMode="External"/><Relationship Id="rId11" Type="http://schemas.openxmlformats.org/officeDocument/2006/relationships/hyperlink" Target="https://www.sec.gov/Archives/edgar/data/1781162/000114036126022497/ef20074640_ex10-1.htm" TargetMode="External"/><Relationship Id="rId12" Type="http://schemas.openxmlformats.org/officeDocument/2006/relationships/hyperlink" Target="https://www.sec.gov/Archives/edgar/data/1781162/000114036126023337/ef20075150_ex10-1.htm" TargetMode="External"/><Relationship Id="rId13" Type="http://schemas.openxmlformats.org/officeDocument/2006/relationships/hyperlink" Target="https://www.sec.gov/Archives/edgar/data/1781162/000114036126023337/ef20075150_ex10-2.htm" TargetMode="External"/><Relationship Id="rId14" Type="http://schemas.openxmlformats.org/officeDocument/2006/relationships/hyperlink" Target="https://www.sec.gov/Archives/edgar/data/1781162/000114036126025252/ef20076187_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38077</Words>
  <Characters>206545</Characters>
  <CharactersWithSpaces>242701</CharactersWithSpaces>
  <Paragraphs>3238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