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9b97cf4b46d428aaaf7c19bf29a8f61_13">
        <w:r>
          <w:rPr>
            <w:rStyle w:val="InternetLink"/>
            <w:rFonts w:ascii="Times New Roman;sans-serif" w:hAnsi="Times New Roman;sans-serif"/>
            <w:b w:val="false"/>
            <w:color w:val="3051F2"/>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9b97cf4b46d428aaaf7c19bf29a8f61_13">
        <w:r>
          <w:rPr>
            <w:rStyle w:val="InternetLink"/>
            <w:rFonts w:ascii="Times New Roman;sans-serif" w:hAnsi="Times New Roman;sans-serif"/>
            <w:b w:val="false"/>
            <w:color w:val="3051F2"/>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345"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345"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345"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001-39128</w:t>
      </w:r>
    </w:p>
    <w:p>
      <w:pPr>
        <w:pStyle w:val="TextBody"/>
        <w:bidi w:val="0"/>
        <w:spacing w:lineRule="auto" w:line="288" w:before="240" w:after="283"/>
        <w:jc w:val="center"/>
        <w:rPr>
          <w:rFonts w:ascii="Times New Roman;sans-serif" w:hAnsi="Times New Roman;sans-serif"/>
          <w:b/>
          <w:color w:val="000000"/>
          <w:sz w:val="40"/>
        </w:rPr>
      </w:pPr>
      <w:r>
        <w:rPr>
          <w:rFonts w:ascii="Times New Roman;sans-serif" w:hAnsi="Times New Roman;sans-serif"/>
          <w:b/>
          <w:color w:val="000000"/>
          <w:sz w:val="40"/>
        </w:rPr>
        <w:t>Momentus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84-1905538</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3901 N. First Street</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San Jose, California</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95134</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345" w:before="200" w:after="283"/>
        <w:jc w:val="center"/>
        <w:rPr>
          <w:rFonts w:ascii="Times New Roman;sans-serif" w:hAnsi="Times New Roman;sans-serif"/>
          <w:b/>
          <w:color w:val="000000"/>
          <w:sz w:val="20"/>
        </w:rPr>
      </w:pPr>
      <w:r>
        <w:rPr>
          <w:rFonts w:ascii="Times New Roman;sans-serif" w:hAnsi="Times New Roman;sans-serif"/>
          <w:b/>
          <w:color w:val="000000"/>
          <w:sz w:val="20"/>
        </w:rPr>
        <w:t>(650) 564-7820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288" w:type="dxa"/>
        <w:jc w:val="left"/>
        <w:tblInd w:w="0" w:type="dxa"/>
        <w:tblLayout w:type="fixed"/>
        <w:tblCellMar>
          <w:top w:w="28" w:type="dxa"/>
          <w:left w:w="28" w:type="dxa"/>
          <w:bottom w:w="28" w:type="dxa"/>
          <w:right w:w="28" w:type="dxa"/>
        </w:tblCellMar>
      </w:tblPr>
      <w:tblGrid>
        <w:gridCol w:w="711"/>
        <w:gridCol w:w="623"/>
        <w:gridCol w:w="630"/>
        <w:gridCol w:w="539"/>
        <w:gridCol w:w="539"/>
        <w:gridCol w:w="541"/>
        <w:gridCol w:w="1085"/>
        <w:gridCol w:w="1085"/>
        <w:gridCol w:w="1535"/>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MNTS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Capital Market LLC</w:t>
            </w:r>
          </w:p>
        </w:tc>
      </w:tr>
      <w:tr>
        <w:trPr/>
        <w:tc>
          <w:tcPr>
            <w:tcW w:w="19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MNTSW</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Capital Market LLC</w:t>
            </w:r>
          </w:p>
        </w:tc>
      </w:tr>
    </w:tbl>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9b97cf4b46d428aaaf7c19bf29a8f61_13">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is a shell company (as defined in Rule 12b-2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95,040,317 shares of common stock as of May 8,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491" w:type="dxa"/>
        <w:jc w:val="center"/>
        <w:tblInd w:w="0" w:type="dxa"/>
        <w:tblLayout w:type="fixed"/>
        <w:tblCellMar>
          <w:top w:w="28" w:type="dxa"/>
          <w:left w:w="28" w:type="dxa"/>
          <w:bottom w:w="28" w:type="dxa"/>
          <w:right w:w="28" w:type="dxa"/>
        </w:tblCellMar>
      </w:tblPr>
      <w:tblGrid>
        <w:gridCol w:w="2875"/>
        <w:gridCol w:w="2530"/>
        <w:gridCol w:w="2545"/>
        <w:gridCol w:w="158"/>
        <w:gridCol w:w="158"/>
        <w:gridCol w:w="225"/>
      </w:tblGrid>
      <w:tr>
        <w:trPr/>
        <w:tc>
          <w:tcPr>
            <w:tcW w:w="2875"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262">
              <w:r>
                <w:rPr>
                  <w:rStyle w:val="InternetLink"/>
                  <w:rFonts w:ascii="Times New Roman;sans-serif" w:hAnsi="Times New Roman;sans-serif"/>
                  <w:b w:val="false"/>
                  <w:strike w:val="false"/>
                  <w:dstrike w:val="false"/>
                  <w:color w:val="000000"/>
                  <w:sz w:val="20"/>
                  <w:u w:val="none"/>
                  <w:effect w:val="none"/>
                </w:rPr>
                <w:t xml:space="preserve">Part I - Financial Information </w:t>
              </w:r>
            </w:hyperlink>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29b97cf4b46d428aaaf7c19bf29a8f61_262">
              <w:r>
                <w:rPr>
                  <w:rStyle w:val="InternetLink"/>
                  <w:rFonts w:ascii="Times New Roman;sans-serif" w:hAnsi="Times New Roman;sans-serif"/>
                  <w:b w:val="false"/>
                  <w:strike w:val="false"/>
                  <w:dstrike w:val="false"/>
                  <w:color w:val="000000"/>
                  <w:sz w:val="20"/>
                  <w:u w:val="none"/>
                  <w:effect w:val="none"/>
                </w:rPr>
                <w:t>5</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109">
              <w:r>
                <w:rPr>
                  <w:rStyle w:val="InternetLink"/>
                  <w:rFonts w:ascii="Times New Roman;sans-serif" w:hAnsi="Times New Roman;sans-serif"/>
                  <w:b w:val="false"/>
                  <w:strike w:val="false"/>
                  <w:dstrike w:val="false"/>
                  <w:color w:val="000000"/>
                  <w:sz w:val="20"/>
                  <w:u w:val="none"/>
                  <w:effect w:val="none"/>
                </w:rPr>
                <w:t>Item 1. Unaudited Condensed Consolidated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109">
              <w:r>
                <w:rPr>
                  <w:rStyle w:val="InternetLink"/>
                  <w:rFonts w:ascii="Times New Roman;sans-serif" w:hAnsi="Times New Roman;sans-serif"/>
                  <w:b w:val="false"/>
                  <w:strike w:val="false"/>
                  <w:dstrike w:val="false"/>
                  <w:color w:val="000000"/>
                  <w:sz w:val="20"/>
                  <w:u w:val="none"/>
                  <w:effect w:val="none"/>
                </w:rPr>
                <w:t>5</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124">
              <w:r>
                <w:rPr>
                  <w:rStyle w:val="InternetLink"/>
                  <w:rFonts w:ascii="Times New Roman;sans-serif" w:hAnsi="Times New Roman;sans-serif"/>
                  <w:b w:val="false"/>
                  <w:strike w:val="false"/>
                  <w:dstrike w:val="false"/>
                  <w:color w:val="000000"/>
                  <w:sz w:val="20"/>
                  <w:u w:val="none"/>
                  <w:effect w:val="none"/>
                </w:rPr>
                <w:t>Condensed Consolidated Balance Sheets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124">
              <w:r>
                <w:rPr>
                  <w:rStyle w:val="InternetLink"/>
                  <w:rFonts w:ascii="Times New Roman;sans-serif" w:hAnsi="Times New Roman;sans-serif"/>
                  <w:b w:val="false"/>
                  <w:strike w:val="false"/>
                  <w:dstrike w:val="false"/>
                  <w:color w:val="000000"/>
                  <w:sz w:val="20"/>
                  <w:u w:val="none"/>
                  <w:effect w:val="none"/>
                </w:rPr>
                <w:t>5</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127">
              <w:r>
                <w:rPr>
                  <w:rStyle w:val="InternetLink"/>
                  <w:rFonts w:ascii="Times New Roman;sans-serif" w:hAnsi="Times New Roman;sans-serif"/>
                  <w:b w:val="false"/>
                  <w:strike w:val="false"/>
                  <w:dstrike w:val="false"/>
                  <w:color w:val="000000"/>
                  <w:sz w:val="20"/>
                  <w:u w:val="none"/>
                  <w:effect w:val="none"/>
                </w:rPr>
                <w:t>Condensed Consolidated Statements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127">
              <w:r>
                <w:rPr>
                  <w:rStyle w:val="InternetLink"/>
                  <w:rFonts w:ascii="Times New Roman;sans-serif" w:hAnsi="Times New Roman;sans-serif"/>
                  <w:b w:val="false"/>
                  <w:strike w:val="false"/>
                  <w:dstrike w:val="false"/>
                  <w:color w:val="000000"/>
                  <w:sz w:val="20"/>
                  <w:u w:val="none"/>
                  <w:effect w:val="none"/>
                </w:rPr>
                <w:t>6</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130">
              <w:r>
                <w:rPr>
                  <w:rStyle w:val="InternetLink"/>
                  <w:rFonts w:ascii="Times New Roman;sans-serif" w:hAnsi="Times New Roman;sans-serif"/>
                  <w:b w:val="false"/>
                  <w:strike w:val="false"/>
                  <w:dstrike w:val="false"/>
                  <w:color w:val="000000"/>
                  <w:sz w:val="20"/>
                  <w:u w:val="none"/>
                  <w:effect w:val="none"/>
                </w:rPr>
                <w:t>Condensed Consolidated Statements of Stockholders’ Equity</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130">
              <w:r>
                <w:rPr>
                  <w:rStyle w:val="InternetLink"/>
                  <w:rFonts w:ascii="Times New Roman;sans-serif" w:hAnsi="Times New Roman;sans-serif"/>
                  <w:b w:val="false"/>
                  <w:strike w:val="false"/>
                  <w:dstrike w:val="false"/>
                  <w:color w:val="000000"/>
                  <w:sz w:val="20"/>
                  <w:u w:val="none"/>
                  <w:effect w:val="none"/>
                </w:rPr>
                <w:t>7</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133">
              <w:r>
                <w:rPr>
                  <w:rStyle w:val="InternetLink"/>
                  <w:rFonts w:ascii="Times New Roman;sans-serif" w:hAnsi="Times New Roman;sans-serif"/>
                  <w:b w:val="false"/>
                  <w:strike w:val="false"/>
                  <w:dstrike w:val="false"/>
                  <w:color w:val="000000"/>
                  <w:sz w:val="20"/>
                  <w:u w:val="none"/>
                  <w:effect w:val="none"/>
                </w:rPr>
                <w:t>Condensed 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133">
              <w:r>
                <w:rPr>
                  <w:rStyle w:val="InternetLink"/>
                  <w:rFonts w:ascii="Times New Roman;sans-serif" w:hAnsi="Times New Roman;sans-serif"/>
                  <w:b w:val="false"/>
                  <w:strike w:val="false"/>
                  <w:dstrike w:val="false"/>
                  <w:color w:val="000000"/>
                  <w:sz w:val="20"/>
                  <w:u w:val="none"/>
                  <w:effect w:val="none"/>
                </w:rPr>
                <w:t>8</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136">
              <w:r>
                <w:rPr>
                  <w:rStyle w:val="InternetLink"/>
                  <w:rFonts w:ascii="Times New Roman;sans-serif" w:hAnsi="Times New Roman;sans-serif"/>
                  <w:b w:val="false"/>
                  <w:strike w:val="false"/>
                  <w:dstrike w:val="false"/>
                  <w:color w:val="000000"/>
                  <w:sz w:val="20"/>
                  <w:u w:val="none"/>
                  <w:effect w:val="none"/>
                </w:rPr>
                <w:t>Notes to the Condensed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136">
              <w:r>
                <w:rPr>
                  <w:rStyle w:val="InternetLink"/>
                  <w:rFonts w:ascii="Times New Roman;sans-serif" w:hAnsi="Times New Roman;sans-serif"/>
                  <w:b w:val="false"/>
                  <w:strike w:val="false"/>
                  <w:dstrike w:val="false"/>
                  <w:color w:val="000000"/>
                  <w:sz w:val="20"/>
                  <w:u w:val="none"/>
                  <w:effect w:val="none"/>
                </w:rPr>
                <w:t>9</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52">
              <w:r>
                <w:rPr>
                  <w:rStyle w:val="InternetLink"/>
                  <w:rFonts w:ascii="Times New Roman;sans-serif" w:hAnsi="Times New Roman;sans-serif"/>
                  <w:b w:val="false"/>
                  <w:strike w:val="false"/>
                  <w:dstrike w:val="false"/>
                  <w:color w:val="000000"/>
                  <w:sz w:val="20"/>
                  <w:u w:val="none"/>
                  <w:effect w:val="none"/>
                </w:rPr>
                <w:t>Item 2. Management's Discussion and Analysis of Financial Condition and Results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52">
              <w:r>
                <w:rPr>
                  <w:rStyle w:val="InternetLink"/>
                  <w:rFonts w:ascii="Times New Roman;sans-serif" w:hAnsi="Times New Roman;sans-serif"/>
                  <w:b w:val="false"/>
                  <w:strike w:val="false"/>
                  <w:dstrike w:val="false"/>
                  <w:color w:val="000000"/>
                  <w:sz w:val="20"/>
                  <w:u w:val="none"/>
                  <w:effect w:val="none"/>
                </w:rPr>
                <w:t>31</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3. Quantitative and Qualitative Disclosures About Market Risk </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106">
              <w:r>
                <w:rPr>
                  <w:rStyle w:val="InternetLink"/>
                  <w:rFonts w:ascii="Times New Roman;sans-serif" w:hAnsi="Times New Roman;sans-serif"/>
                  <w:b w:val="false"/>
                  <w:strike w:val="false"/>
                  <w:dstrike w:val="false"/>
                  <w:color w:val="000000"/>
                  <w:sz w:val="20"/>
                  <w:u w:val="none"/>
                  <w:effect w:val="none"/>
                </w:rPr>
                <w:t>43</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265">
              <w:r>
                <w:rPr>
                  <w:rStyle w:val="InternetLink"/>
                  <w:rFonts w:ascii="Times New Roman;sans-serif" w:hAnsi="Times New Roman;sans-serif"/>
                  <w:b w:val="false"/>
                  <w:strike w:val="false"/>
                  <w:dstrike w:val="false"/>
                  <w:color w:val="000000"/>
                  <w:sz w:val="20"/>
                  <w:u w:val="none"/>
                  <w:effect w:val="none"/>
                </w:rPr>
                <w:t xml:space="preserve">Item 4. Controls and Procedures </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265">
              <w:r>
                <w:rPr>
                  <w:rStyle w:val="InternetLink"/>
                  <w:rFonts w:ascii="Times New Roman;sans-serif" w:hAnsi="Times New Roman;sans-serif"/>
                  <w:b w:val="false"/>
                  <w:strike w:val="false"/>
                  <w:dstrike w:val="false"/>
                  <w:color w:val="000000"/>
                  <w:sz w:val="20"/>
                  <w:u w:val="none"/>
                  <w:effect w:val="none"/>
                </w:rPr>
                <w:t>44</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268">
              <w:r>
                <w:rPr>
                  <w:rStyle w:val="InternetLink"/>
                  <w:rFonts w:ascii="Times New Roman;sans-serif" w:hAnsi="Times New Roman;sans-serif"/>
                  <w:b w:val="false"/>
                  <w:strike w:val="false"/>
                  <w:dstrike w:val="false"/>
                  <w:color w:val="000000"/>
                  <w:sz w:val="20"/>
                  <w:u w:val="none"/>
                  <w:effect w:val="none"/>
                </w:rPr>
                <w:t>Part II - 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268">
              <w:r>
                <w:rPr>
                  <w:rStyle w:val="InternetLink"/>
                  <w:rFonts w:ascii="Times New Roman;sans-serif" w:hAnsi="Times New Roman;sans-serif"/>
                  <w:b w:val="false"/>
                  <w:strike w:val="false"/>
                  <w:dstrike w:val="false"/>
                  <w:color w:val="000000"/>
                  <w:sz w:val="20"/>
                  <w:u w:val="none"/>
                  <w:effect w:val="none"/>
                </w:rPr>
                <w:t>45</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271">
              <w:r>
                <w:rPr>
                  <w:rStyle w:val="InternetLink"/>
                  <w:rFonts w:ascii="Times New Roman;sans-serif" w:hAnsi="Times New Roman;sans-serif"/>
                  <w:b w:val="false"/>
                  <w:strike w:val="false"/>
                  <w:dstrike w:val="false"/>
                  <w:color w:val="000000"/>
                  <w:sz w:val="20"/>
                  <w:u w:val="none"/>
                  <w:effect w:val="none"/>
                </w:rPr>
                <w:t>Item 1. 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271">
              <w:r>
                <w:rPr>
                  <w:rStyle w:val="InternetLink"/>
                  <w:rFonts w:ascii="Times New Roman;sans-serif" w:hAnsi="Times New Roman;sans-serif"/>
                  <w:b w:val="false"/>
                  <w:strike w:val="false"/>
                  <w:dstrike w:val="false"/>
                  <w:color w:val="000000"/>
                  <w:sz w:val="20"/>
                  <w:u w:val="none"/>
                  <w:effect w:val="none"/>
                </w:rPr>
                <w:t>45</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274">
              <w:r>
                <w:rPr>
                  <w:rStyle w:val="InternetLink"/>
                  <w:rFonts w:ascii="Times New Roman;sans-serif" w:hAnsi="Times New Roman;sans-serif"/>
                  <w:b w:val="false"/>
                  <w:strike w:val="false"/>
                  <w:dstrike w:val="false"/>
                  <w:color w:val="000000"/>
                  <w:sz w:val="20"/>
                  <w:u w:val="none"/>
                  <w:effect w:val="none"/>
                </w:rPr>
                <w:t>Item 1A. Risk Factors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274">
              <w:r>
                <w:rPr>
                  <w:rStyle w:val="InternetLink"/>
                  <w:rFonts w:ascii="Times New Roman;sans-serif" w:hAnsi="Times New Roman;sans-serif"/>
                  <w:b w:val="false"/>
                  <w:strike w:val="false"/>
                  <w:dstrike w:val="false"/>
                  <w:color w:val="000000"/>
                  <w:sz w:val="20"/>
                  <w:u w:val="none"/>
                  <w:effect w:val="none"/>
                </w:rPr>
                <w:t>45</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277">
              <w:r>
                <w:rPr>
                  <w:rStyle w:val="InternetLink"/>
                  <w:rFonts w:ascii="Times New Roman;sans-serif" w:hAnsi="Times New Roman;sans-serif"/>
                  <w:b w:val="false"/>
                  <w:strike w:val="false"/>
                  <w:dstrike w:val="false"/>
                  <w:color w:val="000000"/>
                  <w:sz w:val="20"/>
                  <w:u w:val="none"/>
                  <w:effect w:val="none"/>
                </w:rPr>
                <w:t>Item 2. Unregistered Sales of Equity Securities and Use of Proceeds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277">
              <w:r>
                <w:rPr>
                  <w:rStyle w:val="InternetLink"/>
                  <w:rFonts w:ascii="Times New Roman;sans-serif" w:hAnsi="Times New Roman;sans-serif"/>
                  <w:b w:val="false"/>
                  <w:strike w:val="false"/>
                  <w:dstrike w:val="false"/>
                  <w:color w:val="000000"/>
                  <w:sz w:val="20"/>
                  <w:u w:val="none"/>
                  <w:effect w:val="none"/>
                </w:rPr>
                <w:t>45</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280">
              <w:r>
                <w:rPr>
                  <w:rStyle w:val="InternetLink"/>
                  <w:rFonts w:ascii="Times New Roman;sans-serif" w:hAnsi="Times New Roman;sans-serif"/>
                  <w:b w:val="false"/>
                  <w:strike w:val="false"/>
                  <w:dstrike w:val="false"/>
                  <w:color w:val="000000"/>
                  <w:sz w:val="20"/>
                  <w:u w:val="none"/>
                  <w:effect w:val="none"/>
                </w:rPr>
                <w:t xml:space="preserve">Item 3. Defaults Upon Senior Securities </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280">
              <w:r>
                <w:rPr>
                  <w:rStyle w:val="InternetLink"/>
                  <w:rFonts w:ascii="Times New Roman;sans-serif" w:hAnsi="Times New Roman;sans-serif"/>
                  <w:b w:val="false"/>
                  <w:strike w:val="false"/>
                  <w:dstrike w:val="false"/>
                  <w:color w:val="000000"/>
                  <w:sz w:val="20"/>
                  <w:u w:val="none"/>
                  <w:effect w:val="none"/>
                </w:rPr>
                <w:t>45</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40">
              <w:r>
                <w:rPr>
                  <w:rStyle w:val="InternetLink"/>
                  <w:rFonts w:ascii="Times New Roman;sans-serif" w:hAnsi="Times New Roman;sans-serif"/>
                  <w:b w:val="false"/>
                  <w:strike w:val="false"/>
                  <w:dstrike w:val="false"/>
                  <w:color w:val="000000"/>
                  <w:sz w:val="20"/>
                  <w:u w:val="none"/>
                  <w:effect w:val="none"/>
                </w:rPr>
                <w:t xml:space="preserve">Item 4. Mine Safety Disclosures </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40">
              <w:r>
                <w:rPr>
                  <w:rStyle w:val="InternetLink"/>
                  <w:rFonts w:ascii="Times New Roman;sans-serif" w:hAnsi="Times New Roman;sans-serif"/>
                  <w:b w:val="false"/>
                  <w:strike w:val="false"/>
                  <w:dstrike w:val="false"/>
                  <w:color w:val="000000"/>
                  <w:sz w:val="20"/>
                  <w:u w:val="none"/>
                  <w:effect w:val="none"/>
                </w:rPr>
                <w:t>45</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283">
              <w:r>
                <w:rPr>
                  <w:rStyle w:val="InternetLink"/>
                  <w:rFonts w:ascii="Times New Roman;sans-serif" w:hAnsi="Times New Roman;sans-serif"/>
                  <w:b w:val="false"/>
                  <w:strike w:val="false"/>
                  <w:dstrike w:val="false"/>
                  <w:color w:val="000000"/>
                  <w:sz w:val="20"/>
                  <w:u w:val="none"/>
                  <w:effect w:val="none"/>
                </w:rPr>
                <w:t>Item 5. 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283">
              <w:r>
                <w:rPr>
                  <w:rStyle w:val="InternetLink"/>
                  <w:rFonts w:ascii="Times New Roman;sans-serif" w:hAnsi="Times New Roman;sans-serif"/>
                  <w:b w:val="false"/>
                  <w:strike w:val="false"/>
                  <w:dstrike w:val="false"/>
                  <w:color w:val="000000"/>
                  <w:sz w:val="20"/>
                  <w:u w:val="none"/>
                  <w:effect w:val="none"/>
                </w:rPr>
                <w:t>45</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235">
              <w:r>
                <w:rPr>
                  <w:rStyle w:val="InternetLink"/>
                  <w:rFonts w:ascii="Times New Roman;sans-serif" w:hAnsi="Times New Roman;sans-serif"/>
                  <w:b w:val="false"/>
                  <w:strike w:val="false"/>
                  <w:dstrike w:val="false"/>
                  <w:color w:val="000000"/>
                  <w:sz w:val="20"/>
                  <w:u w:val="none"/>
                  <w:effect w:val="none"/>
                </w:rPr>
                <w:t xml:space="preserve">Item 6. Exhibits </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235">
              <w:r>
                <w:rPr>
                  <w:rStyle w:val="InternetLink"/>
                  <w:rFonts w:ascii="Times New Roman;sans-serif" w:hAnsi="Times New Roman;sans-serif"/>
                  <w:b w:val="false"/>
                  <w:strike w:val="false"/>
                  <w:dstrike w:val="false"/>
                  <w:color w:val="000000"/>
                  <w:sz w:val="20"/>
                  <w:u w:val="none"/>
                  <w:effect w:val="none"/>
                </w:rPr>
                <w:t>46</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97cf4b46d428aaaf7c19bf29a8f61_286">
              <w:r>
                <w:rPr>
                  <w:rStyle w:val="InternetLink"/>
                  <w:rFonts w:ascii="Times New Roman;sans-serif" w:hAnsi="Times New Roman;sans-serif"/>
                  <w:b w:val="false"/>
                  <w:strike w:val="false"/>
                  <w:dstrike w:val="false"/>
                  <w:color w:val="000000"/>
                  <w:sz w:val="20"/>
                  <w:u w:val="none"/>
                  <w:effect w:val="none"/>
                </w:rPr>
                <w:t xml:space="preserve">Signatures </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97cf4b46d428aaaf7c19bf29a8f61_286">
              <w:r>
                <w:rPr>
                  <w:rStyle w:val="InternetLink"/>
                  <w:rFonts w:ascii="Times New Roman;sans-serif" w:hAnsi="Times New Roman;sans-serif"/>
                  <w:b w:val="false"/>
                  <w:strike w:val="false"/>
                  <w:dstrike w:val="false"/>
                  <w:color w:val="000000"/>
                  <w:sz w:val="20"/>
                  <w:u w:val="none"/>
                  <w:effect w:val="non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longer-term business plan, the ability of the Company to obtain licenses and government approvals for its missions, which are essential to its operations; the ability of the Company to effectively market and sell satellite transport services and planned in-orbit services;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Company’s ability to comply with the terms of its National Security Agreement (the “NSA”) and any related compliance measures instituted by the director who was approved by the Committee on Foreign Investment in the United States (“CFIUS”) Monitoring Agencies (the “Security Director”); the possibility that the Company may be adversely affected by other economic, business, and/or competitive factors; and/or other risks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160"/>
        <w:jc w:val="both"/>
        <w:rPr/>
      </w:pPr>
      <w:r>
        <w:rPr>
          <w:rFonts w:ascii="Times New Roman;sans-serif" w:hAnsi="Times New Roman;sans-serif"/>
          <w:b w:val="false"/>
          <w:color w:val="000000"/>
          <w:sz w:val="20"/>
        </w:rPr>
        <w:t>uncertainties described under Part II,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in this Form 10-Q and under Part I, Item 1A. in our Annual Report on Form 10-K filed with the SEC on March 8, 2023.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in this Form 10-Q and under Part I, Item 1A in our Annual Report on Form 10-K filed with the SEC on March 8, 2023, may not be exhaustive.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MOMENTUS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16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number of shares and par value)</w:t>
      </w:r>
    </w:p>
    <w:tbl>
      <w:tblPr>
        <w:tblW w:w="10205" w:type="dxa"/>
        <w:jc w:val="center"/>
        <w:tblInd w:w="0" w:type="dxa"/>
        <w:tblLayout w:type="fixed"/>
        <w:tblCellMar>
          <w:top w:w="28" w:type="dxa"/>
          <w:left w:w="28" w:type="dxa"/>
          <w:bottom w:w="28" w:type="dxa"/>
          <w:right w:w="28" w:type="dxa"/>
        </w:tblCellMar>
      </w:tblPr>
      <w:tblGrid>
        <w:gridCol w:w="3132"/>
        <w:gridCol w:w="2281"/>
        <w:gridCol w:w="2251"/>
        <w:gridCol w:w="212"/>
        <w:gridCol w:w="726"/>
        <w:gridCol w:w="109"/>
        <w:gridCol w:w="109"/>
        <w:gridCol w:w="109"/>
        <w:gridCol w:w="109"/>
        <w:gridCol w:w="225"/>
        <w:gridCol w:w="772"/>
        <w:gridCol w:w="170"/>
      </w:tblGrid>
      <w:tr>
        <w:trPr/>
        <w:tc>
          <w:tcPr>
            <w:tcW w:w="3132"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receivable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76,274 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machinery and equipment, net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offering costs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92,423 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payable, current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current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repurchase liability</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 contingency</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non-current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Payable, non-current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$0.00001 par value; 250,000,000 shares authorized and 94,984,332 issued and outstanding as of March 31, 2023; 250,000,000 shares authorized and 84,441,153 issued and outstanding as of December 31, 2022</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(304,127)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92,423 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76" w:before="0" w:after="0"/>
        <w:jc w:val="center"/>
        <w:rPr/>
      </w:pPr>
      <w:r>
        <w:rPr>
          <w:rFonts w:ascii="Times New Roman;sans-serif" w:hAnsi="Times New Roman;sans-serif"/>
          <w:b w:val="false"/>
          <w:i/>
          <w:color w:val="000000"/>
          <w:sz w:val="20"/>
        </w:rPr>
        <w:t>(in thousands, except per share data)</w:t>
      </w:r>
      <w:r>
        <w:rPr>
          <w:color w:val="000000"/>
        </w:rPr>
        <w:t xml:space="preserve"> </w:t>
      </w:r>
    </w:p>
    <w:tbl>
      <w:tblPr>
        <w:tblW w:w="8829" w:type="dxa"/>
        <w:jc w:val="center"/>
        <w:tblInd w:w="0" w:type="dxa"/>
        <w:tblLayout w:type="fixed"/>
        <w:tblCellMar>
          <w:top w:w="28" w:type="dxa"/>
          <w:left w:w="28" w:type="dxa"/>
          <w:bottom w:w="28" w:type="dxa"/>
          <w:right w:w="28" w:type="dxa"/>
        </w:tblCellMar>
      </w:tblPr>
      <w:tblGrid>
        <w:gridCol w:w="1542"/>
        <w:gridCol w:w="1355"/>
        <w:gridCol w:w="1362"/>
        <w:gridCol w:w="109"/>
        <w:gridCol w:w="109"/>
        <w:gridCol w:w="228"/>
        <w:gridCol w:w="228"/>
        <w:gridCol w:w="441"/>
        <w:gridCol w:w="1665"/>
        <w:gridCol w:w="228"/>
        <w:gridCol w:w="109"/>
        <w:gridCol w:w="109"/>
        <w:gridCol w:w="109"/>
        <w:gridCol w:w="240"/>
        <w:gridCol w:w="841"/>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562" w:type="dxa"/>
            <w:gridSpan w:val="6"/>
            <w:tcBorders/>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(20,367)</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disposal of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fully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87,559,611 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79,958,383 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fully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87,559,611 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79,958,383 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76" w:before="0" w:after="0"/>
        <w:jc w:val="center"/>
        <w:rPr/>
      </w:pPr>
      <w:r>
        <w:rPr>
          <w:rFonts w:ascii="Times New Roman;sans-serif" w:hAnsi="Times New Roman;sans-serif"/>
          <w:b w:val="false"/>
          <w:i/>
          <w:color w:val="000000"/>
          <w:sz w:val="20"/>
        </w:rPr>
        <w:t>(in thousands, except share data)</w:t>
      </w:r>
      <w:r>
        <w:rPr>
          <w:color w:val="000000"/>
        </w:rPr>
        <w:t xml:space="preserve"> </w:t>
      </w:r>
    </w:p>
    <w:p>
      <w:pPr>
        <w:pStyle w:val="TextBody"/>
        <w:bidi w:val="0"/>
        <w:spacing w:before="0" w:after="0"/>
        <w:jc w:val="center"/>
        <w:rPr/>
      </w:pPr>
      <w:r>
        <w:rPr/>
      </w:r>
    </w:p>
    <w:tbl>
      <w:tblPr>
        <w:tblW w:w="14633" w:type="dxa"/>
        <w:jc w:val="center"/>
        <w:tblInd w:w="0" w:type="dxa"/>
        <w:tblLayout w:type="fixed"/>
        <w:tblCellMar>
          <w:top w:w="28" w:type="dxa"/>
          <w:left w:w="28" w:type="dxa"/>
          <w:bottom w:w="28" w:type="dxa"/>
          <w:right w:w="28" w:type="dxa"/>
        </w:tblCellMar>
      </w:tblPr>
      <w:tblGrid>
        <w:gridCol w:w="839"/>
        <w:gridCol w:w="263"/>
        <w:gridCol w:w="264"/>
        <w:gridCol w:w="109"/>
        <w:gridCol w:w="109"/>
        <w:gridCol w:w="109"/>
        <w:gridCol w:w="109"/>
        <w:gridCol w:w="109"/>
        <w:gridCol w:w="109"/>
        <w:gridCol w:w="109"/>
        <w:gridCol w:w="109"/>
        <w:gridCol w:w="109"/>
        <w:gridCol w:w="109"/>
        <w:gridCol w:w="295"/>
        <w:gridCol w:w="295"/>
        <w:gridCol w:w="296"/>
        <w:gridCol w:w="109"/>
        <w:gridCol w:w="1006"/>
        <w:gridCol w:w="109"/>
        <w:gridCol w:w="1216"/>
        <w:gridCol w:w="109"/>
        <w:gridCol w:w="1231"/>
        <w:gridCol w:w="109"/>
        <w:gridCol w:w="487"/>
        <w:gridCol w:w="489"/>
        <w:gridCol w:w="346"/>
        <w:gridCol w:w="109"/>
        <w:gridCol w:w="109"/>
        <w:gridCol w:w="109"/>
        <w:gridCol w:w="211"/>
        <w:gridCol w:w="256"/>
        <w:gridCol w:w="109"/>
        <w:gridCol w:w="225"/>
        <w:gridCol w:w="225"/>
        <w:gridCol w:w="226"/>
        <w:gridCol w:w="211"/>
        <w:gridCol w:w="826"/>
        <w:gridCol w:w="109"/>
        <w:gridCol w:w="260"/>
        <w:gridCol w:w="260"/>
        <w:gridCol w:w="261"/>
        <w:gridCol w:w="211"/>
        <w:gridCol w:w="841"/>
        <w:gridCol w:w="109"/>
        <w:gridCol w:w="109"/>
        <w:gridCol w:w="109"/>
        <w:gridCol w:w="109"/>
        <w:gridCol w:w="211"/>
        <w:gridCol w:w="721"/>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Common stock – </w:t>
              <w:br/>
              <w:t>Class 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 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7511" w:type="dxa"/>
            <w:gridSpan w:val="28"/>
            <w:tcBorders/>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84,441,153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370,287 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766,791 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related to Section 16 Officer tax coverage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(124,899)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 stock options, RSAs,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and related warrants in registered offering,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9,396,000 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non-employees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94,984,332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(324,952)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4483" w:type="dxa"/>
        <w:jc w:val="center"/>
        <w:tblInd w:w="0" w:type="dxa"/>
        <w:tblLayout w:type="fixed"/>
        <w:tblCellMar>
          <w:top w:w="28" w:type="dxa"/>
          <w:left w:w="28" w:type="dxa"/>
          <w:bottom w:w="28" w:type="dxa"/>
          <w:right w:w="28" w:type="dxa"/>
        </w:tblCellMar>
      </w:tblPr>
      <w:tblGrid>
        <w:gridCol w:w="734"/>
        <w:gridCol w:w="263"/>
        <w:gridCol w:w="264"/>
        <w:gridCol w:w="109"/>
        <w:gridCol w:w="109"/>
        <w:gridCol w:w="109"/>
        <w:gridCol w:w="109"/>
        <w:gridCol w:w="109"/>
        <w:gridCol w:w="109"/>
        <w:gridCol w:w="109"/>
        <w:gridCol w:w="109"/>
        <w:gridCol w:w="109"/>
        <w:gridCol w:w="109"/>
        <w:gridCol w:w="295"/>
        <w:gridCol w:w="295"/>
        <w:gridCol w:w="296"/>
        <w:gridCol w:w="109"/>
        <w:gridCol w:w="1006"/>
        <w:gridCol w:w="109"/>
        <w:gridCol w:w="1216"/>
        <w:gridCol w:w="109"/>
        <w:gridCol w:w="1231"/>
        <w:gridCol w:w="109"/>
        <w:gridCol w:w="413"/>
        <w:gridCol w:w="413"/>
        <w:gridCol w:w="346"/>
        <w:gridCol w:w="109"/>
        <w:gridCol w:w="109"/>
        <w:gridCol w:w="109"/>
        <w:gridCol w:w="211"/>
        <w:gridCol w:w="256"/>
        <w:gridCol w:w="109"/>
        <w:gridCol w:w="225"/>
        <w:gridCol w:w="225"/>
        <w:gridCol w:w="226"/>
        <w:gridCol w:w="211"/>
        <w:gridCol w:w="826"/>
        <w:gridCol w:w="109"/>
        <w:gridCol w:w="260"/>
        <w:gridCol w:w="260"/>
        <w:gridCol w:w="261"/>
        <w:gridCol w:w="211"/>
        <w:gridCol w:w="841"/>
        <w:gridCol w:w="109"/>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Common stock – </w:t>
              <w:br/>
              <w:t>Class 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 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7466" w:type="dxa"/>
            <w:gridSpan w:val="28"/>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81,211,781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170,751 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113,710 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related to Section 16 Officer tax coverage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 stock options and RSAs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upon exercise of warrant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278,146 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81,755,715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336,771 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(235,517)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MOMENTUS INC.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76" w:before="0" w:after="0"/>
        <w:jc w:val="center"/>
        <w:rPr/>
      </w:pPr>
      <w:r>
        <w:rPr>
          <w:rFonts w:ascii="Times New Roman;sans-serif" w:hAnsi="Times New Roman;sans-serif"/>
          <w:b w:val="false"/>
          <w:i/>
          <w:color w:val="000000"/>
          <w:sz w:val="20"/>
        </w:rPr>
        <w:t>(in thousands)</w:t>
      </w:r>
      <w:r>
        <w:rPr>
          <w:color w:val="000000"/>
        </w:rPr>
        <w:t xml:space="preserve"> </w:t>
      </w:r>
    </w:p>
    <w:tbl>
      <w:tblPr>
        <w:tblW w:w="8563" w:type="dxa"/>
        <w:jc w:val="center"/>
        <w:tblInd w:w="0" w:type="dxa"/>
        <w:tblLayout w:type="fixed"/>
        <w:tblCellMar>
          <w:top w:w="28" w:type="dxa"/>
          <w:left w:w="28" w:type="dxa"/>
          <w:bottom w:w="28" w:type="dxa"/>
          <w:right w:w="28" w:type="dxa"/>
        </w:tblCellMar>
      </w:tblPr>
      <w:tblGrid>
        <w:gridCol w:w="2215"/>
        <w:gridCol w:w="1950"/>
        <w:gridCol w:w="1955"/>
        <w:gridCol w:w="196"/>
        <w:gridCol w:w="723"/>
        <w:gridCol w:w="109"/>
        <w:gridCol w:w="109"/>
        <w:gridCol w:w="109"/>
        <w:gridCol w:w="109"/>
        <w:gridCol w:w="196"/>
        <w:gridCol w:w="738"/>
        <w:gridCol w:w="154"/>
      </w:tblGrid>
      <w:tr>
        <w:trPr/>
        <w:tc>
          <w:tcPr>
            <w:tcW w:w="2215"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discount and issuance costs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right-of-use asset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warrant liability</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machinery, equipment and intangible assets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consulting expense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Prepaids and other current assets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liability</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operating activities</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machinery and equipment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intangible assets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Section 16 Officer shares for tax coverage exchange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loan payable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deferred offering costs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repurchase of common shares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and related warrants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issuance costs related to common stock and related warrants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financing activities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 cash, cash equivalents and restricted cash</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and financing activities</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intangibles assets in accounts payable and accrued expenses at period end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offering costs in accounts payable and accrued expenses at period end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repurchase liability 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Nature of Operations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Momentus Inc. (together with its consolidated subsidiaries “Momentus” or the “Company”) is a U.S. commercial space company that offers in-space infrastructure services, including in-space transportation, hosted payloads and in-orbit services. Momentus believes it can make new ways of operating in space possible with its planned in-space transfer and service vehicles that will be powered by an innovative water plasma-based propulsion system that is under development.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May 25, 2022, the Company launched its Vigoride 3 Orbital Service Vehicle (OSV) to low-earth orbit aboard the SpaceX Transporter-5 mission. In addition to Vigoride 3, Momentus used a second port on the same SpaceX mission to fly a third-party deployer from a partner company. Momentus deployed a total of eight customer satellites in low-earth orbit during its inaugural mission, comprising seven satellites from Vigoride 3 and one satellite from the third-party deployer system. The Company incorporated improvements identified during its inaugural mission in advance of its first follow-on mission and other planned follow-on missions.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2023, the Company launched its Vigoride 5 OSV to low-earth orbit aboard the SpaceX Transporter-6 mission. The mission is ongoing and the Vigoride 5 OSV is maneuvering under its own power in low-earth orbit. While Vigoride 5 is carrying two customer payloads, the primary mission objective is to test the spacecraft on orbit, learn from any issues that are encountered and implement lessons learned on future Vigoride vehicles and missions.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Vigoride 5 mission, we successfully completed the initial tests on-orbit of the pioneering Microwave Electrothermal Thruster (MET) that relies on solar power and uses distilled water as a propellant. The MET is the Vigoride OSV’s primary propulsion method that produces thrust by expelling extremely hot gases through a rocket nozzle. Unlike a conventional chemical rocket engine, which creates thrust through a chemical reaction, the MET is designed to create a plasma and thrust using solar power to drive a microwave energy source that heats the water propellant. Momentus has two patents in support of this proprietary propulsion technology.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recent MET testing done on-orbit included dozens of firings of the thruster that imparted forces on the Vigoride 5 spacecraft. These forces can change the orbital velocity of the spacecraft, allowing the orbit to be adjusted, changing parameters such as altitude and orbital inclination. This capability allows Momentus to deliver its customers’ payloads to custom orbits. Momentus has used the MET to change the spacecraft altitude during the current Vigoride 5 mission.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Vigoride OSV’s Attitude Control and Reaction Control Systems also use water as a propellant and were recently tested and fully commissioned. With its water-based propulsion systems, Momentus aims to offer cost-effective, efficient, safe, and environmentally friendly propulsion to meet the demands for in-space transportation and infrastructure services.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15, 2023, the Company launched its Vigoride 6 OSV to low-earth orbit aboard the SpaceX Transporter-7 mission. Momentus established contact with its Vigoride 6 vehicle and confirmed that both solar arrays deployed, and the vehicle continues generating power and charging its batteries. Vigoride-6 is providing orbital delivery services for six customer payloads, including a higher delta-v delivery of two satellites to custom orbits for the NASA LLITED mission. Momentus plans to use its MET to change the orbital inclination of the Vigoride 6 OSV to support these deliveries.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Vigoride 6 mission is also hosting a Momentus technology demonstration of a new kind of solar array. The Tape Spring Solar Array (TASSA) technology features large sheets of flexible solar cells bonded to tape springs. To stow, they are tightly coiled around a mandrel. After launch, motors unroll the mandrel, deploying the solar array. Momentus aims to drive down vehicle production costs and streamline on-orbit operations, while reducing the cost of power for the satellite, with this technology once operational.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Momentus has entered a new phase by operating two spacecraft in orbit concurrently as the Company continues to grow its capabilities. The Company anticipates flying one additional mission with its Vigoride OSV during 2023. All future missions remain subject to the receipt of licenses and government approvals, and the successful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completion of our efforts to prepare our spacecraft for flight. The Company can offer no assurances that the vehicles that it plans to operate in the future missions will be ready on time, or that they will operate as intended.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Business Combination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(“First Merger Sub”), and Project Marvel Second Merger Sub, LLC, a Delaware limited liability company and a direct, wholly 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(“Closing”), the Company changed its name from Stable Road Acquisition Corp. to Momentus Inc., and Legacy Momentus changed its name to Momentus Space, LLC. </w:t>
      </w:r>
    </w:p>
    <w:p>
      <w:pPr>
        <w:pStyle w:val="TextBody"/>
        <w:bidi w:val="0"/>
        <w:spacing w:lineRule="auto" w:line="288" w:before="160" w:after="283"/>
        <w:jc w:val="both"/>
        <w:rPr/>
      </w:pPr>
      <w:r>
        <w:rPr>
          <w:rFonts w:ascii="Times New Roman;sans-serif" w:hAnsi="Times New Roman;sans-serif"/>
          <w:b w:val="false"/>
          <w:color w:val="000000"/>
          <w:sz w:val="20"/>
        </w:rPr>
        <w:t xml:space="preserve">The Business Combination was accounted for as a reverse recapitalization under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with SRAC and its two wholly owned subsidiaries. The Company received gross proceeds of $247.3 million upon the closing of the Business Combination. Public and private warrants of SRAC were assumed by the Company as a result of the Business Combination. See Note 9 for additional information.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Going Concern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ability to continue as a going concern is dependent on the Company’s ability to generate revenues and raise capital. To date, the Company has not generated sufficient revenues to provide cash flows that enable the Company to finance its operations internally. The Company incurred a net loss of $20.8 million for the three months ended March 31, 2023 and had an accumulated deficit of $325.0 million as of March 31, 2023. Additionally, the Company used net cash of $18.7 million to fund its operating activities for the three months ended March 31, 2023, and had cash and cash equivalents of $38.6 million as of March 31, 2023.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each reporting period, the Company’s management evaluates whether there are conditions or events that raise substantial doubt about the Company’s ability to continue as a going concern within twelve months after the date that the financial statements are issued. The evaluation entails analyzing prospective operating budgets and forecasts for expectations of the Company’s cash needs and comparing those needs to the current cash and cash equivalent balances.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preparation of the condensed consolidated financial statements for the quarterly period ended March 31, 2023, management conducted such an evaluation and concluded there were conditions and events, considered in the aggregate, which raised substantial doubt as to the Company’s ability to continue as a going concern within twelve months after the date of the issuance of such financial statements. However, through management’s evaluation of our strategic business plan, management identified conditions and events that it believes mitigate and alleviate the substantial doubt about the Company’s ability to continue as a going concern.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Going forward, management expects to continue driving bookings and revenue growth, implement a plan management has developed to further reduce our operating expenses, and resolve certain outstanding legal matters. However, there can be no assurance that the Company will be able to achieve these plans, or that these plans will be successful in permitting the Company to continue as a going concern while the Company pursues additional capital to finance its operations.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on a going concern basis of accounting, which contemplates continuity of operations and the realization of assets and the settlement of liabilities in the normal course of business. The accompanying condensed consolidated financial statements do not reflect any adjustments that might result if the Company is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Unaudited Interim Financial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unaudited condensed consolidated financial statements have been prepared in accordance with GAAP and pursuant to the rules and regulations of the U.S. Securities and Exchange Commission (the “SEC”). Certain information and footnote disclosures normally included in financial statements prepared in accordance with GAAP have been condensed or omitted pursuant to such rules and regulations. The balance sheet as of December 31, 2022 was derived from the Company’s audited financial statements but does not include all disclosures required by GAAP for audited financial statements. Any reference in these notes to applicable guidance is meant to refer to the authoritative GAAP as found in the Accounting Standards Codification (“ASC”) and Accounting Standards Update (“ASU”) of the Financial Accounting Standards Board (the “FASB”).</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interim condensed consolidated financial statements have been prepared on the same basis as the audited financial statements. The accompanying unaudited interim condensed consolidated financial statements contain all adjustments that are necessary to present fairly the Company’s financial position as of March 31, 2023 and December 31, 2022, the results of operations for the three months ended March 31, 2023 and 2022, the statement of stockholders’ equity for the three months ended March 31, 2023 and 2022, and cash flows for the three months ended March 31, 2023 and 2022. Such adjustments are of a normal and recurring nature. The results for the three months ended March 31, 2023 are not necessarily indicative of the results for the year ending December 31, 2023, or for any future period. These interim condensed consolidated financial statements should be read in conjunction with the audited financial statements as of and for the years ended December 31, 2022 and 2021, filed with the SEC in our Annual Report on Form 10-K filed by the Company on March 8, 2023.</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the prior year’s condensed consolidated financial statements to conform to the current year’s presentation. None of the reclassifications have changed the total assets, liabilities, stockholders’ equity, income, expenses or net losses previously reported.</w:t>
      </w:r>
    </w:p>
    <w:p>
      <w:pPr>
        <w:pStyle w:val="TextBody"/>
        <w:bidi w:val="0"/>
        <w:spacing w:lineRule="auto" w:line="288" w:before="160" w:after="283"/>
        <w:jc w:val="both"/>
        <w:rPr/>
      </w:pPr>
      <w:r>
        <w:rPr>
          <w:rFonts w:ascii="Times New Roman;sans-serif" w:hAnsi="Times New Roman;sans-serif"/>
          <w:b/>
          <w:i/>
          <w:color w:val="000000"/>
          <w:sz w:val="20"/>
        </w:rPr>
        <w:t>Principles of Consolidation</w:t>
      </w:r>
      <w:r>
        <w:rPr>
          <w:color w:val="000000"/>
        </w:rPr>
        <w:t xml:space="preserv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financial statements of all the subsidiaries. All inter-company transactions and balances have been eliminated upon consolidation.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in the condensed consolidated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condensed consolidated financial statements include, but are not limited to, accounting for useful lives of property, machinery and equipment, net, intangible assets, net, accrued liabilities, leases, income taxes including deferred tax assets and liabilities, impairment valuation, stock-based compensation, warrant liabilities and repurchase liabilities.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Emerging Growth Company Status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and has elected to take advantage of the benefits of the extended transition period for new or revised financial accounting standards. The Company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the Company after the consummation of the Business Combination has total annual gross revenue of $1.07 billion or more during such fiscal year (as indexed for inflation), (iii) the date on which the Company has issued more than $1 billion in non-convertible debt in the prior three-year period or (iv) December 31, 2024. The Company expects to continue to take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advantage of the benefits of the extended transition period, although it may decide to early adopt such new or revised accounting standards to the extent permitted by such standards.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on hand, cash in bank with no restrictions, as well as highly liquid investments which are unrestricted as to withdrawal or use, and which have remaining maturities of three months or less when initially purchased.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primarily represents deposited cash that is restricted by financial institutions for two purposes. $0.4 million is restricted as collateral for a letter of credit issued to the Company’s landlord in accordance with the terms of a lease agreement entered into in December 2020, and is classified as a non-current asset as it will be returned to the Company upon the occurrence of future events which are expected to occur beyond one year from March 31, 2023. The remaining $0.9 million is restricted for expenditures related to the NSA. See Note 12 for additional information.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Deferred Fulfillment and Prepaid Launch Costs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prepays for certain launch costs to third-party providers that will carry the transport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had $6.9 million and $7.4 million, respectively, of deferred fulfillment and prepaid launch costs recorded within prepaids and other current assets and other non-current assets in the accompanying condensed consolidated balance sheets.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Property, Machinery and Equipment, net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tbl>
      <w:tblPr>
        <w:tblW w:w="9115" w:type="dxa"/>
        <w:jc w:val="left"/>
        <w:tblInd w:w="0" w:type="dxa"/>
        <w:tblLayout w:type="fixed"/>
        <w:tblCellMar>
          <w:top w:w="28" w:type="dxa"/>
          <w:left w:w="28" w:type="dxa"/>
          <w:bottom w:w="28" w:type="dxa"/>
          <w:right w:w="28" w:type="dxa"/>
        </w:tblCellMar>
      </w:tblPr>
      <w:tblGrid>
        <w:gridCol w:w="820"/>
        <w:gridCol w:w="719"/>
        <w:gridCol w:w="725"/>
        <w:gridCol w:w="109"/>
        <w:gridCol w:w="109"/>
        <w:gridCol w:w="109"/>
        <w:gridCol w:w="1906"/>
        <w:gridCol w:w="1906"/>
        <w:gridCol w:w="2712"/>
      </w:tblGrid>
      <w:tr>
        <w:trPr/>
        <w:tc>
          <w:tcPr>
            <w:tcW w:w="8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Fixed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Estimated Useful Life</w:t>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Lesser of estimated useful life or remaining lease term (one year to seven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 years</w:t>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of maintenance or repairs that do not extend the lives of the respective assets are charged to expenses as incurred.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patents and are reported at cost less accumulated amortization and accumulated impairment loss, if any. Amortization is recognized on a straight-line basis over 10 years for patents, which is the estimated useful lives of the intangible assets.</w:t>
      </w:r>
    </w:p>
    <w:p>
      <w:pPr>
        <w:pStyle w:val="TextBody"/>
        <w:bidi w:val="0"/>
        <w:spacing w:lineRule="auto" w:line="288" w:before="160" w:after="160"/>
        <w:jc w:val="both"/>
        <w:rPr/>
      </w:pPr>
      <w:r>
        <w:rPr>
          <w:rFonts w:ascii="Times New Roman;sans-serif" w:hAnsi="Times New Roman;sans-serif"/>
          <w:b w:val="false"/>
          <w:color w:val="000000"/>
          <w:sz w:val="20"/>
        </w:rPr>
        <w:t xml:space="preserve">In accordance with ASC 350, </w:t>
      </w:r>
      <w:r>
        <w:rPr>
          <w:rFonts w:ascii="Times New Roman;sans-serif" w:hAnsi="Times New Roman;sans-serif"/>
          <w:b w:val="false"/>
          <w:i/>
          <w:color w:val="000000"/>
          <w:sz w:val="20"/>
        </w:rPr>
        <w:t>Intangibles</w:t>
      </w:r>
      <w:r>
        <w:rPr>
          <w:rFonts w:ascii="Times New Roman;sans-serif" w:hAnsi="Times New Roman;sans-serif"/>
          <w:b w:val="false"/>
          <w:color w:val="000000"/>
          <w:sz w:val="20"/>
        </w:rPr>
        <w:t>, the Company presents capitalized implementation costs for cloud computing arrangements within prepaid and other current assets, and other non-current assets to properly present the capitalized costs with their related subscription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Deferred Offering Costs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Offering costs consist of legal, accounting, underwriting fees and other costs incurred that are directly related to fundraising activities. During the year ended December 31, 2022, and the three months ended March 31, 2023, deferred offering costs were attributable to the Company’s S-3 Universal Shelf registration (the “Form S-3”) and the at-the-market offering program and Securities Purchase Agreement. These costs will be netted with the proceeds proportional to the at-the-market program fundraising and any future fundraising under the "Form S-3". Refer to Note 9 for additional information.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Loss Contingencies</w:t>
      </w:r>
    </w:p>
    <w:p>
      <w:pPr>
        <w:pStyle w:val="TextBody"/>
        <w:bidi w:val="0"/>
        <w:spacing w:lineRule="auto" w:line="288" w:before="160" w:after="160"/>
        <w:jc w:val="both"/>
        <w:rPr/>
      </w:pPr>
      <w:r>
        <w:rPr>
          <w:rFonts w:ascii="Times New Roman;sans-serif" w:hAnsi="Times New Roman;sans-serif"/>
          <w:b w:val="false"/>
          <w:color w:val="000000"/>
          <w:sz w:val="20"/>
        </w:rPr>
        <w:t xml:space="preserve">The Company estimates loss contingencies in accordance with ASC 450-20, </w:t>
      </w:r>
      <w:r>
        <w:rPr>
          <w:rFonts w:ascii="Times New Roman;sans-serif" w:hAnsi="Times New Roman;sans-serif"/>
          <w:b w:val="false"/>
          <w:i/>
          <w:color w:val="000000"/>
          <w:sz w:val="20"/>
        </w:rPr>
        <w:t>Loss Contingencies</w:t>
      </w:r>
      <w:r>
        <w:rPr>
          <w:color w:val="000000"/>
        </w:rPr>
        <w:t xml:space="preserve"> </w:t>
      </w:r>
      <w:r>
        <w:rPr>
          <w:rFonts w:ascii="Times New Roman;sans-serif" w:hAnsi="Times New Roman;sans-serif"/>
          <w:b w:val="false"/>
          <w:color w:val="000000"/>
          <w:sz w:val="20"/>
        </w:rPr>
        <w:t>(“ASC 450-20”), which states that a loss contingency shall be accrued by a charge to income if both of the following conditions are met: (i) information available before the condensed consolidated financial statements are issued or are available to be issued indicates that it is probable that a liability had been incurred at the date of the condensed consolidated financial statements and (ii) the amount of loss can be reasonably estimated. We regularly evaluate current information available to us to determine whether such accruals should be adjusted and whether new accruals are required. Refer to</w:t>
      </w:r>
      <w:r>
        <w:rPr>
          <w:color w:val="000000"/>
        </w:rPr>
        <w:t xml:space="preserve"> </w:t>
      </w:r>
      <w:r>
        <w:rPr>
          <w:rFonts w:ascii="Times New Roman;sans-serif" w:hAnsi="Times New Roman;sans-serif"/>
          <w:b w:val="false"/>
          <w:color w:val="000000"/>
          <w:sz w:val="20"/>
        </w:rPr>
        <w:t>Note 12 for additional information.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short-term contracts for ‘last-mile’ satellite and cargo delivery, payload hosting and in-orbit servicing options with customers that are primarily in the aerospace industry. The Company recognizes revenue (along with any other fees that have been paid) at a point in time, upon satisfaction of the Company’s performance obligation. For transportation services, the performance obligation is satisfied when the customer is delivered to their designated orbit.</w:t>
      </w:r>
    </w:p>
    <w:p>
      <w:pPr>
        <w:pStyle w:val="TextBody"/>
        <w:bidi w:val="0"/>
        <w:spacing w:lineRule="auto" w:line="288" w:before="160" w:after="160"/>
        <w:jc w:val="both"/>
        <w:rPr/>
      </w:pPr>
      <w:r>
        <w:rPr>
          <w:rFonts w:ascii="Times New Roman;sans-serif" w:hAnsi="Times New Roman;sans-serif"/>
          <w:b w:val="false"/>
          <w:color w:val="000000"/>
          <w:sz w:val="20"/>
        </w:rPr>
        <w:t>The Company accounts for customer contracts in accordance with ASC 606,</w:t>
      </w:r>
      <w:r>
        <w:rPr>
          <w:color w:val="000000"/>
        </w:rPr>
        <w:t xml:space="preserve">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606”), which includes the following five-step model:</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pStyle w:val="TextBody"/>
        <w:bidi w:val="0"/>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its contracts with customers, the Company collects up-front non-refundable deposits prior to launch. As of March 31, 2023, and December 31, 2022, the Company had customer deposit balances of $3.2 million and $2.7 million, respectively, related to signed contracts with customers, including firm orders and options (some of which have already been exercised by customers). These deposits are recorded as current and non-current contract liabilities in the Company’s condensed consolidated balance sheets. Included in the collected amount as of March 31, 2023 and December 31, 2022 are $1.0 million and $1.0 million, respectively, of non-current deposits.</w:t>
      </w:r>
    </w:p>
    <w:p>
      <w:pPr>
        <w:pStyle w:val="TextBody"/>
        <w:bidi w:val="0"/>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recognized $22,000 of revenue, due to forfeited customer deposits primarily related to expired options. No revenue was recognized during the three months ended March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pStyle w:val="TextBody"/>
        <w:bidi w:val="0"/>
        <w:spacing w:lineRule="auto" w:line="288" w:before="160" w:after="160"/>
        <w:ind w:left="0" w:right="0" w:hanging="180"/>
        <w:jc w:val="both"/>
        <w:rPr/>
      </w:pPr>
      <w:r>
        <w:rPr>
          <w:color w:val="000000"/>
        </w:rPr>
        <w:t>•</w:t>
      </w:r>
      <w:r>
        <w:rPr>
          <w:rFonts w:ascii="Times New Roman;sans-serif" w:hAnsi="Times New Roman;sans-serif"/>
          <w:b w:val="false"/>
          <w:color w:val="000000"/>
          <w:sz w:val="20"/>
        </w:rPr>
        <w:t>Level 1, observable inputs such as quoted prices in active markets;</w:t>
      </w:r>
    </w:p>
    <w:p>
      <w:pPr>
        <w:pStyle w:val="TextBody"/>
        <w:bidi w:val="0"/>
        <w:spacing w:lineRule="auto" w:line="288" w:before="160" w:after="160"/>
        <w:ind w:left="0" w:right="0" w:hanging="180"/>
        <w:jc w:val="both"/>
        <w:rPr/>
      </w:pPr>
      <w:r>
        <w:rPr>
          <w:color w:val="000000"/>
        </w:rPr>
        <w:t>•</w:t>
      </w:r>
      <w:r>
        <w:rPr>
          <w:rFonts w:ascii="Times New Roman;sans-serif" w:hAnsi="Times New Roman;sans-serif"/>
          <w:b w:val="false"/>
          <w:color w:val="000000"/>
          <w:sz w:val="20"/>
        </w:rPr>
        <w:t>Level 2, inputs other than the quoted prices in active markets that are observable either directly or indirectly; and</w:t>
      </w:r>
    </w:p>
    <w:p>
      <w:pPr>
        <w:pStyle w:val="TextBody"/>
        <w:bidi w:val="0"/>
        <w:spacing w:lineRule="auto" w:line="288" w:before="160" w:after="160"/>
        <w:ind w:left="0" w:right="0" w:hanging="180"/>
        <w:jc w:val="both"/>
        <w:rPr/>
      </w:pPr>
      <w:r>
        <w:rPr>
          <w:color w:val="000000"/>
        </w:rPr>
        <w:t>•</w:t>
      </w:r>
      <w:r>
        <w:rPr>
          <w:rFonts w:ascii="Times New Roman;sans-serif" w:hAnsi="Times New Roman;sans-serif"/>
          <w:b w:val="false"/>
          <w:color w:val="000000"/>
          <w:sz w:val="20"/>
        </w:rPr>
        <w:t>Level 3, unobservable inputs in which there is little or no market data, which requires that the Company develop its own assumptions.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three months ended March 31, 2023 and 2022.</w:t>
      </w:r>
    </w:p>
    <w:p>
      <w:pPr>
        <w:pStyle w:val="TextBody"/>
        <w:bidi w:val="0"/>
        <w:spacing w:lineRule="auto" w:line="288" w:before="160" w:after="160"/>
        <w:jc w:val="both"/>
        <w:rPr/>
      </w:pPr>
      <w:r>
        <w:rPr>
          <w:rFonts w:ascii="Times New Roman;sans-serif" w:hAnsi="Times New Roman;sans-serif"/>
          <w:b w:val="false"/>
          <w:color w:val="000000"/>
          <w:sz w:val="20"/>
        </w:rPr>
        <w:t>The Company’s warrants are recorded as a derivative liability pursuant to ASC 815,</w:t>
      </w:r>
      <w:r>
        <w:rPr>
          <w:color w:val="000000"/>
        </w:rPr>
        <w:t xml:space="preserve">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 xml:space="preserve">(“ASC 815”), and are classified within Level 3 of the fair value hierarchy as the Company is using the Black Scholes Option Pricing model. The primary significant unobservable input used in the valuation of the warrants is expected stock price volatility. Expected stock price volatility is based on the actual historical volatility of a group of comparable publicly traded companies observed over a historical period equal to the expected remaining life of the warrants. The risk-free interest rate is based on the U.S. Treasury yield curve in effect on the date of valuation equal to the remaining expected life of the warrants. The expected term was based on the maturity of the warrants, which is 5 years. The dividend yield percentage is zero because the Company does not currently pay dividends, nor does it intend to do so during the expected term of the warrants. Upon conversion of the Legacy Momentus private warrants immediately prior to the business combination, the key valuation input was the closing price of Company’s Common Stock on the Closing Date, as the expected term and volatility were immaterial to the pricing model. </w:t>
      </w:r>
    </w:p>
    <w:p>
      <w:pPr>
        <w:pStyle w:val="TextBody"/>
        <w:bidi w:val="0"/>
        <w:spacing w:lineRule="auto" w:line="288" w:before="160" w:after="160"/>
        <w:jc w:val="both"/>
        <w:rPr/>
      </w:pPr>
      <w:r>
        <w:rPr>
          <w:rFonts w:ascii="Times New Roman;sans-serif" w:hAnsi="Times New Roman;sans-serif"/>
          <w:b w:val="false"/>
          <w:color w:val="000000"/>
          <w:sz w:val="20"/>
        </w:rPr>
        <w:t xml:space="preserve">The Company’s performance awards under the equity incentive plans are recorded as contingent liabilities pursuant to ASC 480, </w:t>
      </w:r>
      <w:r>
        <w:rPr>
          <w:rFonts w:ascii="Times New Roman;sans-serif" w:hAnsi="Times New Roman;sans-serif"/>
          <w:b w:val="false"/>
          <w:i/>
          <w:color w:val="000000"/>
          <w:sz w:val="20"/>
        </w:rPr>
        <w:t>Distinguishing Liabilities from Equity</w:t>
      </w:r>
      <w:r>
        <w:rPr>
          <w:color w:val="000000"/>
        </w:rPr>
        <w:t xml:space="preserve"> </w:t>
      </w:r>
      <w:r>
        <w:rPr>
          <w:rFonts w:ascii="Times New Roman;sans-serif" w:hAnsi="Times New Roman;sans-serif"/>
          <w:b w:val="false"/>
          <w:color w:val="000000"/>
          <w:sz w:val="20"/>
        </w:rPr>
        <w:t>(“ASC 480”), measured at fair value. The performance awards are classified within Level 3 of the hierarchy as the fair value is dependent on management assumptions about the likelihood of non-market outcomes. See</w:t>
      </w:r>
      <w:r>
        <w:rPr>
          <w:color w:val="000000"/>
        </w:rPr>
        <w:t xml:space="preserve"> </w:t>
      </w:r>
      <w:r>
        <w:rPr>
          <w:rFonts w:ascii="Times New Roman;sans-serif" w:hAnsi="Times New Roman;sans-serif"/>
          <w:b w:val="false"/>
          <w:color w:val="000000"/>
          <w:sz w:val="20"/>
        </w:rPr>
        <w:t>Note 10 for additional information.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stock repurchase agreements with the Co-Founders (see Note 12 for additional information) are recorded as contingent liabilities pursuant to ASC 480, measured at fair value. The stock repurchase agreements are classified within Level 3 of the hierarchy as the fair value is dependent on management assumptions about the likelihood of non-market outcomes. The Company paid $10.0 million to satisfy the stock repurchase agreement contingent liabilities during the three months ended March 31, 2023 (see Note 9 for additional information). There were no transfers between levels of input during the three months ended March 31, 2023 and 2022.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fair values of liabilities subject to recurring remeasurement were as follows:</w:t>
      </w:r>
    </w:p>
    <w:tbl>
      <w:tblPr>
        <w:tblW w:w="10205" w:type="dxa"/>
        <w:jc w:val="left"/>
        <w:tblInd w:w="0" w:type="dxa"/>
        <w:tblLayout w:type="fixed"/>
        <w:tblCellMar>
          <w:top w:w="28" w:type="dxa"/>
          <w:left w:w="28" w:type="dxa"/>
          <w:bottom w:w="28" w:type="dxa"/>
          <w:right w:w="28" w:type="dxa"/>
        </w:tblCellMar>
      </w:tblPr>
      <w:tblGrid>
        <w:gridCol w:w="551"/>
        <w:gridCol w:w="440"/>
        <w:gridCol w:w="444"/>
        <w:gridCol w:w="170"/>
        <w:gridCol w:w="170"/>
        <w:gridCol w:w="171"/>
        <w:gridCol w:w="109"/>
        <w:gridCol w:w="109"/>
        <w:gridCol w:w="109"/>
        <w:gridCol w:w="365"/>
        <w:gridCol w:w="1204"/>
        <w:gridCol w:w="203"/>
        <w:gridCol w:w="109"/>
        <w:gridCol w:w="109"/>
        <w:gridCol w:w="109"/>
        <w:gridCol w:w="109"/>
        <w:gridCol w:w="109"/>
        <w:gridCol w:w="376"/>
        <w:gridCol w:w="1382"/>
        <w:gridCol w:w="208"/>
        <w:gridCol w:w="109"/>
        <w:gridCol w:w="109"/>
        <w:gridCol w:w="109"/>
        <w:gridCol w:w="322"/>
        <w:gridCol w:w="692"/>
        <w:gridCol w:w="178"/>
        <w:gridCol w:w="109"/>
        <w:gridCol w:w="109"/>
        <w:gridCol w:w="109"/>
        <w:gridCol w:w="109"/>
        <w:gridCol w:w="109"/>
        <w:gridCol w:w="401"/>
        <w:gridCol w:w="862"/>
        <w:gridCol w:w="322"/>
      </w:tblGrid>
      <w:tr>
        <w:trPr/>
        <w:tc>
          <w:tcPr>
            <w:tcW w:w="55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of Stock Repurchase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 in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March 31, 2023</w:t>
            </w:r>
          </w:p>
        </w:tc>
      </w:tr>
      <w:tr>
        <w:trPr/>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Liability</w:t>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 Liability</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r>
      <w:tr>
        <w:trPr/>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Key assumptions for the Black-Scholes model used to determine the fair value of warrants outstanding as of March 31, 2023 were as follows:</w:t>
      </w:r>
    </w:p>
    <w:tbl>
      <w:tblPr>
        <w:tblW w:w="2687" w:type="dxa"/>
        <w:jc w:val="left"/>
        <w:tblInd w:w="0" w:type="dxa"/>
        <w:tblLayout w:type="fixed"/>
        <w:tblCellMar>
          <w:top w:w="28" w:type="dxa"/>
          <w:left w:w="28" w:type="dxa"/>
          <w:bottom w:w="28" w:type="dxa"/>
          <w:right w:w="28" w:type="dxa"/>
        </w:tblCellMar>
      </w:tblPr>
      <w:tblGrid>
        <w:gridCol w:w="635"/>
        <w:gridCol w:w="559"/>
        <w:gridCol w:w="561"/>
        <w:gridCol w:w="308"/>
        <w:gridCol w:w="308"/>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term (years)</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Warrant Liability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private warrants and stock purchase warrants are recorded as derivative liabilities pursuant to ASC 815 and are classified within Level 3 of the fair value hierarchy as the Company is using the Black Scholes Option Pricing model to calculate fair value. See Note 9 for additional information. Significant unobservable inputs, prior to the Company’s stock being publicly listed, included stock price, volatility and expected term. At the end of each reporting period, changes in fair value during the period are recognized as components of other income within the condensed consolidated statements of operations. The Company will continue to adjust the warrant liability for changes in fair value until the earlier of (i) the exercise or expiration of the warrants or (ii) the redemption of the warrants, at which time the warrants will be reclassified to additional paid-in capital within the condensed consolidated statements of stockholders’ equity.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warrants issued by Momentus Inc. prior to the Business Combination were exercised in connection with the Business Combination and as a result, the Company performed a fair value measurement of those warrants on the Closing Date and recorded the change in the instruments’ fair values prior to converting them to equity. The warrants assumed by the Company as a result of the Business Combination remain outstanding.</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and Private Warrants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SRAC issued 11,272,500 private placement warrants (“Private Warrants”) and 8,625,000 public warrants (“Public Warrants” and, together with the “Private Warrants”, “Warrants”). Each whole warrant entitles the holder to purchase one share of the Company’s common stock at a price of $11.50 per share, subject to adjustments and will expire five years after the Business Combination or earlier upon redemption or liquidation.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on the condensed consolidated balance sheet at fair value upon the Closing, with subsequent changes in the fair value recognized in the condensed consolidated statements of operations at each reporting date. The fair value of the Private Warrants was measured using the Black-Scholes option-pricing model at each measurement date.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Public Warrants are accounted for as equity classified by the Company. On consummation of the Business Combination, the Company recorded equity related to the Public Warrants of $20.2 million, with an offsetting entry to additional paid-in capital. Similarly, on the consummation of the Business Combination, the Company recorded a liability related to the Private Warrants of $31.2 million, with an offsetting entry to additional paid-in capital. </w:t>
      </w:r>
    </w:p>
    <w:p>
      <w:pPr>
        <w:pStyle w:val="TextBody"/>
        <w:bidi w:val="0"/>
        <w:spacing w:lineRule="auto" w:line="288" w:before="160" w:after="160"/>
        <w:jc w:val="both"/>
        <w:rPr/>
      </w:pPr>
      <w:r>
        <w:rPr>
          <w:rFonts w:ascii="Times New Roman;sans-serif" w:hAnsi="Times New Roman;sans-serif"/>
          <w:b w:val="false"/>
          <w:color w:val="000000"/>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815,</w:t>
      </w:r>
      <w:r>
        <w:rPr>
          <w:color w:val="000000"/>
        </w:rPr>
        <w:t xml:space="preserve"> </w:t>
      </w:r>
      <w:r>
        <w:rPr>
          <w:rFonts w:ascii="Times New Roman;sans-serif" w:hAnsi="Times New Roman;sans-serif"/>
          <w:b w:val="false"/>
          <w:color w:val="000000"/>
          <w:sz w:val="20"/>
        </w:rPr>
        <w:t>at the initial recognition.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the Public and Private Warrants noted above, the company also had other warrants issued and outstanding which were recognized as derivative liabilities in accordance with ASC 815 until they were fully exercised. Accordingly, the Company recognized the warrant instruments as liabilities at fair value and adjusts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instruments to fair value at each reporting period until exercised. The fair value of the warrant liabilities issued were initially measured using the Black- Scholes model and were subsequently remeasured at each reporting period with changes recorded as a component of other income in the Company’s condensed consolidated statements of operations. Derivative warrant liabilities are classified as non-current as their liquidation is not reasonably expected to require the use of current assets or require the creation of current liabilities. See Note 9 for additional information.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Basic and Diluted Loss Per Share</w:t>
      </w:r>
    </w:p>
    <w:p>
      <w:pPr>
        <w:pStyle w:val="TextBody"/>
        <w:bidi w:val="0"/>
        <w:spacing w:lineRule="auto" w:line="288" w:before="160" w:after="160"/>
        <w:jc w:val="both"/>
        <w:rPr/>
      </w:pPr>
      <w:r>
        <w:rPr>
          <w:rFonts w:ascii="Times New Roman;sans-serif" w:hAnsi="Times New Roman;sans-serif"/>
          <w:b w:val="false"/>
          <w:color w:val="000000"/>
          <w:sz w:val="20"/>
        </w:rPr>
        <w:t xml:space="preserve">Net loss per share is provided in accordance with FASB ASC 260-10,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Basic net loss per share is computed by dividing losses by the weighted average number of common shares outstanding during the period. Diluted loss per share gives effect to all dilutive potential common shares outstanding during the period. Diluted loss per share excludes all potential common shares if their effect is anti-dilutive. See Note 11 for additional information.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During the three months ended March 31, 2023 and 2022, there were immaterial impairments of long-lived assets. See Note 4 and Note 5 for additional information.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stock incentive plan under which equity awards are granted to employees, directors, and consultants. All stock-based payments are recognized in the condensed consolidated financial statements based on their respective grant date fair values.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Employee Stock Purchase Plan (“ESPP”) compensation fair value is also determined using the Black Scholes Merton Option Pricing model, using a six-month expected term to conform with the six month ESPP offering period.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equity awards is expensed over the related service period which is typically the vesting period, and expense is only recognized for awards that are expected to vest. The Company accounts for forfeitures as they occur.</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401(k) Plan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plan that it offers to its full-time employees. The Company did not contribute to the plan for the three months ended March 31, 2023 and 2022.</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Costs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material, and labor hours (both internal and subcontractors).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should be charged to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contains a lease at inception based on whether there is an identified property, plant or equipment and whether the Company controls the use of the identified asset throughout the period of use.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leases are included in the accompanying condensed consolidated balance sheets. Operating lease right-of-use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pStyle w:val="TextBody"/>
        <w:bidi w:val="0"/>
        <w:spacing w:lineRule="auto" w:line="288" w:before="160" w:after="160"/>
        <w:jc w:val="both"/>
        <w:rPr/>
      </w:pPr>
      <w:r>
        <w:rPr>
          <w:rFonts w:ascii="Times New Roman;sans-serif" w:hAnsi="Times New Roman;sans-serif"/>
          <w:b w:val="false"/>
          <w:color w:val="000000"/>
          <w:sz w:val="20"/>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is incurred. In addition, the Company elected the practical expedient such that it does not recognize ROU assets or lease liabilities for leases with a term of 12 months or less of all asset classes. Operating lease expense is recognized on a straight-line basis over the lease term. See</w:t>
      </w:r>
      <w:r>
        <w:rPr>
          <w:color w:val="000000"/>
        </w:rPr>
        <w:t xml:space="preserve"> </w:t>
      </w:r>
      <w:r>
        <w:rPr>
          <w:rFonts w:ascii="Times New Roman;sans-serif" w:hAnsi="Times New Roman;sans-serif"/>
          <w:b w:val="false"/>
          <w:color w:val="000000"/>
          <w:sz w:val="20"/>
        </w:rPr>
        <w:t>Note 6 for additional details on the Company’s leases.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Concentrations of Risk</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160" w:after="160"/>
        <w:jc w:val="both"/>
        <w:rPr/>
      </w:pPr>
      <w:r>
        <w:rPr>
          <w:rFonts w:ascii="Times New Roman;sans-serif" w:hAnsi="Times New Roman;sans-serif"/>
          <w:b w:val="false"/>
          <w:color w:val="000000"/>
          <w:sz w:val="20"/>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280,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we are not organized around specific services or geographic regions. We currently operate in one service line providing in-space transportation services.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chief operating decision maker uses condensed financial information to evaluate our performance, which is the same basis on which our results and performance are communicated to our Board of Directors. Based on the information described above and in accordance with the applicable literature, management has concluded that we are organized and operated as one operating and reportable segment.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there are several new accounting pronouncements issued or proposed by the FASB, which have been adopted or will be adopted as applicable, management does not believe any of these accounting pronouncements has had or will have a material impact on the Company’s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3. Prepaids and Other Current Assets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Prepaids and other current assets consisted of the following: </w:t>
      </w:r>
    </w:p>
    <w:tbl>
      <w:tblPr>
        <w:tblW w:w="5343" w:type="dxa"/>
        <w:jc w:val="left"/>
        <w:tblInd w:w="0" w:type="dxa"/>
        <w:tblLayout w:type="fixed"/>
        <w:tblCellMar>
          <w:top w:w="28" w:type="dxa"/>
          <w:left w:w="28" w:type="dxa"/>
          <w:bottom w:w="28" w:type="dxa"/>
          <w:right w:w="28" w:type="dxa"/>
        </w:tblCellMar>
      </w:tblPr>
      <w:tblGrid>
        <w:gridCol w:w="1048"/>
        <w:gridCol w:w="922"/>
        <w:gridCol w:w="925"/>
        <w:gridCol w:w="211"/>
        <w:gridCol w:w="616"/>
        <w:gridCol w:w="109"/>
        <w:gridCol w:w="109"/>
        <w:gridCol w:w="109"/>
        <w:gridCol w:w="109"/>
        <w:gridCol w:w="230"/>
        <w:gridCol w:w="787"/>
        <w:gridCol w:w="168"/>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launch costs,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research and development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 and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10,173 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non-current portion of prepaid launch costs recorded in other non-current assets was $4.4 million and $4.4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4. Property, Machinery and Equipment, net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machinery and equipment, net consisted of the following: </w:t>
      </w:r>
    </w:p>
    <w:tbl>
      <w:tblPr>
        <w:tblW w:w="5972" w:type="dxa"/>
        <w:jc w:val="left"/>
        <w:tblInd w:w="0" w:type="dxa"/>
        <w:tblLayout w:type="fixed"/>
        <w:tblCellMar>
          <w:top w:w="28" w:type="dxa"/>
          <w:left w:w="28" w:type="dxa"/>
          <w:bottom w:w="28" w:type="dxa"/>
          <w:right w:w="28" w:type="dxa"/>
        </w:tblCellMar>
      </w:tblPr>
      <w:tblGrid>
        <w:gridCol w:w="1276"/>
        <w:gridCol w:w="1123"/>
        <w:gridCol w:w="1125"/>
        <w:gridCol w:w="211"/>
        <w:gridCol w:w="616"/>
        <w:gridCol w:w="109"/>
        <w:gridCol w:w="109"/>
        <w:gridCol w:w="109"/>
        <w:gridCol w:w="109"/>
        <w:gridCol w:w="255"/>
        <w:gridCol w:w="744"/>
        <w:gridCol w:w="186"/>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machinery and equipment, gross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machinery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property, machinery and equipment was $0.2 million and $0.3 million for the three months ended March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Intangible Assets,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as of March 31, 2023:</w:t>
      </w:r>
    </w:p>
    <w:tbl>
      <w:tblPr>
        <w:tblW w:w="10205" w:type="dxa"/>
        <w:jc w:val="left"/>
        <w:tblInd w:w="0" w:type="dxa"/>
        <w:tblLayout w:type="fixed"/>
        <w:tblCellMar>
          <w:top w:w="28" w:type="dxa"/>
          <w:left w:w="28" w:type="dxa"/>
          <w:bottom w:w="28" w:type="dxa"/>
          <w:right w:w="28" w:type="dxa"/>
        </w:tblCellMar>
      </w:tblPr>
      <w:tblGrid>
        <w:gridCol w:w="696"/>
        <w:gridCol w:w="580"/>
        <w:gridCol w:w="581"/>
        <w:gridCol w:w="266"/>
        <w:gridCol w:w="589"/>
        <w:gridCol w:w="137"/>
        <w:gridCol w:w="109"/>
        <w:gridCol w:w="109"/>
        <w:gridCol w:w="109"/>
        <w:gridCol w:w="506"/>
        <w:gridCol w:w="1154"/>
        <w:gridCol w:w="261"/>
        <w:gridCol w:w="109"/>
        <w:gridCol w:w="109"/>
        <w:gridCol w:w="109"/>
        <w:gridCol w:w="233"/>
        <w:gridCol w:w="515"/>
        <w:gridCol w:w="120"/>
        <w:gridCol w:w="109"/>
        <w:gridCol w:w="109"/>
        <w:gridCol w:w="109"/>
        <w:gridCol w:w="1047"/>
        <w:gridCol w:w="1047"/>
        <w:gridCol w:w="1492"/>
      </w:tblGrid>
      <w:tr>
        <w:trPr/>
        <w:tc>
          <w:tcPr>
            <w:tcW w:w="6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amortization period (in years)</w:t>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Patents/Intellectual Property</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6"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net consisted of the following as of December 31, 2022: </w:t>
      </w:r>
    </w:p>
    <w:tbl>
      <w:tblPr>
        <w:tblW w:w="10205" w:type="dxa"/>
        <w:jc w:val="left"/>
        <w:tblInd w:w="0" w:type="dxa"/>
        <w:tblLayout w:type="fixed"/>
        <w:tblCellMar>
          <w:top w:w="28" w:type="dxa"/>
          <w:left w:w="28" w:type="dxa"/>
          <w:bottom w:w="28" w:type="dxa"/>
          <w:right w:w="28" w:type="dxa"/>
        </w:tblCellMar>
      </w:tblPr>
      <w:tblGrid>
        <w:gridCol w:w="696"/>
        <w:gridCol w:w="580"/>
        <w:gridCol w:w="581"/>
        <w:gridCol w:w="266"/>
        <w:gridCol w:w="589"/>
        <w:gridCol w:w="137"/>
        <w:gridCol w:w="109"/>
        <w:gridCol w:w="109"/>
        <w:gridCol w:w="109"/>
        <w:gridCol w:w="506"/>
        <w:gridCol w:w="1154"/>
        <w:gridCol w:w="261"/>
        <w:gridCol w:w="109"/>
        <w:gridCol w:w="109"/>
        <w:gridCol w:w="109"/>
        <w:gridCol w:w="233"/>
        <w:gridCol w:w="515"/>
        <w:gridCol w:w="120"/>
        <w:gridCol w:w="109"/>
        <w:gridCol w:w="109"/>
        <w:gridCol w:w="109"/>
        <w:gridCol w:w="1047"/>
        <w:gridCol w:w="1047"/>
        <w:gridCol w:w="1492"/>
      </w:tblGrid>
      <w:tr>
        <w:trPr/>
        <w:tc>
          <w:tcPr>
            <w:tcW w:w="6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amortization period (in years)</w:t>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Patents/Intellectual Property</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6"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was $0.01 million and $0.04 million for the three months ended March 31, 2023 and 2022, respectively.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future estimated amortization expense related to intangible assets is as follows:</w:t>
      </w:r>
    </w:p>
    <w:tbl>
      <w:tblPr>
        <w:tblW w:w="2510" w:type="dxa"/>
        <w:jc w:val="left"/>
        <w:tblInd w:w="0" w:type="dxa"/>
        <w:tblLayout w:type="fixed"/>
        <w:tblCellMar>
          <w:top w:w="28" w:type="dxa"/>
          <w:left w:w="28" w:type="dxa"/>
          <w:bottom w:w="28" w:type="dxa"/>
          <w:right w:w="28" w:type="dxa"/>
        </w:tblCellMar>
      </w:tblPr>
      <w:tblGrid>
        <w:gridCol w:w="608"/>
        <w:gridCol w:w="535"/>
        <w:gridCol w:w="536"/>
        <w:gridCol w:w="211"/>
        <w:gridCol w:w="46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6. Leases </w:t>
      </w:r>
    </w:p>
    <w:p>
      <w:pPr>
        <w:pStyle w:val="TextBody"/>
        <w:bidi w:val="0"/>
        <w:spacing w:lineRule="auto" w:line="288" w:before="160" w:after="283"/>
        <w:jc w:val="both"/>
        <w:rPr/>
      </w:pPr>
      <w:r>
        <w:rPr>
          <w:rFonts w:ascii="Times New Roman;sans-serif" w:hAnsi="Times New Roman;sans-serif"/>
          <w:b w:val="false"/>
          <w:color w:val="000000"/>
          <w:sz w:val="20"/>
        </w:rPr>
        <w:t>The Company leases office space under non-cancellable operating leases. In</w:t>
      </w:r>
      <w:r>
        <w:rPr>
          <w:color w:val="EE2724"/>
        </w:rPr>
        <w:t xml:space="preserve"> </w:t>
      </w:r>
      <w:r>
        <w:rPr>
          <w:rFonts w:ascii="Times New Roman;sans-serif" w:hAnsi="Times New Roman;sans-serif"/>
          <w:b w:val="false"/>
          <w:color w:val="000000"/>
          <w:sz w:val="20"/>
        </w:rPr>
        <w:t>January 2021, the Company commenced a lease in San Jose, California. The lease expires in February 2028. The Company is obligated to pay approximately $11 million over the term of the lease. Prior to December 31, 2021, the Company modified two minor leases to extend access until April 2022 to aid the full transition to the San Jose facility. The Company had one additional minor lease that expired in November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operating lease expense were as follows: </w:t>
      </w:r>
    </w:p>
    <w:tbl>
      <w:tblPr>
        <w:tblW w:w="6130" w:type="dxa"/>
        <w:jc w:val="left"/>
        <w:tblInd w:w="0" w:type="dxa"/>
        <w:tblLayout w:type="fixed"/>
        <w:tblCellMar>
          <w:top w:w="28" w:type="dxa"/>
          <w:left w:w="28" w:type="dxa"/>
          <w:bottom w:w="28" w:type="dxa"/>
          <w:right w:w="28" w:type="dxa"/>
        </w:tblCellMar>
      </w:tblPr>
      <w:tblGrid>
        <w:gridCol w:w="711"/>
        <w:gridCol w:w="626"/>
        <w:gridCol w:w="627"/>
        <w:gridCol w:w="109"/>
        <w:gridCol w:w="109"/>
        <w:gridCol w:w="303"/>
        <w:gridCol w:w="303"/>
        <w:gridCol w:w="586"/>
        <w:gridCol w:w="1295"/>
        <w:gridCol w:w="303"/>
        <w:gridCol w:w="109"/>
        <w:gridCol w:w="109"/>
        <w:gridCol w:w="109"/>
        <w:gridCol w:w="211"/>
        <w:gridCol w:w="46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Variable lease expense consists of the Company’s proportionate share of operating expenses, property taxes, and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weighted-average remaining lease term was 4.9 years and the weighted-average discount rate was 5.6%.</w:t>
      </w:r>
    </w:p>
    <w:p>
      <w:pPr>
        <w:pStyle w:val="TextBody"/>
        <w:bidi w:val="0"/>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maturities of the Company’s operating lease liabilities were as follows: </w:t>
      </w:r>
    </w:p>
    <w:tbl>
      <w:tblPr>
        <w:tblW w:w="3665" w:type="dxa"/>
        <w:jc w:val="left"/>
        <w:tblInd w:w="0" w:type="dxa"/>
        <w:tblLayout w:type="fixed"/>
        <w:tblCellMar>
          <w:top w:w="28" w:type="dxa"/>
          <w:left w:w="28" w:type="dxa"/>
          <w:bottom w:w="28" w:type="dxa"/>
          <w:right w:w="28" w:type="dxa"/>
        </w:tblCellMar>
      </w:tblPr>
      <w:tblGrid>
        <w:gridCol w:w="972"/>
        <w:gridCol w:w="855"/>
        <w:gridCol w:w="857"/>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Note 7. Accrued Expenses</w:t>
      </w:r>
      <w:r>
        <w:rPr>
          <w:color w:val="000000"/>
        </w:rPr>
        <w:t xml:space="preserv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consisted of the following: </w:t>
      </w:r>
    </w:p>
    <w:tbl>
      <w:tblPr>
        <w:tblW w:w="5567" w:type="dxa"/>
        <w:jc w:val="left"/>
        <w:tblInd w:w="0" w:type="dxa"/>
        <w:tblLayout w:type="fixed"/>
        <w:tblCellMar>
          <w:top w:w="28" w:type="dxa"/>
          <w:left w:w="28" w:type="dxa"/>
          <w:bottom w:w="28" w:type="dxa"/>
          <w:right w:w="28" w:type="dxa"/>
        </w:tblCellMar>
      </w:tblPr>
      <w:tblGrid>
        <w:gridCol w:w="1129"/>
        <w:gridCol w:w="994"/>
        <w:gridCol w:w="996"/>
        <w:gridCol w:w="211"/>
        <w:gridCol w:w="616"/>
        <w:gridCol w:w="109"/>
        <w:gridCol w:w="109"/>
        <w:gridCol w:w="109"/>
        <w:gridCol w:w="109"/>
        <w:gridCol w:w="255"/>
        <w:gridCol w:w="744"/>
        <w:gridCol w:w="186"/>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other professional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projects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Loan Payable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22, 2021, the Company entered into a Term Loan and Security Agreement (the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$15.0 million of borrowing capacity is no longer available as the Company did not achieve certain milestones by the June 30, 2021 deadline. The repayment terms of the Term Loan provide for interest-only payments from March 1, 2021 through February 28, 2022.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allocated the proceeds from the Term Loan agreement to the note and warrants issued in conjunction with the Term Loan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term of the note, originally maturing on March 1, 2022, but now being repaid over two years, recorded as interest expense. Because the discount on the note exceeds 63% of its initial face value, and because the discount is amortized over the period from issuance to maturity, the calculated effective interest rate up until January 2022 was 126.0%.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exercised extended repayment schedule, the unamortized discount and issuance costs were recast over the updated term of the loan and resulted in a recalculated effective interest rate of 28.2%. Interest expense amortization was $0.5 million and $0.7 million for the three months ended March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 xml:space="preserve">Note 8. Loan Payable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Company’s total loan payable consisted of gross Term Loan payable of $12.2 million and accrued interest of $0.2 million, offset by unamortized debt discount and issuance costs of $0.9 million. The Term Loan principal has future scheduled maturities of $9.9 million and $2.3 million for 2023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Stockholders' Equity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Common Stock and Preferred Stock</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Second Amended and Restated Certificate of Incorporation, the Company is authorized and has available a total of 270,000,000 shares of stock, consisting of (i) 250,000,000 shares of Common Stock, par value $0.00001 per share, and (ii) 20,000,000 shares of preferred stock, par value $0.00001 per share (“Preferred Stock”).</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February 2023 Securities Purchase Agreement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2023, the Company entered into a Securities Purchase Agreement (the “SPA”) with an investor, pursuant to which the Company issued and sold to the Investor in a registered offering (the “Offering”), (i) an aggregate of 9,396,000 shares of the Company’s Class A common stock at a purchase price of $0.8646 per share, (ii) pre-funded warrants (the “Pre-Funded Warrants”) to purchase an aggregate of 2,170,043 shares of Class A Stock and (iii) warrants to purchase 11,566,043 shares of Class A Stock (the “Class A Warrants”).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of each Pre-Funded Warrant was equal to the price per share of Class A Stock being sold in the Offering minus $0.00001. The Pre-Funded Warrants have an exercise price of $0.00001 per share and are exercisable at any time after the issuance, subject to the availability of authorized but unissued shares of Class A Stock, and will not expire until exercised. The Class A Warrants have an exercise price of $1.15 per share and exercisable beginning on August 27, 2023, subject to the availability of authorized but unissued shares of Class A Stock, and will expire August 27, 2028.</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received aggregate gross proceeds from the Offering of approximately $10.0 million, before deducting estimated expenses in connection with the Offering. Both the Pre-Funded Warrants and the Class A Warrants met the requirements for equity classification.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fair value of the Pre-Funded Warrants based on the fair value of the Company’s Class A common stock on the issuance date, less the $0.00001 exercise price. The Company allocated approximately $1.0 million in proceeds from the Offering to the value of the Pre-Funded Warrants on a relative fair value basis, which was recorded to additional paid in capital.</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fair value of the Class A Warrants using the Black-Scholes valuation model and allocated approximately $4.0 million in proceeds from the Offering to the value of the Class A Warrants on a relative fair value basis, which was recorded to additional paid in capital. The significant inputs into the Black-Scholes valuation model at February 23, 2023 (the initial recognition date) is as follows:</w:t>
      </w:r>
    </w:p>
    <w:tbl>
      <w:tblPr>
        <w:tblW w:w="2687" w:type="dxa"/>
        <w:jc w:val="left"/>
        <w:tblInd w:w="0" w:type="dxa"/>
        <w:tblLayout w:type="fixed"/>
        <w:tblCellMar>
          <w:top w:w="28" w:type="dxa"/>
          <w:left w:w="28" w:type="dxa"/>
          <w:bottom w:w="28" w:type="dxa"/>
          <w:right w:w="28" w:type="dxa"/>
        </w:tblCellMar>
      </w:tblPr>
      <w:tblGrid>
        <w:gridCol w:w="635"/>
        <w:gridCol w:w="559"/>
        <w:gridCol w:w="561"/>
        <w:gridCol w:w="308"/>
        <w:gridCol w:w="308"/>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term (years)</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Co-Founder Divestment and Stock Repurchase Agreements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NSA (see Note 12 for additional information) and pursuant to stock repurchase agreements entered into with the Company, the Co-Founders sold 100% of their respective equity interests in the Company on June 30, 2021. The Company paid an aggregate of $40.0 million to the Co-Founders following the Business Combination, and an additional payment of an aggregate of $10.0 million was payable after cumulative business combination or capital raising transactions resulted in cash proceeds to the Company of no less than $250.0 million.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Registered Direct Offering on February 27, 2023, the Company raised $10.0 million of gross cash proceeds through the sale of securities which, together with the Business Combination and other capital raising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both"/>
        <w:rPr/>
      </w:pPr>
      <w:r>
        <w:rPr>
          <w:rFonts w:ascii="Times New Roman;sans-serif" w:hAnsi="Times New Roman;sans-serif"/>
          <w:b/>
          <w:color w:val="000000"/>
          <w:sz w:val="20"/>
        </w:rPr>
        <w:t>Note 9. Stockholders' Equity</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activities, triggered the $10.0 million obligation under the stock repurchase agreements. The Company paid the Co-Founders $10.0 million to pay off the liability during the three months ended March 31, 2023.</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Public and Private Warrants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public and private warrants outstanding to purchase 8,625,000 shares and 11,272,500 shares of Common Stock, respectively, related to the Business Combination. The warrants entitle the registered holder to purchase stock at a price of $11.50 per share, subject to adjustment, at any time commencing on August 12, 2021. The public and private warrants expire on the fifth anniversary of the Business Combination, or earlier upon redemption or liquidation.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had private warrants outstanding to purchase 308,569 shares of Common Stock, with an exercise price of $0.20 per share, unrelated to the Business Combination, which were exercised on a net basis for 278,146 shares during the three months ended March 31, 2022.</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issued 11,566,043 of additional warrants on February 27, 2023, in relation to the Registered Direct Offering. The warrants entitle the registered holder to purchase shares of Common Stock at a price of $1.15 per share.</w:t>
      </w:r>
    </w:p>
    <w:p>
      <w:pPr>
        <w:pStyle w:val="TextBody"/>
        <w:bidi w:val="0"/>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private warrants assumed in connection with the Business Combination are accounted for as a derivative liability and the increase in estimated fair value of the warrants of $0.1 million for the three months ended March 31, 2023, and $0.5 million for the three months ended March 31, 2022 was recorded within other income. The public warrants and the legacy outstanding private warrants were recorded as equity within condensed consolidated statements of stockholders’ equity.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Contingent Sponsor Earnout Shares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the Company modified the terms of 1,437,500 shares of Common Stock held by SRAC’s sponsor (the “Sponsor Earnout Shares”), such that all such shares will be forfeited if the share price of Common Stock does not reach a volume-weighted average closing sale price of $12.50, two thirds of such shares will be forfeited if the share price of Common Stock does not reach a volume-weighted average closing sale price of $15.00, and one third of such shares will be forfeited if the share price of Common Stock does not reach a volume-weighted average closing sale price of $17.50, in each case, prior to the fifth anniversary of the Business Combination. Certain events which change the number of outstanding shares of Common Stock, such as a split, combination, or recapitalization, among other potential events, will equitably adjust the target vesting prices above. The Sponsor Earnout Shares may not be transferred without the Company’s consent until the shares vest.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Sponsor Earnout Shares are recorded within equity. Due to the contingently forfeitable nature of the shares, the Sponsor Earnout Shares are excluded from basic EPS calculations but are considered potentially dilutive shares for the purposes of diluted EPS (refer to Note 11).</w:t>
      </w:r>
    </w:p>
    <w:p>
      <w:pPr>
        <w:pStyle w:val="TextBody"/>
        <w:bidi w:val="0"/>
        <w:spacing w:lineRule="auto" w:line="288" w:before="160" w:after="160"/>
        <w:jc w:val="both"/>
        <w:rPr/>
      </w:pPr>
      <w:r>
        <w:rPr>
          <w:rFonts w:ascii="Times New Roman;sans-serif" w:hAnsi="Times New Roman;sans-serif"/>
          <w:b/>
          <w:i/>
          <w:color w:val="000000"/>
          <w:sz w:val="20"/>
        </w:rPr>
        <w:t>At-The-Market</w:t>
      </w:r>
      <w:r>
        <w:rPr>
          <w:color w:val="000000"/>
        </w:rPr>
        <w:t xml:space="preserve"> </w:t>
      </w:r>
      <w:r>
        <w:rPr>
          <w:rFonts w:ascii="Times New Roman;sans-serif" w:hAnsi="Times New Roman;sans-serif"/>
          <w:b/>
          <w:i/>
          <w:color w:val="000000"/>
          <w:sz w:val="20"/>
        </w:rPr>
        <w:t>Offering</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28, 2022, Momentus entered into an At-the-Market Equity Offering Sales Agreement with a sales agent (the “ATM Sales Agreement”). Pursuant to the ATM Sales Agreement, the Company may from time to time sell, through the sales agent using at-the-market (“ATM”) offerings, shares of Common Stock up to an aggregate offer price of $50.0 million. Under the ATM Sales Agreement, the sales agent will be entitled to compensation at a commission rate of up to 3.0% of the gross sales price per share sold.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sales under the ATM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Note 10. Stock-based Compensation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Legacy Stock Plans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2018, the Board of Directors of Momentus Inc. approved the 2018 Stock Plan (the “Initial Plan”) that allowed for granting of incentive and non-qualified stock options and restricted stock awards to employees, directors, and consultants. The Initial Plan was terminated in November 2018. Awards outstanding under the Initial Plan continue to be governed by the terms of the Initial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both"/>
        <w:rPr/>
      </w:pPr>
      <w:r>
        <w:rPr>
          <w:rFonts w:ascii="Times New Roman;sans-serif" w:hAnsi="Times New Roman;sans-serif"/>
          <w:b/>
          <w:color w:val="000000"/>
          <w:sz w:val="20"/>
        </w:rPr>
        <w:t xml:space="preserve">Note 10. Stock-based Compensation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and March 2020, the Board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2021 Equity Incentive Plan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the Company adopted the 2021 Equity Incentive Plan (the “2021 Plan”), under which 5,982,922 shares of Common Stock were initially reserved for issuance. The 2021 Plan allows for the issuance of incentive stock options (“ISOs”), non-qualified stock options (“NSOs”), restricted stock awards (“RSAs”), stock appreciation rights (“SARs”), restricted stock units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three percent (3.0%) of the outstanding shares on the last day of the immediately preceding fiscal year and (ii) such number of Shares determined by the Board. During the three months ended March 31, 2023, the shares available for grant under the 2021 Plan increased by 2,533,234 and 125,524 due to the evergreen provision and forfeitures from both the Initial Plan and the 2018 Plan, respectively. As of March 31, 2023, there were 1,609,216 shares remaining available for grant. Grant activity under the 2021 Plan is described below.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2021 Employee Stock Purchase Plan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the Company adopted the Employee Stock Purchase Plan (the “2021 ESPP Plan”), under which 1,595,445 shares of Common Stock were initially reserved for issuance. The Plan provides a means by which eligible employees of the Company may be given an opportunity to purchase shares of Common Stock at a discount as permitted under the Internal Revenue Code of 1986, as amended.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half a percent (0.5%) of the outstanding shares on the last day of the calendar month prior to the date of such automatic increase and (ii) 1,595,445 shares. The 2021 ESPP Plan became effective immediately following the Closing. During the three months ended March 31, 2023, the shares available for issuance under the 2021 ESPP Plan increased by 422,205 due to the evergreen provision. During the three months ended March 31, 2023, there were no issued under the 2021 ESPP Plan. The Company has an outstanding liability pertaining to the ESPP of $0.1 million as of March 31, 2023, included in accrued expenses, for employee contributions to the 2021 ESPP Plan, pending issuance at the end of the offering period. As of March 31, 2023, there were 2,258,316 shares remaining available for issuance.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2022 Inducement Equity Plan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adopted the 2022 Inducement Equity Plan (the “2022 Plan”), under which 4,000,000 shares of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four-year period.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2023, the Company adopted the first amendment to the 2022 Plan to increase the number of shares of Common Stock available for issuance under the 2022 Plan from 4,000,000 shares of Common Stock to 7,000,000 shares of Common Stock. All other terms of the 2022 Plan remained the same.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only RSU grants have been made under the 2022 Plan and there were 1,014,221 shares remaining available for grant. Grant activity under the 2022 Plan is described below.</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2023, the Company adopted the second amendment to the 2022 Plan to increase the number of shares of Common Stock available for issuance under the 2022 Plan from 7,000,000 shares of Common Stock to 8,000,000 shares of Common Stock. All other terms of the 2022 Plan remained the same.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both"/>
        <w:rPr/>
      </w:pPr>
      <w:r>
        <w:rPr>
          <w:rFonts w:ascii="Times New Roman;sans-serif" w:hAnsi="Times New Roman;sans-serif"/>
          <w:b/>
          <w:color w:val="000000"/>
          <w:sz w:val="20"/>
        </w:rPr>
        <w:t xml:space="preserve">Note 10. Stock-based Compensation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Options Activity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summary of options activity, under the 2018 Plan and the 2021 Plans, for the three months ended March 31, 2023:</w:t>
      </w:r>
    </w:p>
    <w:tbl>
      <w:tblPr>
        <w:tblW w:w="10205" w:type="dxa"/>
        <w:jc w:val="left"/>
        <w:tblInd w:w="0" w:type="dxa"/>
        <w:tblLayout w:type="fixed"/>
        <w:tblCellMar>
          <w:top w:w="28" w:type="dxa"/>
          <w:left w:w="28" w:type="dxa"/>
          <w:bottom w:w="28" w:type="dxa"/>
          <w:right w:w="28" w:type="dxa"/>
        </w:tblCellMar>
      </w:tblPr>
      <w:tblGrid>
        <w:gridCol w:w="723"/>
        <w:gridCol w:w="636"/>
        <w:gridCol w:w="639"/>
        <w:gridCol w:w="109"/>
        <w:gridCol w:w="109"/>
        <w:gridCol w:w="109"/>
        <w:gridCol w:w="109"/>
        <w:gridCol w:w="109"/>
        <w:gridCol w:w="109"/>
        <w:gridCol w:w="109"/>
        <w:gridCol w:w="435"/>
        <w:gridCol w:w="436"/>
        <w:gridCol w:w="280"/>
        <w:gridCol w:w="109"/>
        <w:gridCol w:w="109"/>
        <w:gridCol w:w="109"/>
        <w:gridCol w:w="453"/>
        <w:gridCol w:w="1079"/>
        <w:gridCol w:w="254"/>
        <w:gridCol w:w="109"/>
        <w:gridCol w:w="109"/>
        <w:gridCol w:w="109"/>
        <w:gridCol w:w="759"/>
        <w:gridCol w:w="759"/>
        <w:gridCol w:w="762"/>
        <w:gridCol w:w="109"/>
        <w:gridCol w:w="109"/>
        <w:gridCol w:w="109"/>
        <w:gridCol w:w="315"/>
        <w:gridCol w:w="677"/>
        <w:gridCol w:w="254"/>
      </w:tblGrid>
      <w:tr>
        <w:trPr/>
        <w:tc>
          <w:tcPr>
            <w:tcW w:w="7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share-based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2,556,733 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(370,287)</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(489,871)</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1,696,575 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2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as of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1,134,048 </w:t>
            </w:r>
          </w:p>
        </w:tc>
        <w:tc>
          <w:tcPr>
            <w:tcW w:w="2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2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expected to vest as of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1,696,575 </w:t>
            </w:r>
          </w:p>
        </w:tc>
        <w:tc>
          <w:tcPr>
            <w:tcW w:w="2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both"/>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there was a total of $0.6 million in unrecognized compensation cost related to unvested options, which is expected to be recognized over a weighted-average period of 1.5 years. </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options exercised during the three months ended March 31, 2023 and 2022, was $0.2 million and $0.4 million, respectively.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Restricted Stock Unit and Restricted Stock Award Activity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summary of RSU and RSA activity, under the Initial Plan, the 2018 Plan, the 2021 Plan, and the 2022 Plan, for the three months ended March 31, 2023. RSAs were an immaterial portion of activity for the period:</w:t>
      </w:r>
    </w:p>
    <w:tbl>
      <w:tblPr>
        <w:tblW w:w="9760" w:type="dxa"/>
        <w:jc w:val="left"/>
        <w:tblInd w:w="0" w:type="dxa"/>
        <w:tblLayout w:type="fixed"/>
        <w:tblCellMar>
          <w:top w:w="28" w:type="dxa"/>
          <w:left w:w="28" w:type="dxa"/>
          <w:bottom w:w="28" w:type="dxa"/>
          <w:right w:w="28" w:type="dxa"/>
        </w:tblCellMar>
      </w:tblPr>
      <w:tblGrid>
        <w:gridCol w:w="1147"/>
        <w:gridCol w:w="1006"/>
        <w:gridCol w:w="1012"/>
        <w:gridCol w:w="109"/>
        <w:gridCol w:w="539"/>
        <w:gridCol w:w="542"/>
        <w:gridCol w:w="226"/>
        <w:gridCol w:w="109"/>
        <w:gridCol w:w="1218"/>
        <w:gridCol w:w="2955"/>
        <w:gridCol w:w="897"/>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109" w:type="dxa"/>
            <w:tcBorders/>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(i.e. share price)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7,780,917 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7,989,137 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(766,791)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(1,433,570)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13,569,693 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a total of $23.3 million in unrecognized compensation cost related to unvested RSUs, which is expected to be recognized over a weighted-average period of 1.9 years. Outstanding unvested and expected to vest RSUs had an intrinsic value of $7.9 million.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stock-based compensation under the Initial Plan, the 2018 Plan, the 2021 Plan, and the 2022 Plan by expense type:</w:t>
      </w:r>
    </w:p>
    <w:tbl>
      <w:tblPr>
        <w:tblW w:w="7838" w:type="dxa"/>
        <w:jc w:val="left"/>
        <w:tblInd w:w="0" w:type="dxa"/>
        <w:tblLayout w:type="fixed"/>
        <w:tblCellMar>
          <w:top w:w="28" w:type="dxa"/>
          <w:left w:w="28" w:type="dxa"/>
          <w:bottom w:w="28" w:type="dxa"/>
          <w:right w:w="28" w:type="dxa"/>
        </w:tblCellMar>
      </w:tblPr>
      <w:tblGrid>
        <w:gridCol w:w="1352"/>
        <w:gridCol w:w="1190"/>
        <w:gridCol w:w="1193"/>
        <w:gridCol w:w="109"/>
        <w:gridCol w:w="109"/>
        <w:gridCol w:w="243"/>
        <w:gridCol w:w="243"/>
        <w:gridCol w:w="471"/>
        <w:gridCol w:w="1377"/>
        <w:gridCol w:w="243"/>
        <w:gridCol w:w="109"/>
        <w:gridCol w:w="109"/>
        <w:gridCol w:w="109"/>
        <w:gridCol w:w="211"/>
        <w:gridCol w:w="61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both"/>
        <w:rPr/>
      </w:pPr>
      <w:r>
        <w:rPr>
          <w:rFonts w:ascii="Times New Roman;sans-serif" w:hAnsi="Times New Roman;sans-serif"/>
          <w:b/>
          <w:color w:val="000000"/>
          <w:sz w:val="20"/>
        </w:rPr>
        <w:t xml:space="preserve">Note 10. Stock-based Compensation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stock-based compensation under the Initial Plan, the 2018 Plan, the 2021 Plan, and the 2022 Plan by award type:</w:t>
      </w:r>
    </w:p>
    <w:tbl>
      <w:tblPr>
        <w:tblW w:w="5393" w:type="dxa"/>
        <w:jc w:val="left"/>
        <w:tblInd w:w="0" w:type="dxa"/>
        <w:tblLayout w:type="fixed"/>
        <w:tblCellMar>
          <w:top w:w="28" w:type="dxa"/>
          <w:left w:w="28" w:type="dxa"/>
          <w:bottom w:w="28" w:type="dxa"/>
          <w:right w:w="28" w:type="dxa"/>
        </w:tblCellMar>
      </w:tblPr>
      <w:tblGrid>
        <w:gridCol w:w="467"/>
        <w:gridCol w:w="411"/>
        <w:gridCol w:w="412"/>
        <w:gridCol w:w="109"/>
        <w:gridCol w:w="109"/>
        <w:gridCol w:w="243"/>
        <w:gridCol w:w="243"/>
        <w:gridCol w:w="471"/>
        <w:gridCol w:w="1377"/>
        <w:gridCol w:w="243"/>
        <w:gridCol w:w="109"/>
        <w:gridCol w:w="109"/>
        <w:gridCol w:w="109"/>
        <w:gridCol w:w="211"/>
        <w:gridCol w:w="616"/>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&amp; RSAs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Performance Awards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awards under the 2021 Plan are accounted for as liability-classified awards, as the obligations are typically a fixed monetary amount which is settled on a future date in a variable number of shares of the Company’s Common Stock. The variable number of potentially settled shares is not limited. Performance awards are measured at their fair value based on management’s estimates of potential outcomes of the performance. Outstanding performance awards correspond to zero shares if they were settled on March 31, 2023.</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Issuance of Common Stock to Non-employees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Company issued 135,000 shares of the Company’s Common Stock to to a third party consulting firm in exchange for public relations services. The shares were not issued under the equity incentive plans described above. Under the agreement, the shares are contingently forfeitable in the event of early termination by the Company. The shares had an issuance date fair value of $0.1 million, which will be recorded as consulting expense over the six-month term of the agreement. Related consulting expense was $57,230 for the three months ended March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Note 11. Diluted Earnings Per Share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160" w:after="160"/>
        <w:jc w:val="both"/>
        <w:rPr/>
      </w:pPr>
      <w:r>
        <w:rPr>
          <w:rFonts w:ascii="Times New Roman;sans-serif" w:hAnsi="Times New Roman;sans-serif"/>
          <w:b w:val="false"/>
          <w:color w:val="000000"/>
          <w:sz w:val="20"/>
        </w:rPr>
        <w:t xml:space="preserve">Net loss per share is provided in accordance with ASC 260-10,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Basic earnings per share is computed by dividing net loss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Company incurred a net loss for the three months ended March 31, 2023, the inclusion of certain options, unvested stock units, warrants, and contingent Sponsor Earnout Shares in the calculation of diluted earnings per share would be anti-dilutive and, accordingly, were excluded from the diluted loss per share calculation.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potential common shares that were excluded as their effect is anti-dilutive:</w:t>
      </w:r>
    </w:p>
    <w:tbl>
      <w:tblPr>
        <w:tblW w:w="8492" w:type="dxa"/>
        <w:jc w:val="left"/>
        <w:tblInd w:w="0" w:type="dxa"/>
        <w:tblLayout w:type="fixed"/>
        <w:tblCellMar>
          <w:top w:w="28" w:type="dxa"/>
          <w:left w:w="28" w:type="dxa"/>
          <w:bottom w:w="28" w:type="dxa"/>
          <w:right w:w="28" w:type="dxa"/>
        </w:tblCellMar>
      </w:tblPr>
      <w:tblGrid>
        <w:gridCol w:w="1391"/>
        <w:gridCol w:w="1223"/>
        <w:gridCol w:w="1226"/>
        <w:gridCol w:w="109"/>
        <w:gridCol w:w="109"/>
        <w:gridCol w:w="557"/>
        <w:gridCol w:w="557"/>
        <w:gridCol w:w="557"/>
        <w:gridCol w:w="557"/>
        <w:gridCol w:w="561"/>
        <w:gridCol w:w="109"/>
        <w:gridCol w:w="109"/>
        <w:gridCol w:w="109"/>
        <w:gridCol w:w="540"/>
        <w:gridCol w:w="541"/>
        <w:gridCol w:w="237"/>
      </w:tblGrid>
      <w:tr>
        <w:trPr/>
        <w:tc>
          <w:tcPr>
            <w:tcW w:w="13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645" w:type="dxa"/>
            <w:gridSpan w:val="6"/>
            <w:tcBorders/>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unvested stock units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8,240,191 </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6,884,261 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31,463,543 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20,156,621 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Sponsor Earnout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1,437,500 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41,141,234 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28,478,382 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Note 12. Commitments and Contingencies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Momentus enters into purchase obligations in the normal course of business. These obligations include purchase orders and agreements to purchase goods or services that are enforceable, legally binding, and have significant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160" w:after="160"/>
        <w:jc w:val="both"/>
        <w:rPr/>
      </w:pPr>
      <w:r>
        <w:rPr>
          <w:rFonts w:ascii="Times New Roman;sans-serif" w:hAnsi="Times New Roman;sans-serif"/>
          <w:b/>
          <w:color w:val="000000"/>
          <w:sz w:val="20"/>
        </w:rPr>
        <w:t>Note 12. Commitments and Contingencies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minimum purchases stipulated. As of March 31, 2023, the Company’s future unconditional purchase obligations are as follows: </w:t>
      </w:r>
    </w:p>
    <w:tbl>
      <w:tblPr>
        <w:tblW w:w="2765" w:type="dxa"/>
        <w:jc w:val="left"/>
        <w:tblInd w:w="0" w:type="dxa"/>
        <w:tblLayout w:type="fixed"/>
        <w:tblCellMar>
          <w:top w:w="28" w:type="dxa"/>
          <w:left w:w="28" w:type="dxa"/>
          <w:bottom w:w="28" w:type="dxa"/>
          <w:right w:w="28" w:type="dxa"/>
        </w:tblCellMar>
      </w:tblPr>
      <w:tblGrid>
        <w:gridCol w:w="608"/>
        <w:gridCol w:w="535"/>
        <w:gridCol w:w="536"/>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Legal Proceedings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Securities Class Actions </w:t>
      </w:r>
    </w:p>
    <w:p>
      <w:pPr>
        <w:pStyle w:val="TextBody"/>
        <w:bidi w:val="0"/>
        <w:spacing w:lineRule="auto" w:line="288" w:before="160" w:after="160"/>
        <w:jc w:val="both"/>
        <w:rPr/>
      </w:pPr>
      <w:r>
        <w:rPr>
          <w:rFonts w:ascii="Times New Roman;sans-serif" w:hAnsi="Times New Roman;sans-serif"/>
          <w:b w:val="false"/>
          <w:color w:val="000000"/>
          <w:sz w:val="20"/>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Times New Roman;sans-serif" w:hAnsi="Times New Roman;sans-serif"/>
          <w:b w:val="false"/>
          <w:i/>
          <w:color w:val="000000"/>
          <w:sz w:val="20"/>
        </w:rPr>
        <w:t>Jensen v. Stable Road Acquisition Corp., et al.</w:t>
      </w:r>
      <w:r>
        <w:rPr>
          <w:rFonts w:ascii="Times New Roman;sans-serif" w:hAnsi="Times New Roman;sans-serif"/>
          <w:b w:val="false"/>
          <w:color w:val="000000"/>
          <w:sz w:val="20"/>
        </w:rPr>
        <w:t>, No. 2:21-cv-05744 (the "</w:t>
      </w:r>
      <w:r>
        <w:rPr>
          <w:rFonts w:ascii="Times New Roman;sans-serif" w:hAnsi="Times New Roman;sans-serif"/>
          <w:b w:val="false"/>
          <w:i/>
          <w:color w:val="000000"/>
          <w:sz w:val="20"/>
        </w:rPr>
        <w:t>Jensen</w:t>
      </w:r>
      <w:r>
        <w:rPr>
          <w:color w:val="000000"/>
        </w:rPr>
        <w:t xml:space="preserve"> </w:t>
      </w:r>
      <w:r>
        <w:rPr>
          <w:rFonts w:ascii="Times New Roman;sans-serif" w:hAnsi="Times New Roman;sans-serif"/>
          <w:b w:val="false"/>
          <w:color w:val="000000"/>
          <w:sz w:val="20"/>
        </w:rPr>
        <w:t xml:space="preserve">class action"). The complaint alleges that the defendants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 Subsequent complaints captioned </w:t>
      </w:r>
      <w:r>
        <w:rPr>
          <w:rFonts w:ascii="Times New Roman;sans-serif" w:hAnsi="Times New Roman;sans-serif"/>
          <w:b w:val="false"/>
          <w:i/>
          <w:color w:val="000000"/>
          <w:sz w:val="20"/>
        </w:rPr>
        <w:t>Hall v. Stable Road Acquisition Corp., et al.</w:t>
      </w:r>
      <w:r>
        <w:rPr>
          <w:rFonts w:ascii="Times New Roman;sans-serif" w:hAnsi="Times New Roman;sans-serif"/>
          <w:b w:val="false"/>
          <w:color w:val="000000"/>
          <w:sz w:val="20"/>
        </w:rPr>
        <w:t xml:space="preserve">, No. 2:21-cv-05943 and </w:t>
      </w:r>
      <w:r>
        <w:rPr>
          <w:rFonts w:ascii="Times New Roman;sans-serif" w:hAnsi="Times New Roman;sans-serif"/>
          <w:b w:val="false"/>
          <w:i/>
          <w:color w:val="000000"/>
          <w:sz w:val="20"/>
        </w:rPr>
        <w:t>Depoy v. Stable Road Acquisition Corp., et al.</w:t>
      </w:r>
      <w:r>
        <w:rPr>
          <w:rFonts w:ascii="Times New Roman;sans-serif" w:hAnsi="Times New Roman;sans-serif"/>
          <w:b w:val="false"/>
          <w:color w:val="000000"/>
          <w:sz w:val="20"/>
        </w:rPr>
        <w:t>, No. 2:21-cv-06287 were consolidated in the first filed matter (collectively, referred to as the "Securities Class Actions"). An amended complaint was filed on November 12, 2021. The Company disputes the allegations in the Securities Class Actions.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10, 2023, the lead plaintiff in the Securities Class Actions and the Company reached an agreement in principle to settle the Securities Class Actions.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 Securities Class Actions and dismiss such claims with prejudice, in exchange for payment of $8.5 million by the Company (at least $4.0 million of which is expected to be funded by insurance proceeds). The agreement in principle remains subject to the satisfaction of various conditions, including negotiation and execution of a memorandum of understanding, final stipulation of settlement, notice to the proposed class, and approval by the United States District Court for the Central District of California. If these conditions are satisfied, the proposed settlement will resolve all claims in the Securities Class Actions against the Company (except as to any shareholders that may elect to opt-out of the class). The Company and the other defendants have denied and continue to deny each and all of the claims alleged in the Securities Class Actions, and the proposed settlement contains no admission of liability, wrongdoing or responsibility by any of the defendants. In the event that the Company is unable to execute a final stipulation of settlement and obtain Court approval, the Company will continue to vigorously defend against the claims asserted in the Securities Class Actions.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agreement in principle to settle the Securities Class Action, the Company recorded a litigation settlement contingency of $8.5 million. The Company additionally recorded an insurance receivable of $4.0 million for the insurance proceeds expected from its insurers related to the settlement. The net amount of $4.5 million is included in other expense in the condensed consolidated statement of operations.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CFIUS Review</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the Company and Mikhail Kokorich submitted a joint notice to the CFIUS for review of the historical acquisition of interests in the Company by Mr. Kokorich, his wife, and entities that they control in response to concerns of the U.S. Department of Defense regarding the Company’s foreign ownership and control. On June 8, 2021, the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the NSA.</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NSA and pursuant to stock repurchase agreements entered into with the Company, effective as of June 8, 2021, each of Mr. Kokorich, Nortrone Finance S.A. and Brainyspace LLC (collectively “the 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160" w:after="160"/>
        <w:jc w:val="both"/>
        <w:rPr/>
      </w:pPr>
      <w:r>
        <w:rPr>
          <w:rFonts w:ascii="Times New Roman;sans-serif" w:hAnsi="Times New Roman;sans-serif"/>
          <w:b/>
          <w:color w:val="000000"/>
          <w:sz w:val="20"/>
        </w:rPr>
        <w:t>Note 12. Commitments and Contingencies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Founders”) agreed to sell 100% of their respective equity interests in the Company on June 30, 2021. The Company paid an aggregate of $40 million to the Co-Founders following the Business Combination, and an additional payment of an aggregate of $10 million was payable within 10 business days after cumulative business combination or capital raising transactions (whether in the form of debt or equity) resulted in cash proceeds to the Company of no less than $250 million.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2023 the Company raised aggregate gross proceeds of $10.0 million through the sale of securities (see Note 9 for additional information), which together with the Business Combination and other capital raising activities triggered the $10.0 million liability to the Co-Founders in accordance with the terms of the stock repurchase agreements. The amount had previously been recorded as an estimated liability with a corresponding offset to additional paid in capital within the condensed consolidated statements of stockholders’ equity as of December 31, 2022.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NSA establishes various requirements and restrictions on the Company to protect U.S. national security, certain of which may materially and adversely affect the Company’s operating results due to the cost of compliance, limitations on the Company’s control over certain U.S. facilities, contracts, personnel, vendor selection and operations, and any potential penalties for noncompliance with such requirements and restrictions. The NSA provides for quarterly compliance auditing by an independent auditor. The NSA further provides for liquidated damages up to $1,000,000 per breach of the NSA. If the CFIUS Monitoring Agencies, the U.S. Departments of Defense and Treasury, find noncompliance, the CFIUS Monitoring Agencies could impose penalties, including liquidated damages.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legal expenses related to these matters of approximately $0.1 million and $0.8 million during the three months ended March 31, 2023 and 2022, respectively, and expects to continue to incur legal expenses in the future.</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Shareholder Section 220 Litigation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June 16, 2022, Plaintiff and the Company’s shareholder James Burk filed a verified complaint against the Company in the Delaware Court of Chancery, Case. No. 2022-0519, to inspect the books and records of the Company pursuant to Section 220 of the Delaware General Corporation Law. Plaintiff seeks production of books and records relating to the management of the Company and its disclosures to potential investors in connection with the Business Combination. The matter is currently stayed pending the Company's production of certain documents to satisfy Plaintiff's requests for inspection. Plaintiff has demanded an order compelling the Company to comply with Plaintiff's production demands and granting Plaintiff an award of attorney's fees in connection with its prosecution of the matter. The Company from time to time responds to books and records requests properly submitted pursuant to applicable Delaware law. The Company disputes the allegations in the complaint and intends to vigorously defend the litigation.</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Shareholder Derivative Litigation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June 20, 2022, a shareholder derivative action was filed by Brian Lindsey, on behalf of the Company, in the U.S. District Court for the Central District of California, Case No. 2:22-cv-04212, against the Company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 litigation. Defendants dispute the allegations as stated in this derivative action. On September 27, 2022, Plaintiff filed his Notice of Voluntary Dismissal without Prejudice seeking to dismiss the case. Because Plaintiff’s dismissal of this derivative action was voluntary and without prejudice, this plaintiff and/or other shareholders may seek to re-file the claims asserted in this matter at a later date. The Company intends to vigorously defend any such litigation.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25, 2023, a shareholder derivative action was filed by Melissa Hanna, on behalf of the Company, in the US District Court for the Northern District of California, Case No. 5:23-cv-00374, against the Company (as a nominal defendant), SRAC, Brian Kabot, Juan Manuel Quiroga, James Norris, James Hofmockel, Mikhail Kokorich, Dawn Harms, Fred Kennedy, Chris Hadfield, Mitchel B. Kugler, Victorino Mercado, Kimberly A. Reed, Linda J. Reiners, and John C. Rood (the “Derivative Action II”). The Derivative Action II alleges the same core allegations as stated in the Securities Class Actions, and also claims that the Company ignored and/or refused a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160" w:after="160"/>
        <w:jc w:val="both"/>
        <w:rPr/>
      </w:pPr>
      <w:r>
        <w:rPr>
          <w:rFonts w:ascii="Times New Roman;sans-serif" w:hAnsi="Times New Roman;sans-serif"/>
          <w:b/>
          <w:color w:val="000000"/>
          <w:sz w:val="20"/>
        </w:rPr>
        <w:t>Note 12. Commitments and Contingencies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demand made by Ms. Hanna on the Company’s Board of Directors. The Company disputes the allegations in the complaint and intends to vigorously defend the litigation.</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April 25, 2023, a shareholder derivative action was filed by Justin Rivlin, purportedly on behalf of the Company, in the United States District Court for the District of California, Case No. 2:23-cv-03120, against the Company (as a nominal defendant), Brian Kabot, James Norris, Marc Lehmann, James Hofmockel, and Ann Kono. The Rivlin derivative action alleges the same core allegations as stated in the Securities Class Actions. The Company disputes the allegations in the complaint and intends to vigorously defend the litigation.</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SAFE Note Litigation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July 20, 2022, The Larian Living Trust ("TLLT") filed an action against the Company in New Castle County Superior Court, Delaware, in the Complex Commercial Litigation Division, Case No. N22C-07-133 EMD CCLD. TLLT pleads claims for fraudulent inducement and breach of contract arising from two investment contracts pursuant to which TLLT alleges it invested $4 million in the Company. TLLT alleges that a "liquidity event" occurred when the Company closed the Business Combination, such that it was entitled to the greater of its $4 million investment or its “Conversion Amount” of the Company’s shares, which was a total of 724,995 shares of the Company’s stock. TLLT further alleges that the Company refused to provide it the conversion amount of shares until April 2022, at which point the value of its shares had dropped significantly from their peak value in August of 2021, in excess of $7.6 million. TLLT seeks damages in excess of $7.6 million, in addition to interests and its attorney's fees and costs. On March 16, 2023, the Company’s motion to dismiss TLLT’s claims was denied and the parties will move forward with discovery. The Company disputes the allegations in the complaint and intends to vigorously defend the litigation.</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Founder Litigation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June 8, 2021, former co-founders and shareholders of the Company, Mikhail Kokorich and Lev Khasis signed the NSA alongside stock repurchase agreements, whereby they agreed to divest their interests in the Company in exchange for a cash payments and other considerations. As part of the NSA and stock repurchase agreements,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Securities and Exchange Commission, which remains pending in the US District Court for the District of Columbia, Case No. 1:21-cv-01869. Mr. Kokorich has demanded indemnification and advancement from the Company for his fees and costs incurred in these actions, which claims are disputed by the Company.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maintain that Mr. Kokorich’s release in the NSA and stock repurchase agreements is effective as to his claims for advancement and indemnification in these litigation matters. On August 16, 2022, Mr. Kokorich filed a verified complaint against the Company in the Delaware Court of Chancery (Case. No. 2022-0722) seeking indemnification and advancement from the Company. Following the Company filing a motion to dismiss this action, on November 14, 2022 Mr. Kokorich filed an amended complaint. Additional motions to dismiss and replies were filed and considered at a hearing on February 2, 2023, with an order on the Company’s motion to dismiss expected in the coming weeks. The Company disputes the allegations in the complaint and intends to vigorously defend the litigation.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2023, Mr. Khasis filed a verified complaint against the Company in the Delaware Court of Chancery (Case. No. 2023-0361) seeking indemnification and advancement of expenses from the Company. The Company disputes the allegations in the complaint and intends to vigorously defend the litigation.</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Delaware Class Action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10, 2022, purported stockholders filed a putative class action complaint against Brian Kabot, James Hofmockel, Ann Kono, Marc Lehmann, James Norris, Juan Manuel Quiroga, SRC-NI Holdings, LLC, Edward K. Freedman, Mikhail Kokorich, Dawn Harms, Fred Kennedy, and John C. Rood in the Court of Chancery of the 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160" w:after="160"/>
        <w:jc w:val="both"/>
        <w:rPr/>
      </w:pPr>
      <w:r>
        <w:rPr>
          <w:rFonts w:ascii="Times New Roman;sans-serif" w:hAnsi="Times New Roman;sans-serif"/>
          <w:b/>
          <w:color w:val="000000"/>
          <w:sz w:val="20"/>
        </w:rPr>
        <w:t>Note 12. Commitments and Contingencies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of Delaware, in a case captioned Shirley, et al. v. Kabot et al., 2022-1023-PAF. The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on or before August 9, 2021. The putative class action does not name the Company as a defendant. Regardless, the SRAC directors and officers, together with current and former directors and officers of the Company, have demanded indemnification and advancement from the Company, under the terms of the merger agreement and the exhibits thereto, the Delaware corporate code, the Company’s bylaws, and their individual indemnification agreements. The Company may be liable for the fees and costs incurred by the SRAC defendants, and has an obligation to advance such fees during the pendency of the litigation. On December 5, 2022, a motion of interested party James Burk to stay proceedings was filed by the plaintiff in the Shareholder Section 220 Litigation (discussed above). On January 25, 2023, the putative stockholders filed their opposition to the motion of interested party James Burk to stay proceedings. On February 3, 2023, interested party James Burk filed his reply in support of the motion to stay proceedings. On February 9, 2023, the court denied the motion of interested party James Burk to stay proceedings. The Company disputes the allegations in the complaint and intends to vigorously defend against any such litigation.</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Putative Class Actions</w:t>
      </w:r>
    </w:p>
    <w:p>
      <w:pPr>
        <w:pStyle w:val="TextBody"/>
        <w:bidi w:val="0"/>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16, 2023, purported stockholders of the Company filed a putative class action complaint against certain current and former directors and officers of the Company in the Delaware Court of Chancery, in a case captioned Lora v. Kabot, et al., Case No. 2023-0322. The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 The putative class action does not name the Company as a defendant. Regardless, the current and former directors and officers of the Company named as defendants have demanded indemnification and advancement from the Company under the terms of the Merger Agreement and the exhibits thereto, the Delaware corporate code, the Company’s bylaws, and their individual indemnification agreements. The Company may be liable for the fees and costs incurred by the defendants, and may have an obligation to advance such fees during the pendency of the litigation.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17, 2023, purported stockholders of the Company filed a putative class action complaint against certain current and former directors and officers of the Company in the Delaware Court of Chancery, in a case captioned Burk v. Kabot, et al., Case No. 2023-0334. Like the Lora complaint, the Burk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 The putative class action does not name the Company as a defendant. Regardless, the current and former directors and officers of the Company named as defendants have demanded indemnification and advancement from the Company under the terms of the Merger Agreement and the exhibits thereto, the Delaware corporate code, the Company’s bylaws, and their individual indemnification agreements. The Company may be liable for the fees and costs incurred by the defendants, and may have an obligation to advance such fees during the pendency of the litigation.</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Litigation and Related Matters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operating results and financial condition.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 a party to litigation and subject to claims incident to the ordinary course of business on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160" w:after="160"/>
        <w:jc w:val="both"/>
        <w:rPr/>
      </w:pPr>
      <w:r>
        <w:rPr>
          <w:rFonts w:ascii="Times New Roman;sans-serif" w:hAnsi="Times New Roman;sans-serif"/>
          <w:b/>
          <w:color w:val="000000"/>
          <w:sz w:val="20"/>
        </w:rPr>
        <w:t>Note 12. Commitments and Contingencies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At each reporting period, the Company evaluates whether or not a potential loss amount or a potential range of loss is probable and reasonably estimable under ASC 450-20. Legal fees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13. Income Taxes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for the three months ended March 31, 2023 and 2022, respectively,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Quarterly Report on Form 10-Q (this “Form 10-Q”) and Annual Report on Form 10-K filed with the SEC on March 8, 2023. This discussion and analysis should also be read together with our financial information for the period ended and as of March 31, 2023.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under Part II, Item 1A: "Risk Factors," in this Form 10-Q and under Part I, Item 1A in our Annual Report on Form 10-K filed with the SEC on March 8, 2023, and “Cautionary Statement Regarding Forward-Looking Statements” elsewhere in this Form 10-Q, our actual results may differ materially from those anticipated in these forward-looking statements.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vary slightly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Momentus offers transportation and infrastructure services to help enable the commercialization of space. Satellite operators are our principal customers and target commercial customers. Momentus is also seeking business in support of U.S. Government missions for Departments and Agencies like NASA and the Department of Defense.</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that we plan to provide include “last mile” satellite transportation, payload-hosting, on-orbit satellite refueling, on-orbit inspection, on-orbit satellite maintenance, de-orbiting, debris removal, and other satellite-to-satellite service offerings.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transportation service offering will focus on delivering our customers’ satellites to precision orbits of their choosing. To accomplish this, we plan to create a hub-and-spoke transportation network in partnership with leading launch service providers, such as SpaceX. Under this model, our customers’ satellites would “ride share” from Earth to space on a midsized or large rocket. Our Orbital Service Vehicles (“OSVs”) would then provide “last mile” transportation services from the rocket’s drop-off orbit to a custom orbit of the satellite operator’s choosing. We believe our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“last mile” transportation.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founding in 2017, we have been working to develop, test and enhance our vehicles and supporting technologies, particularly our water plasma propulsion technology. We have signed contracts for approximately $33 million in backlog (potential revenue), as of March 31, 2023. These agreements contain firm orders as well as options, allowing customers to opt-in to launches on shorter notice without requiring a separate agreement. The breadth of these signed contracts spans across 19 companies in 13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pStyle w:val="TextBody"/>
        <w:bidi w:val="0"/>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 accessibility for companies entering the new space economy that aim to offer communication, earth observation and data collection services, and other satellite services.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generation of solar energy in space, space manufacturing or space data processing. The advent of these new business models could substantially increase demand for space transportation and other space infrastructure services.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Beyond transportation, we anticipate that growth of the satellite constellations market may drive demand for our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short lifespans and, in our view, will require maintenance, de-orbiting, and other general servicing with higher frequency.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2023, the Company launched its Vigoride 5 OSV to low-earth orbit aboard the SpaceX Transporter-6 mission. The mission is ongoing and the Vigoride 5 OSV is maneuvering under its own power in low-earth orbit. While Vigoride 5 is carrying two customer payloads, the primary mission objective is to test the spacecraft on orbit, learn from any issues that are encountered and implement lessons learned on future Vigoride vehicles and missions.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Vigoride 5 mission, we successfully completed the initial tests on-orbit of the pioneering Microwave Electrothermal Thruster (MET) that relies on solar power and uses distilled water as a propellant. The MET is the Vigoride OSV’s primary propulsion method that produces thrust by expelling extremely hot gases through a rocket nozzle. Unlike a conventional chemical rocket engine, which creates thrust through a chemical reaction, the MET is designed to create a plasma and thrust using solar power to drive a microwave energy source that heats the water propellant. Momentus has two patents in support of this proprietary propulsion technology.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recent MET testing done on-orbit included dozens of firings of the thruster that imparted forces on the Vigoride 5 spacecraft. These forces can change the orbital velocity of the spacecraft, allowing the orbit to be adjusted, changing parameters such as altitude and orbital inclination. This capability allows Momentus to deliver its customers’ payloads to custom orbits. Momentus has used the MET to change the spacecraft altitude during the current Vigoride 5 mission.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Vigoride OSV’s Attitude Control and Reaction Control Systems also use water as a propellant and were recently tested and fully commissioned. With its water-based propulsion systems, Momentus aims to offer cost-effective, efficient, safe, and environmentally friendly propulsion to meet the demands for in-space transportation and infrastructure services.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15, 2023, the Company launched its Vigoride 6 OSV to low-earth orbit aboard the SpaceX Transporter-7 mission. Momentus established contact with its Vigoride 6 vehicle and confirmed that both solar arrays deployed, and the vehicle continues generating power and charging its batteries. Vigoride-6 is providing orbital delivery services for six customer payloads, including a higher delta-v delivery of two satellites to custom orbits for the NASA LLITED mission. Momentus will use its MET to change the orbital inclination of the Vigoride OSV to support these deliveries.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Vigoride 6 mission is also hosting a Momentus technology demonstration of a new kind of solar array. The Tape Spring Solar Array (TASSA) technology features large sheets of flexible solar cells bonded to tape springs. To stow, they are tightly coiled around a mandrel. After launch, motors unroll the mandrel, deploying the solar array. Momentus aims to drive down vehicle production costs and streamline on-orbit operations, while reducing the cost of power for the satellite, with this technology once operational.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execute on our business plan is dependent on the continued development and successful commercialization of the technologies described in this Form 10-Q. We believe our water plasma propulsion technology will be a key differentiator of our product offerings, and preliminary in-space tests are successful, but we have yet to confirm the unit’s ability to generate sufficient thrust for completion of deliveries, and there can be no assurance that it can be operated in a manner that is sufficiently reliable and efficient to permit full commercialization of the technology. Development of space technologies is extremely complex, time consuming, and expensive, and there can be no assurance that our predicted theoretical and ground-based results will translate into operational space vehicles that operate within the parameters we expect, or at all. This Form 10-Q describes Momentus’ current business plans for continuing to develop its technology and marketing and commercializing its products, however there can be no assurance that Momentus will be able to successfully develop its technologies and implement them in commercially viable vehicles.</w:t>
      </w:r>
    </w:p>
    <w:p>
      <w:pPr>
        <w:pStyle w:val="TextBody"/>
        <w:bidi w:val="0"/>
        <w:spacing w:before="16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Services Overview</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When our technology is fully developed and validated in the future, we currently plan to provide the following infrastructure services to the space economy:</w:t>
      </w:r>
    </w:p>
    <w:p>
      <w:pPr>
        <w:pStyle w:val="TextBody"/>
        <w:bidi w:val="0"/>
        <w:spacing w:lineRule="auto" w:line="288" w:before="160" w:after="160"/>
        <w:jc w:val="both"/>
        <w:rPr/>
      </w:pPr>
      <w:r>
        <w:rPr>
          <w:rFonts w:ascii="Times New Roman;sans-serif" w:hAnsi="Times New Roman;sans-serif"/>
          <w:b/>
          <w:i/>
          <w:color w:val="000000"/>
          <w:sz w:val="20"/>
        </w:rPr>
        <w:t>Space Transportation.</w:t>
      </w:r>
      <w:r>
        <w:rPr>
          <w:color w:val="000000"/>
        </w:rPr>
        <w:t xml:space="preserve"> </w:t>
      </w:r>
      <w:r>
        <w:rPr>
          <w:rFonts w:ascii="Times New Roman;sans-serif" w:hAnsi="Times New Roman;sans-serif"/>
          <w:b w:val="false"/>
          <w:color w:val="000000"/>
          <w:sz w:val="20"/>
        </w:rPr>
        <w:t>We are developing a space transportation service based on a hub-and-spoke model, which combines ride share launch on a medium or large rocket with last-mile delivery using one of our OSVs. Under this model, our customers will deliver their payload to us a few months prior to launch for integration onto our vehicle. Once we have integrated our customers’ payloads, we will then ship our vehicle, holding the customer payload fixture, to the launch site, where it will be integrated onto the rocket. The rocket will then transport our vehicle to the drop-off orbit. After separation from the rocket, our vehicle will transport our customers’ payloads to their chosen final orbit.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designing our water plasma thrusters to enable our vehicle to efficiently transport each customer payload to its respective orbit. We believe our hub-and-spoke model has the potential to expand our customers’ deployment options relative to what they could achieve with ride share launch alone, while reducing their costs relative to what they could achieve with a dedicated small launch vehicle.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Initially, our vehicles will de-orbit after delivering our customer payloads to their final orbits. Ultimately, our plan is to develop the capability for our vehicles to be reusable, such that, upon delivery of the payload, they will be capable of remaining in space to conduct additional missions.</w:t>
      </w:r>
    </w:p>
    <w:p>
      <w:pPr>
        <w:pStyle w:val="TextBody"/>
        <w:bidi w:val="0"/>
        <w:spacing w:lineRule="auto" w:line="288" w:before="160" w:after="160"/>
        <w:jc w:val="both"/>
        <w:rPr/>
      </w:pPr>
      <w:r>
        <w:rPr>
          <w:rFonts w:ascii="Times New Roman;sans-serif" w:hAnsi="Times New Roman;sans-serif"/>
          <w:b/>
          <w:i/>
          <w:color w:val="000000"/>
          <w:sz w:val="20"/>
        </w:rPr>
        <w:t>Hosted Payload</w:t>
      </w:r>
      <w:r>
        <w:rPr>
          <w:rFonts w:ascii="Times New Roman;sans-serif" w:hAnsi="Times New Roman;sans-serif"/>
          <w:b w:val="false"/>
          <w:color w:val="000000"/>
          <w:sz w:val="20"/>
        </w:rPr>
        <w:t xml:space="preserve">. We are developing a modular approach to satellite systems through our subscription-based hosted payload service. This service is designed to help our customers avoid a meaningful capital outlay to design and manufacture a bespoke satellite as they would under traditional business models, which assumed tight integration of a given payload with its satellite bus. We have designed our transfer vehicles for modularity and ease of integration with customer payloads, with a full suite of capabilities that our customers will need on orbit. Under our hosted payload model, after transporting a customer payload to a specific orbit our vehicle would stay connected to the payload for the duration of its mission to provide continuous power, orbit maintenance, orientation, and communications to support telemetry, commanding, and downlinking of payload data. </w:t>
      </w:r>
    </w:p>
    <w:p>
      <w:pPr>
        <w:pStyle w:val="TextBody"/>
        <w:bidi w:val="0"/>
        <w:spacing w:lineRule="auto" w:line="288" w:before="160" w:after="160"/>
        <w:jc w:val="both"/>
        <w:rPr/>
      </w:pPr>
      <w:r>
        <w:rPr>
          <w:rFonts w:ascii="Times New Roman;sans-serif" w:hAnsi="Times New Roman;sans-serif"/>
          <w:b/>
          <w:i/>
          <w:color w:val="000000"/>
          <w:sz w:val="20"/>
        </w:rPr>
        <w:t>In-Orbit Servicing</w:t>
      </w:r>
      <w:r>
        <w:rPr>
          <w:rFonts w:ascii="Times New Roman;sans-serif" w:hAnsi="Times New Roman;sans-serif"/>
          <w:b w:val="false"/>
          <w:color w:val="000000"/>
          <w:sz w:val="20"/>
        </w:rPr>
        <w:t>. We view in-orbit servicing of satellites as a quickly growing business opportunity. As the number of satellites in space increases, so does their need to be serviced. We plan to design Momentus’ future reusable vehicles to be capable of performing in-orbit servicing and are pursuing development activities that support this objective. Although we are still in very preliminary stages for developing this technology, our aim is to equip future vehicles with robotic arms and the ability to maneuver in close proximity to other spacecraft and dock or berth with them. Once fully developed, we believe these capabilities could allow us to offer a suite of different in-orbit services, such as inspection, refueling, life extension, re-positioning, salvage missions, maintenance and repair, and de-orbiting.</w:t>
      </w:r>
    </w:p>
    <w:p>
      <w:pPr>
        <w:pStyle w:val="TextBody"/>
        <w:bidi w:val="0"/>
        <w:spacing w:lineRule="auto" w:line="288" w:before="0" w:after="0"/>
        <w:jc w:val="both"/>
        <w:rPr/>
      </w:pPr>
      <w:r>
        <w:rPr>
          <w:rFonts w:ascii="Times New Roman;sans-serif" w:hAnsi="Times New Roman;sans-serif"/>
          <w:b/>
          <w:i/>
          <w:color w:val="000000"/>
          <w:sz w:val="20"/>
        </w:rPr>
        <w:t xml:space="preserve">Satellite Bus. </w:t>
      </w:r>
      <w:r>
        <w:rPr>
          <w:rFonts w:ascii="Times New Roman;sans-serif" w:hAnsi="Times New Roman;sans-serif"/>
          <w:b w:val="false"/>
          <w:color w:val="000000"/>
          <w:sz w:val="20"/>
        </w:rPr>
        <w:t xml:space="preserve">We are offering a modified version of the Vigoride OSV for use as a satellite bus for commercial and government customers. With modification, the Vigoride OSV offers significant capabilities that support the missions of these commercial and government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performance and future success depend to a substantial extent on our ability to capitalize on the following opportunities, which in turn is subject to significant risks and challenges, including those discussed below.</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In-Space Transport and Service Vehicles and Related Technology Development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research and development objectives focus on the development of our existing and future in-space transfer and service vehicles and related water plasma propulsion technology.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Vigoride is the first vehicle that Momentus is developing. Once fully developed, tested and validated in space, we expect Vigoride will be sufficient to meet our initial operating plan of offering in-space transportation in low-earth orbit to small satellites. Vigoride is intended to transport up to 750 kg of customer payload in low-earth orbit, although our payload capacity will likely be lower in most common configurations. We have set the delta-v and host power objectives for Vigoride at 2 km/sec and 1 kW, respectively, which we believe we can achieve a few years into our product roadmap.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secured space for one additional Vigoride test and demonstration missions on launches that SpaceX plans to conduct in 2023. While securing space on the manifest is an important step, all future missions remain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w:t>
      </w:r>
    </w:p>
    <w:p>
      <w:pPr>
        <w:pStyle w:val="TextBody"/>
        <w:bidi w:val="0"/>
        <w:spacing w:lineRule="auto" w:line="288" w:before="160" w:after="60"/>
        <w:jc w:val="both"/>
        <w:rPr>
          <w:rFonts w:ascii="Times New Roman;sans-serif" w:hAnsi="Times New Roman;sans-serif"/>
          <w:b w:val="false"/>
          <w:color w:val="000000"/>
          <w:sz w:val="20"/>
        </w:rPr>
      </w:pPr>
      <w:r>
        <w:rPr>
          <w:rFonts w:ascii="Times New Roman;sans-serif" w:hAnsi="Times New Roman;sans-serif"/>
          <w:b w:val="false"/>
          <w:color w:val="000000"/>
          <w:sz w:val="20"/>
        </w:rPr>
        <w:t>Early Vigoride vehicles will not be reusable, meaning that we will de-orbit them following delivery of their customer payloads. However, as early as 2025, we aim to make our vehicles capable of reuse such that, upon delivery of their payloads, they will be able to remain in space to conduct follow-on missions. Establishing reusable vehicles will require significant additional research and technological developments. We believe our choice of water as a propellant will help with the creation of reusable vehicles because water can be stored without special conditions, other than ensuring lines and tanks do not freeze or become obstructed with ice, for an indefinite amount of time and pumped easily. Additionally, water is safe and non-hazardous relative to commonly used propellants such as cryogenic components and hypergolic toxic fuels for chemical propulsion, or highly pressurized noble gases (such as xenon or krypton) for electrical propulsion. We believe that if we are able to achieve reusability, it will allow us to lower manufacturing and launch costs on a per-ride basis and achieve higher margins and returns for our investors while also reducing our environmental impact.</w:t>
      </w:r>
    </w:p>
    <w:p>
      <w:pPr>
        <w:pStyle w:val="TextBody"/>
        <w:bidi w:val="0"/>
        <w:spacing w:lineRule="auto" w:line="288" w:before="160" w:after="60"/>
        <w:jc w:val="both"/>
        <w:rPr>
          <w:rFonts w:ascii="Times New Roman;sans-serif" w:hAnsi="Times New Roman;sans-serif"/>
          <w:b w:val="false"/>
          <w:color w:val="000000"/>
          <w:sz w:val="20"/>
        </w:rPr>
      </w:pPr>
      <w:r>
        <w:rPr>
          <w:rFonts w:ascii="Times New Roman;sans-serif" w:hAnsi="Times New Roman;sans-serif"/>
          <w:b w:val="false"/>
          <w:color w:val="000000"/>
          <w:sz w:val="20"/>
        </w:rPr>
        <w:t>Beyond Vigoride, we envision bringing larger vehicles to market. These vehicles will be similar to our Vigoride vehicle, but with larger structures, larger solar arrays, and more powerful propulsion systems in order to carry progressively larger payloads progressively further from Earth.</w:t>
      </w:r>
    </w:p>
    <w:p>
      <w:pPr>
        <w:pStyle w:val="TextBody"/>
        <w:bidi w:val="0"/>
        <w:spacing w:lineRule="auto" w:line="288" w:before="16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successful development of our vehicles with water plasma propulsion technology involves uncertainties, including:</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timing in finalizing systems design and specifications;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successful completion of test programs and demonstration missions;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receipt and the timing of such receipt of licenses and government approvals that will allow us to fly our vehicles in space and gather valuable data that will assist in further development of our vehicles;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meeting stated technological objectives and goals for the design on time, on budget and within target cost objectives;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our ability to obtain additional applicable approvals, licenses or certifications from regulatory agencies and maintaining current approvals, licenses or certifications;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our ability to secure slots on our launch providers’ manifests;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performance of our manufacturing facility despite risks that disrupt productions, such as natural disasters;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performance of our third-party contractors that support our research and development activities;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performance of a limited number of suppliers for certain raw materials and supplied components and their willingness to do business with us;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our ability to protect our intellectual property critical to the design and function of our OSVs;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our ability to continue funding and maintaining our current research and development activities; and</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our ability to comply with the terms of the NSA and any related compliance measures instituted by the Security Director.</w:t>
      </w:r>
    </w:p>
    <w:p>
      <w:pPr>
        <w:pStyle w:val="TextBody"/>
        <w:bidi w:val="0"/>
        <w:spacing w:lineRule="auto" w:line="288" w:before="160" w:after="60"/>
        <w:jc w:val="both"/>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variables could delay the development of our vehicles which in turn could impact our business and results of operations.</w:t>
      </w:r>
    </w:p>
    <w:p>
      <w:pPr>
        <w:pStyle w:val="TextBody"/>
        <w:bidi w:val="0"/>
        <w:spacing w:lineRule="auto" w:line="288" w:before="160" w:after="60"/>
        <w:jc w:val="both"/>
        <w:rPr>
          <w:rFonts w:ascii="Times New Roman;sans-serif" w:hAnsi="Times New Roman;sans-serif"/>
          <w:b/>
          <w:i/>
          <w:color w:val="000000"/>
          <w:sz w:val="20"/>
        </w:rPr>
      </w:pPr>
      <w:r>
        <w:rPr>
          <w:rFonts w:ascii="Times New Roman;sans-serif" w:hAnsi="Times New Roman;sans-serif"/>
          <w:b/>
          <w:i/>
          <w:color w:val="000000"/>
          <w:sz w:val="20"/>
        </w:rPr>
        <w:t>Initial and Successive Launches</w:t>
      </w:r>
    </w:p>
    <w:p>
      <w:pPr>
        <w:pStyle w:val="TextBody"/>
        <w:bidi w:val="0"/>
        <w:spacing w:lineRule="auto" w:line="288" w:before="160" w:after="60"/>
        <w:jc w:val="both"/>
        <w:rPr>
          <w:rFonts w:ascii="Times New Roman;sans-serif" w:hAnsi="Times New Roman;sans-serif"/>
          <w:b w:val="false"/>
          <w:color w:val="000000"/>
          <w:sz w:val="20"/>
        </w:rPr>
      </w:pPr>
      <w:r>
        <w:rPr>
          <w:rFonts w:ascii="Times New Roman;sans-serif" w:hAnsi="Times New Roman;sans-serif"/>
          <w:b w:val="false"/>
          <w:color w:val="000000"/>
          <w:sz w:val="20"/>
        </w:rPr>
        <w:t>Our water plasma propulsion technology (that we are developing) is based on the use of microwave electrothermal or “MET,” thrusters, which we believe could ultimately provide safe, affordable, reliable, and regular in-space services, including space transportation, hosted payload, and in-orbit servicing. To accomplish this, we currently intend to:</w:t>
      </w:r>
    </w:p>
    <w:p>
      <w:pPr>
        <w:pStyle w:val="TextBody"/>
        <w:bidi w:val="0"/>
        <w:spacing w:lineRule="auto" w:line="288" w:before="160" w:after="60"/>
        <w:jc w:val="both"/>
        <w:rPr/>
      </w:pPr>
      <w:r>
        <w:rPr>
          <w:rFonts w:ascii="Times New Roman;sans-serif" w:hAnsi="Times New Roman;sans-serif"/>
          <w:b/>
          <w:color w:val="000000"/>
          <w:sz w:val="20"/>
        </w:rPr>
        <w:t>Develop our commercial program for in-space transportation</w:t>
      </w:r>
      <w:r>
        <w:rPr>
          <w:rFonts w:ascii="Times New Roman;sans-serif" w:hAnsi="Times New Roman;sans-serif"/>
          <w:b w:val="false"/>
          <w:color w:val="000000"/>
          <w:sz w:val="20"/>
        </w:rPr>
        <w:t>. We conducted our inaugural test and demonstration mission with Vigoride in 2022 and began our second and third tests and demonstration missions in January and April 2023, respectively. We plan to conduct one additional test and demonstration mission with Vigoride during 2023.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60"/>
        <w:jc w:val="both"/>
        <w:rPr/>
      </w:pPr>
      <w:r>
        <w:rPr>
          <w:rFonts w:ascii="Times New Roman;sans-serif" w:hAnsi="Times New Roman;sans-serif"/>
          <w:b/>
          <w:color w:val="000000"/>
          <w:sz w:val="20"/>
        </w:rPr>
        <w:t>Launch our commercial program for hosted payload</w:t>
      </w:r>
      <w:r>
        <w:rPr>
          <w:rFonts w:ascii="Times New Roman;sans-serif" w:hAnsi="Times New Roman;sans-serif"/>
          <w:b w:val="false"/>
          <w:color w:val="000000"/>
          <w:sz w:val="20"/>
        </w:rPr>
        <w:t>. We are developing a modular approach to satellite systems through our hosted payload model. For missions that require significant power for the payload and/or specific orbits, our objective is for Momentus to be able to provide a unique combination of a low-cost service model, in-orbit flexibility, and high electrical power generation.</w:t>
      </w:r>
    </w:p>
    <w:p>
      <w:pPr>
        <w:pStyle w:val="TextBody"/>
        <w:bidi w:val="0"/>
        <w:spacing w:lineRule="auto" w:line="288" w:before="160" w:after="60"/>
        <w:jc w:val="both"/>
        <w:rPr/>
      </w:pPr>
      <w:r>
        <w:rPr>
          <w:rFonts w:ascii="Times New Roman;sans-serif" w:hAnsi="Times New Roman;sans-serif"/>
          <w:b/>
          <w:color w:val="000000"/>
          <w:sz w:val="20"/>
        </w:rPr>
        <w:t>Launch our commercial program for in-orbit servicing</w:t>
      </w:r>
      <w:r>
        <w:rPr>
          <w:rFonts w:ascii="Times New Roman;sans-serif" w:hAnsi="Times New Roman;sans-serif"/>
          <w:b w:val="false"/>
          <w:color w:val="000000"/>
          <w:sz w:val="20"/>
        </w:rPr>
        <w:t xml:space="preserve">. If we develop reusability for our vehicles as currently contemplated, we believe we will be able to begin offering a suite of different in-orbit services to our clients. Although we have not yet developed these capabilities or the technology that would be required to provide these services, such services may include inspection, refueling, life extension, re-positioning, salvage missions, maintenance and repair, and de-orbiting. As the quantity of satellites sent into space continues to increase, we anticipate growing demand from such services. </w:t>
      </w:r>
    </w:p>
    <w:p>
      <w:pPr>
        <w:pStyle w:val="TextBody"/>
        <w:bidi w:val="0"/>
        <w:spacing w:lineRule="auto" w:line="288" w:before="16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in-space infrastructure services business will depend on our ability to successfully and regularly deliver customer satellites into custom orbits. Our early missions, particularly those in 2022 and 2023, including our inaugural mission (Vigoride 3) in May 2022, were and are intended to be demonstration missions. The primary goals of our planned demonstration missions are to test Vigoride in orbit and learn from any issues that we encounter. The lessons learned from demonstration missions will help inform changes we can make to our Vigoride vehicle as we seek to ultimately certify a design for production. Depending on the nature of issues we encounter, our schedule for future launches and other planned activities could be adversely affected. There can be no assurance that we will not experience operational or process failures and other problems during our future demonstration missions or on any future mission. Any failures or setbacks, particularly those that we experienced on our inaugural mission (Vigoride 3) and those that we may encounter on other early missions, could harm our reputation and have a material adverse effect on our business, financial condition and results of operation.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Customer Demand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received significant interest from a range of satellite operators, satellite manufacturers, satellite aggregators, launch service providers, and others. As of March 31, 2023, we had collected approximately $3.2 million in customer deposits related to future launches. There were no refunds paid during the three months ended March 31, 2023 and 2022.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Because our technologies have not yet been fully tested, our service offering to our customers on our demonstration missions will be limited. To reflect this, we expect to provide discounts to customers on these demonstration missions relative to the price we intend to eventually charge for our transportation services. During our demonstration missions, we plan to demonstrate Vigoride’s ability to deploy satellites. Once all customer payloads have been released, we plan to perform certain maneuvers and technology demonstrations to validate our technology and establish the potential commercial viability of our strategy. This approach limits risk for us as well as for our customers.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signed contracts for approximately $33 million in backlog (potential revenue), as of March 31, 2023. These agreements include firm orders as well as options, which allow customers to opt-in to launches on shorter notice without requiring a separate agreement. The breadth of these signed contracts spans across 19 companies in 13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backlog is subject to meaningful customer concentration risk. As of March 31, 2023, approximately 86% of the total dollar value of our backlog related to three launch services providers and aggregators of launch services capacity, and their affiliates. The top ten customers in our backlog represent approximately 98% of the total dollar value of our backlog.</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backlog is typically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 xml:space="preserve">Recent Developments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February 2023 Securities Purchase Agreement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2023, Momentus sold an aggregate of 9,396,000 shares of Common Stock at a purchase price of $0.8646 per share, pre-funded warrants to purchase an aggregate of 2,170,043 shares of Common Stock at a purchase price of $0.8646 per pre-funded warrant less the exercise price of $0.00001 per pre-funded warrant, and warrants to purchase 11,566,043 shares of Common Stock to an institutional investor. The aggregate gross proceeds of this offering, before the deduction of fees and expenses, was approximately $10.00 million. We used all of the net proceeds from this offering to satisfy certain stock repurchase obligations of the Company from prior to the Business Combination.</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Organizational Changes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28, 2022, Jikun Kim, the Chief Financial Officer of the Company, tendered his resignation effective January 6, 2023. On January 3, 2023, the Board of Directors appointed Dennis Mahoney as the Interim Chief Financial Officer and principal accounting officer of the Company, effective as of January 7, 2023. Then on April 5, 2023, the Board of Directors appointed Eric Williams as the permanent Chief Financial Officer and principal accounting officer of the Company.</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At-The-Market Offering</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28, 2022, Momentus entered into ATM Sales Agreement. Pursuant to the ATM Sales Agreement, the Company may from time to time sell, through the sales agent using ATM offerings, shares of Common Stock up to an aggregate offer price of $50.0 million. Under the ATM Sales Agreement, the sales agent will be entitled to compensation at a commission rate of up to 3.0% of the gross sales price per share sold.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sales under the ATM Sales Agreement.</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CFIUS Review</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expenses in connection with the CFIUS review described below and have incurred and expect to incur significant expenses in connection with the implementation of the NSA described below. We have also incurred significant expenses related to the SEC settlement discussed below. The Company has incurred legal expenses related to these matters of approximately $0.1 million and $0.8 million during the three months ended March 31, 2023 and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NSA</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the Company and Mikhail Kokorich submitted a joint notice to the CFIUS for review of the historical acquisition of interests in the Company by Mr. Kokorich, his wife, and entities that they control in response to concerns of the U.S. Department of Defense regarding the Company’s foreign ownership and control. On June 8, 2021, the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the National Security Agreement with the U.S. government, represented by the U.S. Departments of Defense and the Treasury (the “NSA”).</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Co-Founder Divestment and Stock Repurchase Agreements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NSA and pursuant to stock repurchase agreements entered into with the Company, effective as of June 8, 2021, each of Mr. Kokorich, Nortrone Finance S.A. and Brainyspace LLC (collectively “the Co-Founders”) agreed to sell 100% of their respective equity interests in the Company on June 30, 2021. The Company paid an aggregate of $40 million to the Co-Founders following the Business Combination, and an additional payment of an aggregate of $10 million was payable within 10 business days after cumulative business combination or capital raising transactions (whether in the form of debt or equity) resulted in cash proceeds to the Company of no less than $250 million.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2023 the Company raised aggregate gross proceeds of $10.0 million through the sale of securities (see Note 9 for additional information), which together with the Business Combination and other capital raising activities triggered the payment of the $10.0 million liability to the Co-Founders in accordance with the terms of the stock repurchase agreements. The amount was paid during the three months ended March 31, 2023, had previously been recorded as an estimated liability with a corresponding offset to additional paid in capital within the condensed consolidated statements of stockholders’ equity as of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recognized $22,000 of revenue, due to forfeited customer deposits upon contract termination for late payment. Revenue from Vigoride 5 and Vigoride 6 missions will be recognized upon completion of performance obligations.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have signed contracts with customers and have collected approximately $3.2 million in customer deposits, which are recorded as non-current contract liabilities in our condensed consolidated balance sheets.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expenses associated with the cost of the orbital service vehicle and third-party launch costs. Until the orbital service vehicle design is completed and released for production, the cost of these orbital service vehicles is being expensed as research and development costs as materials and services are received. The current design and technology allow for a single use of the orbital service vehicle.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expenditures consist primarily of the cost for the following activities for developing existing and future technologies for our vehicles. Research and development activities include basic research, applied research, design, development, and related test program activities. Costs incurred for developing our vehicles primarily include equipment, material, and labor hours (both internal and subcontractors). The Company also records launch costs related to the testing of its Vigoride vehicles as research and development costs.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have expensed all research and development costs associated with developing and building our vehicles. We expect to continue to see an increase in our research and development expenses as we develop our next generation of vehicles.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also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to comply with the NSA.</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Change in Fair Value of Warrant Liability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warrants consists of changes in the estimated fair value of our warrant liability.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earned on investment holdings in interest bearing bank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includes interest incurred related to our loan payables as well as the amortization of warrant discount and debt issuance costs.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primarily relates to non-recurring fees incurred in conjunction with the Term Loan financing, SEC settlement cost, and other immaterial items.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Income Tax Provision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The period-to-period comparisons of financial results are not necessarily indicative of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Comparison of Financial Results for the Three Months Ended March 31, 2023 and 2022</w:t>
      </w:r>
    </w:p>
    <w:tbl>
      <w:tblPr>
        <w:tblW w:w="8776" w:type="dxa"/>
        <w:jc w:val="left"/>
        <w:tblInd w:w="0" w:type="dxa"/>
        <w:tblLayout w:type="fixed"/>
        <w:tblCellMar>
          <w:top w:w="28" w:type="dxa"/>
          <w:left w:w="28" w:type="dxa"/>
          <w:bottom w:w="28" w:type="dxa"/>
          <w:right w:w="28" w:type="dxa"/>
        </w:tblCellMar>
      </w:tblPr>
      <w:tblGrid>
        <w:gridCol w:w="1151"/>
        <w:gridCol w:w="1013"/>
        <w:gridCol w:w="1016"/>
        <w:gridCol w:w="197"/>
        <w:gridCol w:w="727"/>
        <w:gridCol w:w="110"/>
        <w:gridCol w:w="110"/>
        <w:gridCol w:w="110"/>
        <w:gridCol w:w="110"/>
        <w:gridCol w:w="197"/>
        <w:gridCol w:w="727"/>
        <w:gridCol w:w="110"/>
        <w:gridCol w:w="109"/>
        <w:gridCol w:w="109"/>
        <w:gridCol w:w="109"/>
        <w:gridCol w:w="245"/>
        <w:gridCol w:w="414"/>
        <w:gridCol w:w="137"/>
        <w:gridCol w:w="109"/>
        <w:gridCol w:w="109"/>
        <w:gridCol w:w="109"/>
        <w:gridCol w:w="240"/>
        <w:gridCol w:w="241"/>
        <w:gridCol w:w="459"/>
        <w:gridCol w:w="109"/>
        <w:gridCol w:w="109"/>
        <w:gridCol w:w="109"/>
        <w:gridCol w:w="109"/>
        <w:gridCol w:w="109"/>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 revenue</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 expenses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459"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459"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loss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(24,824)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warrant liability</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459"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loss on disposal of asset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459"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459"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Litigation settlement, net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459"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(20,825)</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(26,834)</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three months ended March 31, 2023 was composed of $22,000 due to forfeited customer deposits upon contract termination for late payment.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revenue recognized during the three months ended March 31,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from $10.0 million in the three months ended March 31, 2022 to $10.1 million in the three months ended March 31, 2023. The increase was primarily due to increased subcontracted research and development costs which increased by $0.7 million and $0.5 million of launch costs for Vigoride 5 amortized during the three months ended March 31, 2023. These increases were offset by decreased spending on components, materials, and other costs of $1.0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from $14.9 million in the three months ended March 31, 2022 to $10.3 million in the three months ended March 31, 2023. SEC compliance spending decreased by $2.1 million and non-legal professional fees decreased by $1.2 million as the Company’s activity related to the NSA and SEC topics discussed in Note 12 shifted from legal proceedings to compliance. Non-stock based compensation payroll decreased by $0.4 million due to prior year one-time bonuses and executive departures temporarily replaced by consultants, and stock based compensation decreased by $0.6 million due to executive turnover. Insurance and other general corporate costs decreased by $0.3 million.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warrant liability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both the three months ended March 31, 2023 and 2022, the increase in the calculated fair value of the Company’s currently outstanding warrants, which were assumed from the Business Combination, was primarily driven by the observable market price of the publicly listed warrants to purchase the Company’s stock under comparable terms. See Note 9 for additional information.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Realized loss on disposal of asset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realized loss on disposal of asset for the three months ended March 31, 2023 was due to disposals of furniture and equipment related to the end of three minor leases during the three months ended March 31, 2022, compared to no loss on disposals during the three months ended March 31, 2023.</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from an immaterial amount for three months ended March 31, 2022 to $0.6 million for the three months ended March 31, 2023 as the Company invested more in money market funds in response to rising interest rates.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from $1.5 million of cash and amortization interest for the three months ended March 31, 2022 to $0.9 million of cash and amortization interest for the three months ended March 31, 2023 due to the application of the effective interest method which results in less cash and amortization interest as the Term Loan approaches maturity.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Litigation settlement, net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Litigation settlements for the three months ended March 31, 2023 and 2022, were immaterial.</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for the three months ended March 31, 2023 and 2022,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Going Concern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ability to continue as a going concern is dependent on the Company’s ability to generate revenues and raise capital. To date, the Company has not generated sufficient revenues to provide cash flows that enable the Company to finance its operations internally. The Company incurred a net loss of $20.8 million for the three months ended March 31, 2023 and had an accumulated deficit of $325.0 million as of March 31, 2023. Additionally, the Company used net cash of $18.7 million to fund its operating activities for the three months ended March 31, 2023, and had cash and cash equivalents of $38.6 million as of March 31, 2023.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each reporting period, the Company’s management evaluates whether there are conditions or events that raise substantial doubt about the Company’s ability to continue as a going concern within twelve months after the date that the financial statements are issued. The evaluation entails analyzing prospective operating budgets and forecasts for expectations of the Company’s cash needs and comparing those needs to the current cash and cash equivalent balances.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preparation of the condensed consolidated financial statements for the quarterly period ended March 31, 2023, management conducted such an evaluation and concluded there were conditions and events, considered in the aggregate, which raised substantial doubt as to the Company’s ability to continue as a going concern within twelve months after the date of the issuance of such financial statements. However,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evaluation of our strategic business plan, management identified conditions and events that it believes mitigate and alleviate the substantial doubt about the Company’s ability to continue as a going concern.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Going forward, management expects to continue driving bookings and revenue growth, implement a plan management has developed to further reduce our operating expenses, and resolve certain outstanding legal matters. However, there can be no assurance that we will be able to achieve these plans, or that these plans will be successful in permitting the Company to continue as a going concern while the Company pursues additional capital to finance its operations.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on a going concern basis of accounting, which contemplates continuity of operations and the realization of assets and the settlement of liabilities in the normal course of business. The accompanying financial statements do not reflect any adjustments that might result if the Company is unable to continue as a going concern.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5796" w:type="dxa"/>
        <w:jc w:val="left"/>
        <w:tblInd w:w="0" w:type="dxa"/>
        <w:tblLayout w:type="fixed"/>
        <w:tblCellMar>
          <w:top w:w="28" w:type="dxa"/>
          <w:left w:w="28" w:type="dxa"/>
          <w:bottom w:w="28" w:type="dxa"/>
          <w:right w:w="28" w:type="dxa"/>
        </w:tblCellMar>
      </w:tblPr>
      <w:tblGrid>
        <w:gridCol w:w="1069"/>
        <w:gridCol w:w="940"/>
        <w:gridCol w:w="946"/>
        <w:gridCol w:w="212"/>
        <w:gridCol w:w="782"/>
        <w:gridCol w:w="118"/>
        <w:gridCol w:w="118"/>
        <w:gridCol w:w="118"/>
        <w:gridCol w:w="118"/>
        <w:gridCol w:w="212"/>
        <w:gridCol w:w="782"/>
        <w:gridCol w:w="118"/>
        <w:gridCol w:w="109"/>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2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cash equivalents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(24,521)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three months ended March 31, 2023 was $18.7 million, driven primarily by headcount costs, research and development activities, legal expenses, and professional fees, as well as net cash changes in operating assets and liabilities. Headcount related payroll costs, excluding accrued bonus of $0.9 million and stock-based compensation of $1.7 million, were $5.5 million. Research and Development activity expenses, including materials, components, and subcontractor costs were $3.6 million. Professional fees of $4.9 million included $0.6 million of costs related to the SEC and NSA topics discussed in Note 12 and legal fees of $2.4 million. Office overheads, other general corporate expenses, and cash interest were $2.5 million which includes insurance costs of $0.8 million. The Company incurred launch costs of $0.5 million during the three months ended March 31, 2023 that were amortized in connection with its first launch. The Company additionally had change in cash from changes in operating assets and liabilities of $1.6 million.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three months ended March 31, 2022 was $23.1 million, driven primarily by headcount costs, research and development activities, and professional fees related to the SEC and NSA compliance costs, as well as net cash changes in operating assets and liabilities. Headcount related payroll costs, excluding accrued bonus and stock-based compensation, were $9.3 million. Research and development activity expenses, including materials, components, and subcontractor costs were $3.9 million. Legal fees, related to the SEC and CFIUS review topics, discussed in Note 12, were $2.5 million. Professional fees for recruiting, accounting and audit, and other services were $5.8 million. Office overheads, other general corporate expenses, and cash interest were $4.0 million. Additionally, cash used in net working capital increased by $2.4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$0.1 million and $0.5 million for the three months ended March 31, 2023 and 2022, respectively, which consisted primarily of purchases of machinery and equipment, and build-outs in our facility.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$3.8 million for the three months ended March 31, 2023, primarily due to principal repayment under the Term Loan.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$0.9 million for the three months ended March 31, 2022, due to principal repayment under the Term Loan, which did not commence until March of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cash consumption to continue in connection with our ongoing activities, particularly as we continue to advance the development of our vehicles, build corporate infrastructure and enhance our sales and marketing functions.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our operating expenses will continue as we:</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continue to build and refine our corporate infrastructure, people, processes and systems;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enhance and scale our sales and marketing function;</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scale up our manufacturing capabilities increasing facility footprint, purchasing additional manufacturing equipment;</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pursue further research and development related to developing our next generation vehicles;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seek regulatory approvals for changes or updates to our vehicles;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actively manage our workforce, including hiring additional personnel;</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implement measures required under the NSA and continue to implement measures required under the NSA and seek to comply with the NSA's requirements;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 xml:space="preserve">maintain, expand and protect our intellectual property portfolio; </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comply with public company reporting requirements; and</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defend against litigation.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our strategic business plan alleviates the substantial doubt about the Company’s ability to continue as a going concern, 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pStyle w:val="TextBody"/>
        <w:bidi w:val="0"/>
        <w:spacing w:lineRule="auto" w:line="276" w:before="0" w:after="0"/>
        <w:jc w:val="left"/>
        <w:rPr/>
      </w:pPr>
      <w:r>
        <w:rPr>
          <w:rFonts w:ascii="Times New Roman;sans-serif" w:hAnsi="Times New Roman;sans-serif"/>
          <w:b w:val="false"/>
          <w:color w:val="000000"/>
          <w:sz w:val="20"/>
        </w:rPr>
        <w:t>Some of these risks and uncertainties are described in more detail under Part II,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in this Form 10-Q under the heading “</w:t>
      </w:r>
      <w:r>
        <w:rPr>
          <w:rFonts w:ascii="Times New Roman;sans-serif" w:hAnsi="Times New Roman;sans-serif"/>
          <w:b w:val="false"/>
          <w:i/>
          <w:color w:val="000000"/>
          <w:sz w:val="20"/>
        </w:rPr>
        <w:t>Risk Factors — We may not be 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Commitments and Contingencies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operating leases primarily for facilities (e.g., office buildings, warehouses and spaceport) under non-cancellable operating leases. These leases expire at various dates through 2028. Refer to Note 6.</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principal of $12.2 million outstanding under the Term Loan. Refer to Note 8.</w:t>
      </w:r>
    </w:p>
    <w:p>
      <w:pPr>
        <w:pStyle w:val="TextBody"/>
        <w:bidi w:val="0"/>
        <w:spacing w:lineRule="auto" w:line="288" w:before="160" w:after="160"/>
        <w:jc w:val="both"/>
        <w:rPr/>
      </w:pPr>
      <w:r>
        <w:rPr>
          <w:rFonts w:ascii="Times New Roman;sans-serif" w:hAnsi="Times New Roman;sans-serif"/>
          <w:b w:val="false"/>
          <w:color w:val="000000"/>
          <w:sz w:val="20"/>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r>
        <w:rPr>
          <w:color w:val="000000"/>
        </w:rPr>
        <w:t xml:space="preserv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settlement of the Amended Complaint, we recorded a litigation settlement contingency of $8.5 million. Refer to Note 12.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enter into agreements in the normal course of business with vendors for research and development services and outsourced services, which are generally cancellable upon written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engage in any off-balance sheet activities or have any arrangements or relationships with unconsolidated entities, such as variable interest, special purpose, and structured finance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discussion and analysis of our financial condition and results of operations are based upon our condensed consolidated financial statements, which have been prepared in accordance with GAAP. The preparation of our condensed consolidated financial statements and related disclosures requires us to make estimates, assumptions and judgments as of the balance sheet date that affect the reported amounts of assets, liabilities, revenues, costs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expenses and related disclosures. Our actual results may differ from these estimates under different assumptions and conditions. In addition to our critical accounting policies below, see Note 2 in the notes to our condensed consolidated financial statements included elsewhere in this Form 10-Q.</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short-term contracts for ‘last-mile’ satellite and cargo delivery, payload hosting and in-orbit servicing options with customers that are primarily in the aerospace industry. We recognize revenue (along with any other fees that have been paid) at a point in time, upon satisfaction of the Company’s performance obligation. For transportation services, the performance obligation is satisfied when the customer is delivered to their designated orbit. </w:t>
      </w:r>
    </w:p>
    <w:p>
      <w:pPr>
        <w:pStyle w:val="TextBody"/>
        <w:bidi w:val="0"/>
        <w:spacing w:lineRule="auto" w:line="288" w:before="160" w:after="160"/>
        <w:jc w:val="both"/>
        <w:rPr/>
      </w:pPr>
      <w:r>
        <w:rPr>
          <w:rFonts w:ascii="Times New Roman;sans-serif" w:hAnsi="Times New Roman;sans-serif"/>
          <w:b w:val="false"/>
          <w:color w:val="000000"/>
          <w:sz w:val="20"/>
        </w:rPr>
        <w:t>We account for customer contracts in accordance with ASC 606,</w:t>
      </w:r>
      <w:r>
        <w:rPr>
          <w:color w:val="000000"/>
        </w:rPr>
        <w:t xml:space="preserve">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which includes the following five-step model:</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launch services are considered a single performance obligation, to transport the customers’ payload to a specified orbit in space. We recognize revenue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periods in which we recognize revenue, we will disclose the amounts of revenue recognized that was included as a contract liability balance at the beginning of the reporting period in accordance with ASC 606-10-50-8(b).</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Loss Contingencies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pStyle w:val="TextBody"/>
        <w:bidi w:val="0"/>
        <w:spacing w:lineRule="auto" w:line="288" w:before="240" w:after="160"/>
        <w:jc w:val="both"/>
        <w:rPr>
          <w:rFonts w:ascii="Times New Roman;sans-serif" w:hAnsi="Times New Roman;sans-serif"/>
          <w:b/>
          <w:i/>
          <w:color w:val="000000"/>
          <w:sz w:val="20"/>
        </w:rPr>
      </w:pPr>
      <w:r>
        <w:rPr>
          <w:rFonts w:ascii="Times New Roman;sans-serif" w:hAnsi="Times New Roman;sans-serif"/>
          <w:b/>
          <w:i/>
          <w:color w:val="000000"/>
          <w:sz w:val="20"/>
        </w:rPr>
        <w:t>Deferred Fulfillment and Prepaid Launch Costs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prepay for certain launch costs to third-party providers that will carry the orbital service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Contract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Each non-refundable deposit is determined to be a contract liability upon cash collection. Prior to making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determination, we ensure that a valid contract is in place that meets the definition of the existence of a contract in accordance with ASC 606-10-25-1 and 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various stock incentive plans under which incentive and non-qualified stock options and restricted stock awards are granted to employees, directors, and consultants. All stock-based payments to employees, including grants of employee stock options are recognized in the condensed consolidated financial statements based on their respective grant date fair values.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condensed consolidated financial statements is based on awards that are expected to vest. We account for forfeitures as they occur.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Estimating the fair value of equity awards as of the grant date using valuation models, such as the Black-Scholes-Merton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evaluate the tax positions taken in the course of preparing its tax returns to determine whether tax positions are “more likely than 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FASB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refer to Note 2 in the notes to our condensed consolidated financial statements included elsewhere in this Form 10-Q for a description of recently adopted accounting pronouncements and recently issued accounting pronouncements not yet adopted, the timing of their adoptions and our assessment, to the extent we have made one, of their potential impact on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a variety of market and other risks, including the effects of changes in interest rates, and inflation, as well as risks to the availability of funding sources, hazard events, and specific asset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risk inherent in our financial instruments and our financial position represents the potential loss arising from adverse changes in interest rates. As of March 31, 2023, we had cash and cash equivalents of $38.6 million, which are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market value of our cash and cash equivalents.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Term Loan indebtedness bears interests at a fixed rate, it is not impacted by changes in interest rates.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foreign currency transactions for the three months ended March 31, 2023 and 2022. Currently, a significant portion of our cash receipts and expenses are generated in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Internal Control Over Financial Reporting</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internal control over financial reporting is a process designed by, or under the supervision of, the Company’s principal executive and principal financial officers, or persons performing similar functions, to provide reasonable assurance regarding the reliability of financial reporting and the preparation of financial statements in accordance with GAAP.</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March 31, 2023. Based on this evaluation, our Chief Executive Officer and Chief Financial Officer concluded that, as of such date, our disclosure controls and procedures were effective at the reasonable assurance level.</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fiscal quarter ended March 31, 2023 which were identified in connection with management’s evaluation required by paragraph (d) of Rules 13a-15 and 15d-15 under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60" w:after="283"/>
        <w:jc w:val="both"/>
        <w:rPr/>
      </w:pPr>
      <w:r>
        <w:rPr>
          <w:rFonts w:ascii="Times New Roman;sans-serif" w:hAnsi="Times New Roman;sans-serif"/>
          <w:b w:val="false"/>
          <w:color w:val="000000"/>
          <w:sz w:val="20"/>
        </w:rPr>
        <w:t>See the disclosures under the caption “</w:t>
      </w:r>
      <w:r>
        <w:rPr>
          <w:rFonts w:ascii="Times New Roman;sans-serif" w:hAnsi="Times New Roman;sans-serif"/>
          <w:b w:val="false"/>
          <w:i/>
          <w:color w:val="000000"/>
          <w:sz w:val="20"/>
        </w:rPr>
        <w:t>Legal Proceedings</w:t>
      </w:r>
      <w:r>
        <w:rPr>
          <w:color w:val="000000"/>
        </w:rPr>
        <w:t xml:space="preserve">” </w:t>
      </w:r>
      <w:r>
        <w:rPr>
          <w:rFonts w:ascii="Times New Roman;sans-serif" w:hAnsi="Times New Roman;sans-serif"/>
          <w:b w:val="false"/>
          <w:color w:val="000000"/>
          <w:sz w:val="20"/>
        </w:rPr>
        <w:t>in Note 12 in the notes to our condensed consolidated financial statements included elsewhere in this Form 10-Q for disclosures related to our legal proceedings, which disclosures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283"/>
        <w:jc w:val="both"/>
        <w:rPr/>
      </w:pPr>
      <w:r>
        <w:rPr>
          <w:rFonts w:ascii="Times New Roman;sans-serif" w:hAnsi="Times New Roman;sans-serif"/>
          <w:b w:val="false"/>
          <w:color w:val="000000"/>
          <w:sz w:val="20"/>
        </w:rPr>
        <w:t>In addition to the other information set forth in this report, you should carefully consider the risk factors discussed in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most recent Annual Report on Form 10-K filed by the Company on March 8, 2023, which could materially affect our business, financial condition or future results. Except as set forth below, we do not believe that there have been any material changes to the risk factors disclosed in our Annual Report on Form 10-K filed by the Company on March 8, 2023. The risks described below and in our Annual Report on Form 10-K filed by the Company on March 8, 2023, are not the only risks facing our Company. Additional risks and uncertainties not currently known to us or that we currently deem immaterial also may materially adversely affect our business, financial condition, operating results and/or cash flows.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We may not be able to continue as a going concern.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on a going concern basis of accounting which assumes that we will continue as a going concern, and do not reflect any adjustments that might result if the Company is unable to continue as a going concern. The Company’s ability to continue as a going concern is dependent on the Company’s ability to generate revenues and raise capital. To date, the Company has not generated sufficient revenues to provide cash flows that enable the Company to finance its operations internally.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an evaluation conducted by the Company’s management during the preparation of this report, management concluded that there were conditions and events which raised substantial doubt as to the Company’s ability to continue as a going concern within twelve months after the date of the issuance of the financial statements included in this report. While management has identified conditions and events that it believes will mitigate and alleviate this conclusion, there can be no assurance that such conditions or events will materialize, or that they will be sufficient to enable the Company to continue as a going concern.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uncertainty regarding our ability to continue as a going concern could materially adversely affect our share price and our ability to service our indebtedness, raise new capital or enter into commercial transactions. To address these matters, the Company may take actions that materially and adversely affect our business, including significant reductions in research, development, administrative and commercial activities, reduction of our employee base, and ultimately curtailing or ceasing operations, any of which could materially adversely affect our business, financial condition, results of operations and share price.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issued 135,000 shares to a third party consulting firm in exchange for public relations services. The issuances of such shares were exempt from registration pursuant to Section 4(2) of the Securities Act of 1933, as amended (the “Securities Act”) or the rules and regulations promulgated there 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On May 8, 2023, the Board of Directors of the Company adopted an amendment (the “Second Amendment”) to the Company’s 2022 Inducement Equity Plan (the “Inducement Plan”) to increase the number of shares of Common Stock available for issuance under the Inducement Plan from 7,000,000 shares of Common Stock to 8,000,000 shares of Common Stock. In accordance with Nasdaq Listing Rule 5635(c)(4), the Company did not seek approval of the Second Amendment by its stockholders. Other than the increase in shares, all other terms of the Inducement Plan, as amended, remained the same.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Awards under the Inducement Plan may only be made to individuals not previously employees or directors of the Company, or who are returning to employment following a bona fide period of non-employment with the Company, in each case as an inducement material to the individual’s entry into employment with the Company within the meaning of Rule 5635(c)(4) of the Nasdaq Listing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 and Financial Statement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31"/>
        <w:gridCol w:w="292"/>
        <w:gridCol w:w="293"/>
        <w:gridCol w:w="109"/>
        <w:gridCol w:w="109"/>
        <w:gridCol w:w="109"/>
        <w:gridCol w:w="3055"/>
        <w:gridCol w:w="2762"/>
        <w:gridCol w:w="2770"/>
        <w:gridCol w:w="109"/>
        <w:gridCol w:w="109"/>
        <w:gridCol w:w="157"/>
      </w:tblGrid>
      <w:tr>
        <w:trPr/>
        <w:tc>
          <w:tcPr>
            <w:tcW w:w="3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 of Exhibit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Placement Agency Agreement, dated as of February 23, 2023, by and between the Company and Stifel, Nicolaus &amp; Company, Incorporated (incorporated by reference to Exhibit 1.1 to the Company’s Current Report on Form 8-K, filed on February 23,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Agreement and Plan of Merger, dated as of October 7, 2020, by and among Stable Road Acquisition Corp., Project Marvel First Merger Sub, Inc., Project Marvel Second Merger Sub, LLC, and Momentus Inc. (incorporated by reference to Exhibit 10.2 to the Company’s Current Report on Form 8-K filed on October 7, 2020).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ans-serif" w:hAnsi="Times New Roman;sans-serif"/>
                <w:color w:val="0000FF"/>
              </w:rPr>
              <w:instrText xml:space="preserve"> HYPERLINK "https://www.sec.gov/Archives/edgar/data/1781162/000121390021013894/fs42021a2_stableroadacq.htm" \l "T110"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Amendment No. 1 to Agreement and Plan of Merger, dated March 5, 2021, by and among Stable Road Acquisition Corp., Project Marvel First Merger Sub, Inc., Project Marvel Second Merger Sub, LLC, and Momentus Inc. (incorporated by reference to Exhibit 2.2 to the Company’s Registration Statement on Form S-4 (Registration No. 333-249787) filed on March 8, 2021).</w:t>
            </w:r>
            <w:r>
              <w:rPr>
                <w:rStyle w:val="InternetLink"/>
                <w:sz w:val="20"/>
                <w:u w:val="single"/>
                <w:b w:val="false"/>
                <w:rFonts w:ascii="Times New Roman;sans-serif" w:hAnsi="Times New Roman;sans-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Amendment No. 2 to Agreement and Plan of Merger, dated as of April 6, 2021, by and among Stable Road Acquisition Corp., Project Marvel First Merger Sub, Inc., Project Marvel Second Merger Sub, LLC, and Momentus Inc. (incorporated by reference to Exhibit 2.3 to the Company’s Registration Statement on Form S-4 (Registration No. 333-249787) filed on June 29,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Amendment No. 3 to Agreement and Plan of Merger, dated as of June 29, 2021, by and among Stable Road Acquisition Corp., Project Marvel First Merger Sub, Inc., Project Marvel Second Merger Sub, LLC, and Momentus Inc. (incorporated by reference to Exhibit 2.4 to the Company’s Registration Statement on Form S-4 (Registration No. 333-249787) filed on June 29,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Form of Pre-Funded Warrant (incorporated by reference to Exhibit 1.1 to the Company’s Current Report on Form 8-K, filed on February 23,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Form of Warrant (incorporated by reference to Exhibit 1.1 to the Company’s Current Report on Form 8-K, filed on February 23,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Form of Securities Purchase Agreement (incorporated by reference to Exhibit 1.1 to the Company’s Current Report on Form 8-K, filed on February 23,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First Amendment to Momentus Inc. 2022 Inducement Equity Plan (incorporated by reference to Exhibit 99.2 to the Company’s Registration Statement on Form S-8 filed on March 23,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Employment Agreement, dated March 29, 2023, by and between Eric R. Williams and the Company (incorporated by reference to Exhibit 10.1 to the Company’s Current Report on Form 8-K filed April 5,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Loan and Security Agreement, dated February 22, 2021, by and between the Company and Venture Lending &amp; Leasing IX, Inc.</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20230331-ex311xceo.htm">
              <w:r>
                <w:rPr>
                  <w:rStyle w:val="InternetLink"/>
                  <w:rFonts w:ascii="Times New Roman;sans-serif" w:hAnsi="Times New Roman;sans-serif"/>
                  <w:b w:val="false"/>
                  <w:color w:val="0000FF"/>
                  <w:sz w:val="20"/>
                  <w:u w:val="single"/>
                </w:rPr>
                <w:t>Certification Pursuant to Rules 13a-14(a) and 15d-14(a) Under The Securities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20230331-ex312xcfo.htm">
              <w:r>
                <w:rPr>
                  <w:rStyle w:val="InternetLink"/>
                  <w:rFonts w:ascii="Times New Roman;sans-serif" w:hAnsi="Times New Roman;sans-serif"/>
                  <w:b w:val="false"/>
                  <w:color w:val="0000FF"/>
                  <w:sz w:val="20"/>
                  <w:u w:val="single"/>
                </w:rPr>
                <w:t>Certification Pursuant to Rules 13a-14(a) and 15d-14(a) Under The Securities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20230331-ex321xceo.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20230331-ex322xcfo.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or arrangement</w:t>
      </w:r>
    </w:p>
    <w:p>
      <w:pPr>
        <w:pStyle w:val="TextBody"/>
        <w:bidi w:val="0"/>
        <w:spacing w:lineRule="auto" w:line="288" w:before="0" w:after="0"/>
        <w:ind w:left="0" w:right="0" w:hanging="360"/>
        <w:jc w:val="left"/>
        <w:rPr/>
      </w:pPr>
      <w:r>
        <w:rPr>
          <w:rFonts w:ascii="Arial;sans-serif" w:hAnsi="Arial;sans-serif"/>
          <w:b w:val="false"/>
          <w:color w:val="000000"/>
          <w:sz w:val="24"/>
        </w:rPr>
        <w:t>*     </w:t>
      </w:r>
      <w:r>
        <w:rPr>
          <w:rFonts w:ascii="Times New Roman;sans-serif" w:hAnsi="Times New Roman;sans-serif"/>
          <w:b w:val="false"/>
          <w:color w:val="000000"/>
          <w:sz w:val="20"/>
        </w:rPr>
        <w:t>Filed 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0" w:after="0"/>
        <w:ind w:left="0" w:right="0" w:hanging="360"/>
        <w:jc w:val="left"/>
        <w:rPr/>
      </w:pPr>
      <w:r>
        <w:rPr>
          <w:rFonts w:ascii="Arial;sans-serif" w:hAnsi="Arial;sans-serif"/>
          <w:b w:val="false"/>
          <w:color w:val="000000"/>
          <w:sz w:val="24"/>
        </w:rPr>
        <w:t>**     </w:t>
      </w:r>
      <w:r>
        <w:rPr>
          <w:rFonts w:ascii="Times New Roman;sans-serif" w:hAnsi="Times New Roman;sans-serif"/>
          <w:b w:val="false"/>
          <w:color w:val="000000"/>
          <w:sz w:val="20"/>
        </w:rPr>
        <w:t>Furnished herewith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Certain of the exhibits and schedules to this Exhibit List have been omitted in accordance with Regulation S-K Item 601(a)(5). The Registrant agrees to furnish a copy of all omitted exhibits and schedules to the SEC upon its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9b97cf4b46d428aaaf7c19bf29a8f61_256">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Act of 1934, the Registrant has duly caused this report to be signed on its behalf by the undersigned thereunto duly authorized. </w:t>
      </w:r>
    </w:p>
    <w:tbl>
      <w:tblPr>
        <w:tblW w:w="6552" w:type="dxa"/>
        <w:jc w:val="left"/>
        <w:tblInd w:w="0" w:type="dxa"/>
        <w:tblLayout w:type="fixed"/>
        <w:tblCellMar>
          <w:top w:w="28" w:type="dxa"/>
          <w:left w:w="28" w:type="dxa"/>
          <w:bottom w:w="28" w:type="dxa"/>
          <w:right w:w="28" w:type="dxa"/>
        </w:tblCellMar>
      </w:tblPr>
      <w:tblGrid>
        <w:gridCol w:w="629"/>
        <w:gridCol w:w="554"/>
        <w:gridCol w:w="557"/>
        <w:gridCol w:w="233"/>
        <w:gridCol w:w="197"/>
        <w:gridCol w:w="200"/>
        <w:gridCol w:w="139"/>
        <w:gridCol w:w="139"/>
        <w:gridCol w:w="139"/>
        <w:gridCol w:w="1102"/>
        <w:gridCol w:w="1102"/>
        <w:gridCol w:w="156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6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Rood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Rood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Williams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Williams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and Accounting Officer)</w:t>
            </w:r>
          </w:p>
        </w:tc>
      </w:tr>
    </w:tbl>
    <w:p>
      <w:pPr>
        <w:pStyle w:val="TextBody"/>
        <w:bidi w:val="0"/>
        <w:spacing w:before="6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333" w:before="0" w:after="16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40" w:before="0" w:after="0"/>
        <w:jc w:val="center"/>
        <w:rPr/>
      </w:pPr>
      <w:r>
        <w:rPr>
          <w:rFonts w:ascii="Times New Roman;sans-serif" w:hAnsi="Times New Roman;sans-serif"/>
          <w:b/>
          <w:color w:val="000000"/>
          <w:sz w:val="20"/>
        </w:rPr>
        <w:t>PURSUANT TO EXCHANGE ACT RULES 13a-14(a) OR 15d-14(a),</w:t>
      </w:r>
      <w:r>
        <w:rPr>
          <w:color w:val="000000"/>
        </w:rPr>
        <w:t xml:space="preserve">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333" w:before="0" w:after="16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John Rood, certify that: </w:t>
      </w:r>
    </w:p>
    <w:p>
      <w:pPr>
        <w:pStyle w:val="TextBody"/>
        <w:bidi w:val="0"/>
        <w:spacing w:before="0" w:after="0"/>
        <w:jc w:val="left"/>
        <w:rPr/>
      </w:pPr>
      <w:r>
        <w:rPr/>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Momentus Inc.;</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930"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208"/>
        <w:gridCol w:w="208"/>
        <w:gridCol w:w="213"/>
        <w:gridCol w:w="109"/>
        <w:gridCol w:w="109"/>
        <w:gridCol w:w="109"/>
        <w:gridCol w:w="606"/>
        <w:gridCol w:w="606"/>
        <w:gridCol w:w="85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/s/John Rood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Rood</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11, 2023</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6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OR 15d-14(a),</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333" w:before="0" w:after="16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Eric Williams, certify that: </w:t>
      </w:r>
    </w:p>
    <w:p>
      <w:pPr>
        <w:pStyle w:val="TextBody"/>
        <w:bidi w:val="0"/>
        <w:spacing w:before="0" w:after="0"/>
        <w:jc w:val="left"/>
        <w:rPr/>
      </w:pPr>
      <w:r>
        <w:rPr/>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Momentus Inc.;</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871"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208"/>
        <w:gridCol w:w="208"/>
        <w:gridCol w:w="213"/>
        <w:gridCol w:w="109"/>
        <w:gridCol w:w="109"/>
        <w:gridCol w:w="109"/>
        <w:gridCol w:w="587"/>
        <w:gridCol w:w="587"/>
        <w:gridCol w:w="83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/s/Eric Williams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Williams</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11, 2023</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6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OF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33"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Momentus Inc., a Delaware corporation (the “Company”), on Form 10-Q for the fiscal quarter ended March 31, 2023, as filed with the Securities and Exchange Commission on the date hereof (the “Form 10-Q”), I, John Rood, Chief Executive Officer of the Company, certify, pursuant to 18 U.S.C. section 1350, as adopted pursuant section 906 of the Sarbanes-Oxley Act of 2002, that to the best of our knowledge:</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(i)the Form 10-Q fully complies with the requirements of section 13(a) or section 15(d) of the Securities Exchange Act of 1934, as amended; and</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Form 10-Q fairly presents, in all material respects, the financial condition and result of operations of the Company.</w:t>
      </w:r>
    </w:p>
    <w:p>
      <w:pPr>
        <w:pStyle w:val="TextBody"/>
        <w:bidi w:val="0"/>
        <w:spacing w:before="0" w:after="0"/>
        <w:jc w:val="left"/>
        <w:rPr/>
      </w:pPr>
      <w:r>
        <w:rPr/>
      </w:r>
    </w:p>
    <w:p>
      <w:pPr>
        <w:pStyle w:val="TextBody"/>
        <w:bidi w:val="0"/>
        <w:spacing w:before="0" w:after="0"/>
        <w:jc w:val="left"/>
        <w:rPr/>
      </w:pPr>
      <w:r>
        <w:rPr/>
      </w:r>
    </w:p>
    <w:tbl>
      <w:tblPr>
        <w:tblW w:w="4930"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208"/>
        <w:gridCol w:w="208"/>
        <w:gridCol w:w="213"/>
        <w:gridCol w:w="109"/>
        <w:gridCol w:w="109"/>
        <w:gridCol w:w="109"/>
        <w:gridCol w:w="606"/>
        <w:gridCol w:w="606"/>
        <w:gridCol w:w="85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/s/John Rood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Rood</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11, 2023</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6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OF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33"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Momentus Inc., a Delaware corporation (the “Company”), on Form 10-Q for the fiscal quarter ended March 31, 2023, as filed with the Securities and Exchange Commission on the date hereof (the “Form 10-Q”), I, Eric Williams, Chief Financial Officer of the Company, certify, pursuant to 18 U.S.C. section 1350, as adopted pursuant section 906 of the Sarbanes-Oxley Act of 2002, that to the best of our knowledge:</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(i)the Form 10-Q fully complies with the requirements of section 13(a) or section 15(d) of the Securities Exchange Act of 1934, as amended; and</w:t>
      </w:r>
    </w:p>
    <w:p>
      <w:pPr>
        <w:pStyle w:val="TextBody"/>
        <w:bidi w:val="0"/>
        <w:spacing w:lineRule="auto" w:line="333"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Form 10-Q fairly presents, in all material respects, the financial condition and result of operations of the Company.</w:t>
      </w:r>
    </w:p>
    <w:p>
      <w:pPr>
        <w:pStyle w:val="TextBody"/>
        <w:bidi w:val="0"/>
        <w:spacing w:before="0" w:after="0"/>
        <w:jc w:val="left"/>
        <w:rPr/>
      </w:pPr>
      <w:r>
        <w:rPr/>
      </w:r>
    </w:p>
    <w:p>
      <w:pPr>
        <w:pStyle w:val="TextBody"/>
        <w:bidi w:val="0"/>
        <w:spacing w:before="0" w:after="0"/>
        <w:jc w:val="left"/>
        <w:rPr/>
      </w:pPr>
      <w:r>
        <w:rPr/>
      </w:r>
    </w:p>
    <w:tbl>
      <w:tblPr>
        <w:tblW w:w="4871"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208"/>
        <w:gridCol w:w="208"/>
        <w:gridCol w:w="213"/>
        <w:gridCol w:w="109"/>
        <w:gridCol w:w="109"/>
        <w:gridCol w:w="109"/>
        <w:gridCol w:w="587"/>
        <w:gridCol w:w="587"/>
        <w:gridCol w:w="83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/s/Eric Williams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Williams</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11, 2023</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1162/000114036123008329/ny20007666x2_ex1-1.htm" TargetMode="External"/><Relationship Id="rId3" Type="http://schemas.openxmlformats.org/officeDocument/2006/relationships/hyperlink" Target="https://www.sec.gov/Archives/edgar/data/1781162/000121390020030403/ea127854ex2-1_stableroad.htm" TargetMode="External"/><Relationship Id="rId4" Type="http://schemas.openxmlformats.org/officeDocument/2006/relationships/hyperlink" Target="https://www.sec.gov/Archives/edgar/data/1781162/000121390021020806/ea139255ex2-1_stableroad.htm" TargetMode="External"/><Relationship Id="rId5" Type="http://schemas.openxmlformats.org/officeDocument/2006/relationships/hyperlink" Target="https://www.sec.gov/Archives/edgar/data/1781162/000121390021034706/ea143483ex2-1_stableroad.htm" TargetMode="External"/><Relationship Id="rId6" Type="http://schemas.openxmlformats.org/officeDocument/2006/relationships/hyperlink" Target="https://www.sec.gov/Archives/edgar/data/1781162/000114036123008329/ny20007666x2_ex4-1.htm" TargetMode="External"/><Relationship Id="rId7" Type="http://schemas.openxmlformats.org/officeDocument/2006/relationships/hyperlink" Target="https://www.sec.gov/Archives/edgar/data/1781162/000114036123008329/ny20007666x2_ex4-2.htm" TargetMode="External"/><Relationship Id="rId8" Type="http://schemas.openxmlformats.org/officeDocument/2006/relationships/hyperlink" Target="https://www.sec.gov/Archives/edgar/data/1781162/000114036123008329/ny20007666x2_ex10-1.htm" TargetMode="External"/><Relationship Id="rId9" Type="http://schemas.openxmlformats.org/officeDocument/2006/relationships/hyperlink" Target="https://www.sec.gov/Archives/edgar/data/1781162/000114036123013166/brhc10049965_ex99-2.htm" TargetMode="External"/><Relationship Id="rId10" Type="http://schemas.openxmlformats.org/officeDocument/2006/relationships/hyperlink" Target="https://www.sec.gov/Archives/edgar/data/1781162/000114036123016583/brhc10050921_10-1.htm" TargetMode="External"/><Relationship Id="rId11" Type="http://schemas.openxmlformats.org/officeDocument/2006/relationships/hyperlink" Target="https://www.sec.gov/Archives/edgar/data/1781162/000121390021013894/fs42021a2ex10-8_stable.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27705</Words>
  <Characters>153583</Characters>
  <CharactersWithSpaces>180065</CharactersWithSpaces>
  <Paragraphs>1782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