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26, 2024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Momentus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220" w:type="dxa"/>
        <w:tblCellMar>
          <w:top w:w="0" w:type="dxa"/>
          <w:left w:w="0" w:type="dxa"/>
          <w:bottom w:w="0" w:type="dxa"/>
          <w:right w:w="0" w:type="dxa"/>
        </w:tblCellMar>
      </w:tblPr>
      <w:tr>
        <w:trPr>
          <w:trHeight w:val="220"/>
        </w:trPr>
        <w:tc>
          <w:tcPr>
            <w:tcW w:w="42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001-39128</w:t>
            </w:r>
          </w:p>
        </w:tc>
        <w:tc>
          <w:tcPr>
            <w:tcW w:w="33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84-1905538</w:t>
            </w:r>
          </w:p>
        </w:tc>
        <w:tc>
          <w:tcPr>
            <w:tcW w:w="0" w:type="dxa"/>
            <w:vAlign w:val="bottom"/>
          </w:tcPr>
          <w:p>
            <w:pPr>
              <w:spacing w:after="0"/>
              <w:rPr>
                <w:sz w:val="1"/>
                <w:szCs w:val="1"/>
                <w:color w:val="auto"/>
              </w:rPr>
            </w:pPr>
          </w:p>
        </w:tc>
      </w:tr>
      <w:tr>
        <w:trPr>
          <w:trHeight w:val="216"/>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42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organization)</w:t>
            </w:r>
          </w:p>
        </w:tc>
        <w:tc>
          <w:tcPr>
            <w:tcW w:w="2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2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3901 N. First Street</w:t>
            </w:r>
          </w:p>
        </w:tc>
        <w:tc>
          <w:tcPr>
            <w:tcW w:w="2920" w:type="dxa"/>
            <w:vAlign w:val="bottom"/>
          </w:tcPr>
          <w:p>
            <w:pPr>
              <w:spacing w:after="0"/>
              <w:rPr>
                <w:sz w:val="24"/>
                <w:szCs w:val="24"/>
                <w:color w:val="auto"/>
              </w:rPr>
            </w:pPr>
          </w:p>
        </w:tc>
        <w:tc>
          <w:tcPr>
            <w:tcW w:w="334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95134</w:t>
            </w:r>
          </w:p>
        </w:tc>
        <w:tc>
          <w:tcPr>
            <w:tcW w:w="0" w:type="dxa"/>
            <w:vAlign w:val="bottom"/>
          </w:tcPr>
          <w:p>
            <w:pPr>
              <w:spacing w:after="0"/>
              <w:rPr>
                <w:sz w:val="1"/>
                <w:szCs w:val="1"/>
                <w:color w:val="auto"/>
              </w:rPr>
            </w:pPr>
          </w:p>
        </w:tc>
      </w:tr>
      <w:tr>
        <w:trPr>
          <w:trHeight w:val="130"/>
        </w:trPr>
        <w:tc>
          <w:tcPr>
            <w:tcW w:w="4220" w:type="dxa"/>
            <w:vAlign w:val="bottom"/>
            <w:vMerge w:val="restart"/>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San Jose, California</w:t>
            </w:r>
          </w:p>
        </w:tc>
        <w:tc>
          <w:tcPr>
            <w:tcW w:w="292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22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2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20" w:type="dxa"/>
            <w:vAlign w:val="bottom"/>
          </w:tcPr>
          <w:p>
            <w:pPr>
              <w:spacing w:after="0"/>
              <w:rPr>
                <w:sz w:val="20"/>
                <w:szCs w:val="20"/>
                <w:color w:val="auto"/>
              </w:rPr>
            </w:pPr>
          </w:p>
        </w:tc>
        <w:tc>
          <w:tcPr>
            <w:tcW w:w="3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564-7820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MNTSW</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5.12% Secured Promissory Note due September 30,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Momentus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six promissory notes dated effective as of June 21, 2024 (each a “</w:t>
      </w:r>
      <w:r>
        <w:rPr>
          <w:rFonts w:ascii="Times New Roman" w:cs="Times New Roman" w:eastAsia="Times New Roman" w:hAnsi="Times New Roman"/>
          <w:sz w:val="18"/>
          <w:szCs w:val="18"/>
          <w:u w:val="single" w:color="auto"/>
          <w:color w:val="auto"/>
        </w:rPr>
        <w:t>Secured 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Secured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the aggregate principal amount of $500,000 to Brian Kabot, Paul Ney, Chris Hadfield, John Rood, Victorino Mercado, and Mitchel Kugler, each a director and/or officer of the Company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proceeds of the Secured Notes are to be used first for the payment of earned employee retention payments and the expenses of the Secured Notes, and thereafter for working capital and general corporate purposes.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Secured Note has identical terms except for principal amount. The Secured Notes have a maturity date of September 30, 2024, and each Secured Note bears an interest rate of 5.12% per annum. The Company’s obligations under the Secured Notes are secured by senior liens on substantially all of the Company’s properties, rights and assets in favor of the Lenders. The Secured Note and the debt evidenced thereby, including all principal and interest, can be prepaid at any time, and accelerate and become immediately due and payable upon a future financing by the Company as well as upon the occurrence of certain customary events of default, including failure to pay amounts owing when due and/or certain events involving a discontinuation of our business or certain types of proceedings involving insolvency, bankruptcy, receivership and the like.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contained in Item 1.01 of this Current Report is incorporated by reference in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28, 2024, the Company held its 2024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 quorum was present at the meeting. The final results of voting for each matter submitted to a vote of stockholders at the Annual Meeting are set forth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Election of Four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results for the election of directors were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840" w:type="dxa"/>
            <w:vAlign w:val="bottom"/>
            <w:tcBorders>
              <w:top w:val="single" w:sz="8" w:color="auto"/>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Momentus Nominees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47"/>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r>
        <w:trPr>
          <w:trHeight w:val="309"/>
        </w:trPr>
        <w:tc>
          <w:tcPr>
            <w:tcW w:w="28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Chris Hadfield</w:t>
            </w:r>
          </w:p>
        </w:tc>
        <w:tc>
          <w:tcPr>
            <w:tcW w:w="2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1,168,916</w:t>
            </w:r>
          </w:p>
        </w:tc>
        <w:tc>
          <w:tcPr>
            <w:tcW w:w="2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236,053</w:t>
            </w:r>
          </w:p>
        </w:tc>
        <w:tc>
          <w:tcPr>
            <w:tcW w:w="2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4,414,847</w:t>
            </w:r>
          </w:p>
        </w:tc>
      </w:tr>
      <w:tr>
        <w:trPr>
          <w:trHeight w:val="257"/>
        </w:trPr>
        <w:tc>
          <w:tcPr>
            <w:tcW w:w="2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John C. Rood</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1,190,809</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214,160</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4,414,847</w:t>
            </w:r>
          </w:p>
        </w:tc>
      </w:tr>
      <w:tr>
        <w:trPr>
          <w:trHeight w:val="47"/>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r>
        <w:trPr>
          <w:trHeight w:val="309"/>
        </w:trPr>
        <w:tc>
          <w:tcPr>
            <w:tcW w:w="28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Linda J. Reiners</w:t>
            </w:r>
          </w:p>
        </w:tc>
        <w:tc>
          <w:tcPr>
            <w:tcW w:w="2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1,221,018</w:t>
            </w:r>
          </w:p>
        </w:tc>
        <w:tc>
          <w:tcPr>
            <w:tcW w:w="2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183,951</w:t>
            </w:r>
          </w:p>
        </w:tc>
        <w:tc>
          <w:tcPr>
            <w:tcW w:w="2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4,414,847</w:t>
            </w:r>
          </w:p>
        </w:tc>
      </w:tr>
      <w:tr>
        <w:trPr>
          <w:trHeight w:val="257"/>
        </w:trPr>
        <w:tc>
          <w:tcPr>
            <w:tcW w:w="2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Victorino G. Mercado</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1,157,200</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247,769</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4,414,847</w:t>
            </w:r>
          </w:p>
        </w:tc>
      </w:tr>
      <w:tr>
        <w:trPr>
          <w:trHeight w:val="47"/>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all four of the Company’s nominees were elected to serve as directors of the Company, with: (i) Messrs. Hadfield and Rood elected to serve as directors of the Company until the 2026 Annual Meeting of Stockholders and until their respective successors are appointed, elected and qualified; and (ii) Ms. Reiners and Mr. Mercado elected to serve as directors of the Company until the 2027 Annual Meeting of Stockholders and until their respective successors are appointed, elected and qualified.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Ratification of Appointment of Auditors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Ratification of the appointment of Frank, Rimerman + Co. LLP as the Company’s independent registered public accounting firm for the 2024 fiscal year was approved by the following vote: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840" w:type="dxa"/>
            <w:vAlign w:val="bottom"/>
            <w:tcBorders>
              <w:top w:val="single" w:sz="8" w:color="auto"/>
            </w:tcBorders>
          </w:tcPr>
          <w:p>
            <w:pPr>
              <w:spacing w:after="0"/>
              <w:rPr>
                <w:sz w:val="24"/>
                <w:szCs w:val="24"/>
                <w:color w:val="auto"/>
              </w:rPr>
            </w:pPr>
          </w:p>
        </w:tc>
        <w:tc>
          <w:tcPr>
            <w:tcW w:w="2960" w:type="dxa"/>
            <w:vAlign w:val="bottom"/>
            <w:tcBorders>
              <w:top w:val="single" w:sz="8" w:color="auto"/>
              <w:right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Against</w:t>
            </w:r>
          </w:p>
        </w:tc>
        <w:tc>
          <w:tcPr>
            <w:tcW w:w="3660" w:type="dxa"/>
            <w:vAlign w:val="bottom"/>
            <w:tcBorders>
              <w:top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Abstain</w:t>
            </w:r>
          </w:p>
        </w:tc>
      </w:tr>
      <w:tr>
        <w:trPr>
          <w:trHeight w:val="47"/>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3660" w:type="dxa"/>
            <w:vAlign w:val="bottom"/>
            <w:tcBorders>
              <w:bottom w:val="single" w:sz="8" w:color="auto"/>
              <w:right w:val="single" w:sz="8" w:color="auto"/>
            </w:tcBorders>
          </w:tcPr>
          <w:p>
            <w:pPr>
              <w:spacing w:after="0"/>
              <w:rPr>
                <w:sz w:val="4"/>
                <w:szCs w:val="4"/>
                <w:color w:val="auto"/>
              </w:rPr>
            </w:pPr>
          </w:p>
        </w:tc>
      </w:tr>
      <w:tr>
        <w:trPr>
          <w:trHeight w:val="309"/>
        </w:trPr>
        <w:tc>
          <w:tcPr>
            <w:tcW w:w="3780" w:type="dxa"/>
            <w:vAlign w:val="bottom"/>
            <w:tcBorders>
              <w:left w:val="single" w:sz="8" w:color="auto"/>
              <w:bottom w:val="single" w:sz="8" w:color="CCEEFF"/>
              <w:right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5,296,319</w:t>
            </w:r>
          </w:p>
        </w:tc>
        <w:tc>
          <w:tcPr>
            <w:tcW w:w="2840" w:type="dxa"/>
            <w:vAlign w:val="bottom"/>
            <w:tcBorders>
              <w:bottom w:val="single" w:sz="8" w:color="CCEEFF"/>
            </w:tcBorders>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294,341</w:t>
            </w:r>
          </w:p>
        </w:tc>
        <w:tc>
          <w:tcPr>
            <w:tcW w:w="960" w:type="dxa"/>
            <w:vAlign w:val="bottom"/>
            <w:tcBorders>
              <w:bottom w:val="single" w:sz="8" w:color="CCEEFF"/>
              <w:right w:val="single" w:sz="8" w:color="auto"/>
            </w:tcBorders>
            <w:shd w:val="clear" w:color="auto" w:fill="CCEEFF"/>
          </w:tcPr>
          <w:p>
            <w:pPr>
              <w:spacing w:after="0"/>
              <w:rPr>
                <w:sz w:val="24"/>
                <w:szCs w:val="24"/>
                <w:color w:val="auto"/>
              </w:rPr>
            </w:pPr>
          </w:p>
        </w:tc>
        <w:tc>
          <w:tcPr>
            <w:tcW w:w="3660" w:type="dxa"/>
            <w:vAlign w:val="bottom"/>
            <w:tcBorders>
              <w:bottom w:val="single" w:sz="8" w:color="CCEEFF"/>
              <w:right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229,156</w:t>
            </w:r>
          </w:p>
        </w:tc>
      </w:tr>
      <w:tr>
        <w:trPr>
          <w:trHeight w:val="414"/>
        </w:trPr>
        <w:tc>
          <w:tcPr>
            <w:tcW w:w="37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Proposal 3</w:t>
            </w:r>
          </w:p>
        </w:tc>
        <w:tc>
          <w:tcPr>
            <w:tcW w:w="3660" w:type="dxa"/>
            <w:vAlign w:val="bottom"/>
            <w:tcBorders>
              <w:top w:val="single" w:sz="8" w:color="auto"/>
            </w:tcBorders>
          </w:tcPr>
          <w:p>
            <w:pPr>
              <w:spacing w:after="0"/>
              <w:rPr>
                <w:sz w:val="24"/>
                <w:szCs w:val="24"/>
                <w:color w:val="auto"/>
              </w:rPr>
            </w:pPr>
          </w:p>
        </w:tc>
      </w:tr>
      <w:tr>
        <w:trPr>
          <w:trHeight w:val="194"/>
        </w:trPr>
        <w:tc>
          <w:tcPr>
            <w:tcW w:w="3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60" w:type="dxa"/>
            <w:vAlign w:val="bottom"/>
            <w:gridSpan w:val="2"/>
          </w:tcPr>
          <w:p>
            <w:pPr>
              <w:jc w:val="center"/>
              <w:ind w:right="960"/>
              <w:spacing w:after="0" w:line="194" w:lineRule="exact"/>
              <w:rPr>
                <w:sz w:val="20"/>
                <w:szCs w:val="20"/>
                <w:color w:val="auto"/>
              </w:rPr>
            </w:pPr>
            <w:r>
              <w:rPr>
                <w:rFonts w:ascii="Times New Roman" w:cs="Times New Roman" w:eastAsia="Times New Roman" w:hAnsi="Times New Roman"/>
                <w:sz w:val="18"/>
                <w:szCs w:val="18"/>
                <w:color w:val="auto"/>
                <w:w w:val="99"/>
              </w:rPr>
              <w:t>Warrant Repricing Proposal</w:t>
            </w:r>
          </w:p>
        </w:tc>
        <w:tc>
          <w:tcPr>
            <w:tcW w:w="3660" w:type="dxa"/>
            <w:vAlign w:val="bottom"/>
          </w:tcPr>
          <w:p>
            <w:pPr>
              <w:spacing w:after="0"/>
              <w:rPr>
                <w:sz w:val="16"/>
                <w:szCs w:val="16"/>
                <w:color w:val="auto"/>
              </w:rPr>
            </w:pPr>
          </w:p>
        </w:tc>
      </w:tr>
      <w:tr>
        <w:trPr>
          <w:trHeight w:val="20"/>
        </w:trPr>
        <w:tc>
          <w:tcPr>
            <w:tcW w:w="3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Approval of the repricing of certain existing warrants of the Company issued to an institutional investor in a registered direct offering was approved by the following vote: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282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Against</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Broker Non-Vote</w:t>
            </w:r>
          </w:p>
        </w:tc>
      </w:tr>
      <w:tr>
        <w:trPr>
          <w:trHeight w:val="48"/>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r>
        <w:trPr>
          <w:trHeight w:val="309"/>
        </w:trPr>
        <w:tc>
          <w:tcPr>
            <w:tcW w:w="2840" w:type="dxa"/>
            <w:vAlign w:val="bottom"/>
            <w:tcBorders>
              <w:left w:val="single" w:sz="8" w:color="auto"/>
              <w:bottom w:val="single" w:sz="8" w:color="CCEEFF"/>
              <w:right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1,125,966</w:t>
            </w:r>
          </w:p>
        </w:tc>
        <w:tc>
          <w:tcPr>
            <w:tcW w:w="2820" w:type="dxa"/>
            <w:vAlign w:val="bottom"/>
            <w:tcBorders>
              <w:bottom w:val="single" w:sz="8" w:color="CCEEFF"/>
              <w:right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239,274</w:t>
            </w:r>
          </w:p>
        </w:tc>
        <w:tc>
          <w:tcPr>
            <w:tcW w:w="2780" w:type="dxa"/>
            <w:vAlign w:val="bottom"/>
            <w:tcBorders>
              <w:bottom w:val="single" w:sz="8" w:color="CCEEFF"/>
              <w:right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39,729</w:t>
            </w:r>
          </w:p>
        </w:tc>
        <w:tc>
          <w:tcPr>
            <w:tcW w:w="2800" w:type="dxa"/>
            <w:vAlign w:val="bottom"/>
            <w:tcBorders>
              <w:bottom w:val="single" w:sz="8" w:color="CCEEFF"/>
              <w:right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4,414,847</w:t>
            </w:r>
          </w:p>
        </w:tc>
      </w:tr>
      <w:tr>
        <w:trPr>
          <w:trHeight w:val="398"/>
        </w:trPr>
        <w:tc>
          <w:tcPr>
            <w:tcW w:w="2840" w:type="dxa"/>
            <w:vAlign w:val="bottom"/>
            <w:tcBorders>
              <w:top w:val="single" w:sz="8" w:color="auto"/>
              <w:bottom w:val="single" w:sz="8" w:color="auto"/>
            </w:tcBorders>
          </w:tcPr>
          <w:p>
            <w:pPr>
              <w:spacing w:after="0"/>
              <w:rPr>
                <w:sz w:val="24"/>
                <w:szCs w:val="24"/>
                <w:color w:val="auto"/>
              </w:rPr>
            </w:pPr>
          </w:p>
        </w:tc>
        <w:tc>
          <w:tcPr>
            <w:tcW w:w="2820" w:type="dxa"/>
            <w:vAlign w:val="bottom"/>
            <w:tcBorders>
              <w:top w:val="single" w:sz="8" w:color="auto"/>
              <w:bottom w:val="single" w:sz="8" w:color="auto"/>
            </w:tcBorders>
          </w:tcPr>
          <w:p>
            <w:pPr>
              <w:spacing w:after="0"/>
              <w:rPr>
                <w:sz w:val="24"/>
                <w:szCs w:val="24"/>
                <w:color w:val="auto"/>
              </w:rPr>
            </w:pPr>
          </w:p>
        </w:tc>
        <w:tc>
          <w:tcPr>
            <w:tcW w:w="2780" w:type="dxa"/>
            <w:vAlign w:val="bottom"/>
            <w:tcBorders>
              <w:top w:val="single" w:sz="8" w:color="auto"/>
              <w:bottom w:val="single" w:sz="8" w:color="auto"/>
            </w:tcBorders>
          </w:tcPr>
          <w:p>
            <w:pPr>
              <w:spacing w:after="0"/>
              <w:rPr>
                <w:sz w:val="24"/>
                <w:szCs w:val="24"/>
                <w:color w:val="auto"/>
              </w:rPr>
            </w:pPr>
          </w:p>
        </w:tc>
        <w:tc>
          <w:tcPr>
            <w:tcW w:w="280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6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Ney</w:t>
            </w:r>
          </w:p>
        </w:tc>
      </w:tr>
      <w:tr>
        <w:trPr>
          <w:trHeight w:val="198"/>
        </w:trPr>
        <w:tc>
          <w:tcPr>
            <w:tcW w:w="16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94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Paul Ney</w:t>
            </w: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2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July 2, 2024</w:t>
            </w: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749"/>
        </w:trPr>
        <w:tc>
          <w:tcPr>
            <w:tcW w:w="16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2024-07-02T16:43:38Z</dcterms:created>
  <dcterms:modified xsi:type="dcterms:W3CDTF">2024-07-02T16:43:38Z</dcterms:modified>
</cp:coreProperties>
</file>