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Momentus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M.H. Davidson &amp; Co.</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15,471.00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15,471.00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0.08 %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Davidson Kempner Arbitrage, Equities &amp; Relative Value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834,529.00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834,529.00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834,529.00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Davidson Kempner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Anthony A. Yoseloff</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Momentus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1762 Automation Parkway, San Jose, California 95131</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 GP II LLC, a Delaware limited liability company ("DKAERV GP"), is the general partner of DKAERV and Davidson 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(iv) Anthony A. Yoseloff, through DKCM, is responsible for the voting and investment decisions relating to the Class A common stock, par value $0.00001 per share ("Class A Common Stock"), of Momentus Inc. (the "Company") held by CO and DKAERV.</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Davidson Kempner Capital Management LP, 9 West 57th Street, 29th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(i) CO - a New York limited partnership (ii) DKAERV - a Cayman Islands exempted limited partnership (iii) DKCM - a Delaware limited partnership (iv) Anthony A. Yoseloff -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percentages set forth in this Schedule 13G are calculated based upon an aggregate of 18,835,815 shares of Class A Common Stock outstanding as of June 18, 2026, as reported in the Company's Prospectus filed pursuant to Rule 424(b)(5) filed with the Securities and Exchange Commission on June 18, 2026.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4.51%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M.H. Davidson &amp; Co.</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Anthony A. Yoseloff</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Anthony A. Yoseloff, Executive Managing Member of Davidson Kempner Liquid GP Topco LLC, Managing Member of CO GP, General Partner of CO</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3"/>
        <w:gridCol w:w="5002"/>
      </w:tblGrid>
      <w:tr>
        <w:trPr/>
        <w:tc>
          <w:tcPr>
            <w:tcW w:w="5203" w:type="dxa"/>
            <w:tcBorders/>
            <w:vAlign w:val="center"/>
          </w:tcPr>
          <w:p>
            <w:pPr>
              <w:pStyle w:val="TableContents"/>
              <w:bidi w:val="0"/>
              <w:spacing w:before="0" w:after="0"/>
              <w:jc w:val="left"/>
              <w:rPr/>
            </w:pPr>
            <w:r>
              <w:rPr/>
              <w:t> </w:t>
            </w:r>
          </w:p>
          <w:tbl>
            <w:tblPr>
              <w:tblW w:w="5926" w:type="dxa"/>
              <w:jc w:val="left"/>
              <w:tblInd w:w="0" w:type="dxa"/>
              <w:tblLayout w:type="fixed"/>
              <w:tblCellMar>
                <w:top w:w="28" w:type="dxa"/>
                <w:left w:w="28" w:type="dxa"/>
                <w:bottom w:w="28" w:type="dxa"/>
                <w:right w:w="28" w:type="dxa"/>
              </w:tblCellMar>
            </w:tblPr>
            <w:tblGrid>
              <w:gridCol w:w="5926"/>
            </w:tblGrid>
            <w:tr>
              <w:trPr/>
              <w:tc>
                <w:tcPr>
                  <w:tcW w:w="5926" w:type="dxa"/>
                  <w:tcBorders/>
                  <w:vAlign w:val="center"/>
                </w:tcPr>
                <w:p>
                  <w:pPr>
                    <w:pStyle w:val="TableContents"/>
                    <w:bidi w:val="0"/>
                    <w:spacing w:before="0" w:after="0"/>
                    <w:jc w:val="left"/>
                    <w:rPr/>
                  </w:pPr>
                  <w:r>
                    <w:rPr/>
                    <w:t>Davidson Kempner Arbitrage, Equities &amp; Relative Value LP</w:t>
                  </w:r>
                </w:p>
              </w:tc>
            </w:tr>
          </w:tbl>
          <w:p>
            <w:pPr>
              <w:pStyle w:val="TableContents"/>
              <w:bidi w:val="0"/>
              <w:spacing w:before="0" w:after="283"/>
              <w:jc w:val="left"/>
              <w:rPr/>
            </w:pPr>
            <w:r>
              <w:rPr/>
            </w:r>
          </w:p>
        </w:tc>
        <w:tc>
          <w:tcPr>
            <w:tcW w:w="50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21"/>
              <w:gridCol w:w="8984"/>
            </w:tblGrid>
            <w:tr>
              <w:trPr/>
              <w:tc>
                <w:tcPr>
                  <w:tcW w:w="1221" w:type="dxa"/>
                  <w:tcBorders/>
                  <w:vAlign w:val="center"/>
                </w:tcPr>
                <w:p>
                  <w:pPr>
                    <w:pStyle w:val="TableContents"/>
                    <w:bidi w:val="0"/>
                    <w:spacing w:before="0" w:after="283"/>
                    <w:jc w:val="left"/>
                    <w:rPr/>
                  </w:pPr>
                  <w:r>
                    <w:rPr/>
                    <w:t>Signature:</w:t>
                  </w:r>
                </w:p>
              </w:tc>
              <w:tc>
                <w:tcPr>
                  <w:tcW w:w="8984" w:type="dxa"/>
                  <w:tcBorders/>
                  <w:vAlign w:val="center"/>
                </w:tcPr>
                <w:p>
                  <w:pPr>
                    <w:pStyle w:val="TableContents"/>
                    <w:bidi w:val="0"/>
                    <w:spacing w:before="0" w:after="283"/>
                    <w:jc w:val="left"/>
                    <w:rPr/>
                  </w:pPr>
                  <w:r>
                    <w:rPr/>
                    <w:t>/s/ Anthony A. Yoseloff</w:t>
                  </w:r>
                </w:p>
              </w:tc>
            </w:tr>
            <w:tr>
              <w:trPr/>
              <w:tc>
                <w:tcPr>
                  <w:tcW w:w="1221" w:type="dxa"/>
                  <w:tcBorders/>
                  <w:vAlign w:val="center"/>
                </w:tcPr>
                <w:p>
                  <w:pPr>
                    <w:pStyle w:val="TableContents"/>
                    <w:bidi w:val="0"/>
                    <w:spacing w:before="0" w:after="283"/>
                    <w:jc w:val="left"/>
                    <w:rPr/>
                  </w:pPr>
                  <w:r>
                    <w:rPr/>
                    <w:t>Name/Title:</w:t>
                  </w:r>
                </w:p>
              </w:tc>
              <w:tc>
                <w:tcPr>
                  <w:tcW w:w="8984" w:type="dxa"/>
                  <w:tcBorders/>
                  <w:vAlign w:val="center"/>
                </w:tcPr>
                <w:p>
                  <w:pPr>
                    <w:pStyle w:val="TableContents"/>
                    <w:bidi w:val="0"/>
                    <w:spacing w:before="0" w:after="283"/>
                    <w:jc w:val="left"/>
                    <w:rPr/>
                  </w:pPr>
                  <w:r>
                    <w:rPr/>
                    <w:t>Anthony A. Yoseloff, Executive Managing Member of Davidson Kempner Liquid GP Topco LLC, Managing Member of DKAERV GP, General Partner of DKAERV</w:t>
                  </w:r>
                </w:p>
              </w:tc>
            </w:tr>
            <w:tr>
              <w:trPr/>
              <w:tc>
                <w:tcPr>
                  <w:tcW w:w="1221" w:type="dxa"/>
                  <w:tcBorders/>
                  <w:vAlign w:val="center"/>
                </w:tcPr>
                <w:p>
                  <w:pPr>
                    <w:pStyle w:val="TableContents"/>
                    <w:bidi w:val="0"/>
                    <w:spacing w:before="0" w:after="283"/>
                    <w:jc w:val="left"/>
                    <w:rPr/>
                  </w:pPr>
                  <w:r>
                    <w:rPr/>
                    <w:t>Date:</w:t>
                  </w:r>
                </w:p>
              </w:tc>
              <w:tc>
                <w:tcPr>
                  <w:tcW w:w="898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Davidson Kempner Capital Management LP</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Anthony A. Yoseloff</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Anthony A. Yoseloff, Executive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Anthony A. Yoseloff</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Anthony A. Yoseloff</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Anthony A. Yoseloff, Individually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1682</Words>
  <Characters>8629</Characters>
  <CharactersWithSpaces>10246</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