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Momentus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22,680.00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22,680.00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22,680.00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1,177,320.00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1,177,320.00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1,177,320.00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2" w:right="419" w:bottom="127"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Momentus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1762 Automation Parkway, San Jose, California 95131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 GP II LLC, a Delaware limited liability company ("DKAERV GP"), is the general partner of DKAERV and Davidson</w:t>
      </w:r>
    </w:p>
    <w:p>
      <w:pPr>
        <w:spacing w:after="0" w:line="6" w:lineRule="exact"/>
        <w:rPr>
          <w:sz w:val="20"/>
          <w:szCs w:val="20"/>
          <w:color w:val="auto"/>
        </w:rPr>
      </w:pPr>
    </w:p>
    <w:p>
      <w:pPr>
        <w:ind w:left="920" w:right="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each of CO and DKAERV ("DKCM"). DKCM GP LLC, a Delaware limited liability company, is the general partner of DKCM. The managing members of DKCM are Anthony A. Yoseloff, Conor Bastable, Morgan P. Blackwell, Patrick W. Dennis, Gabriel T. Schwartz, Zachary Z. Altschuler, Joshua D. Morris, Suzanne K. Gibbons, Gregory S. Feldman, Melanie Levine and James Li; and (iv) Anthony A. Yoseloff, through DKCM, is responsible for the voting and investment decisions relating to the Class A common stock, par value $0.00001 per share ("Class A Common Stock"), of Momentus Inc. (the "Company") that were held by CO and DKAERV.</w:t>
      </w:r>
    </w:p>
    <w:p>
      <w:pPr>
        <w:spacing w:after="0" w:line="1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1120"/>
          </w:cols>
          <w:pgMar w:left="360" w:top="112" w:right="419" w:bottom="12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Davidson Kempner Capital Management LP, 9 West 57th Street, 29th Floor, New York, NY 10019.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firstLine="6"/>
        <w:spacing w:after="0" w:line="25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 a New York limited partnership (ii) DKAERV - a Cayman Islands exempted limited partnership (iii) DKCM - a Delaware limited partnership (iv) Anthony A. Yoseloff - United States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percentages set forth in this Schedule 13G are calculated based upon an</w:t>
      </w:r>
    </w:p>
    <w:p>
      <w:pPr>
        <w:spacing w:after="0" w:line="2" w:lineRule="exact"/>
        <w:rPr>
          <w:sz w:val="20"/>
          <w:szCs w:val="20"/>
          <w:color w:val="auto"/>
        </w:rPr>
      </w:pPr>
    </w:p>
    <w:p>
      <w:pPr>
        <w:ind w:left="920" w:right="4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of 13,489,553 shares of Class A Common Stock outstanding, which is the sum of (i) 10,547,553 shares of Class A Common Stock outstanding as of May 21, 2026, as reported on the Company's Registration Statement on Form S-3, filed with the Securities and Exchange Commission on May 26, 2026; and (ii) 2,942,000 shares of Class A Common Stock issued in the private placement entered into on May 27, 2026, as described on the Company's Investor Relations' website.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87" w:orient="portrait"/>
          <w:cols w:equalWidth="0" w:num="1">
            <w:col w:w="11120"/>
          </w:cols>
          <w:pgMar w:left="360" w:top="112" w:right="4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50"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CO GP,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CO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DKAERV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DKAERV</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Anthony</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A. Yoseloff, Executive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Anthony A. Yoseloff, Individually</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ectPr>
          <w:pgSz w:w="11900" w:h="16838" w:orient="portrait"/>
          <w:cols w:equalWidth="0" w:num="1">
            <w:col w:w="11140"/>
          </w:cols>
          <w:pgMar w:left="360" w:top="450" w:right="3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28, 2026</w:t>
      </w: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Anthony A. Yoseloff</w:t>
      </w:r>
    </w:p>
    <w:p>
      <w:pPr>
        <w:spacing w:after="0" w:line="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ANTHONY A. YOSELOFF, (i) individually, (ii) as Executive Managing</w:t>
      </w:r>
    </w:p>
    <w:p>
      <w:pPr>
        <w:ind w:left="4940"/>
        <w:spacing w:after="0"/>
        <w:rPr>
          <w:sz w:val="20"/>
          <w:szCs w:val="20"/>
          <w:color w:val="auto"/>
        </w:rPr>
      </w:pPr>
      <w:r>
        <w:rPr>
          <w:rFonts w:ascii="Times New Roman" w:cs="Times New Roman" w:eastAsia="Times New Roman" w:hAnsi="Times New Roman"/>
          <w:sz w:val="20"/>
          <w:szCs w:val="20"/>
          <w:color w:val="auto"/>
        </w:rPr>
        <w:t>Member of: (a) Davidson Kempner Capital Management LP, and (b)</w:t>
      </w:r>
    </w:p>
    <w:p>
      <w:pPr>
        <w:ind w:left="4940"/>
        <w:spacing w:after="0"/>
        <w:rPr>
          <w:sz w:val="20"/>
          <w:szCs w:val="20"/>
          <w:color w:val="auto"/>
        </w:rPr>
      </w:pPr>
      <w:r>
        <w:rPr>
          <w:rFonts w:ascii="Times New Roman" w:cs="Times New Roman" w:eastAsia="Times New Roman" w:hAnsi="Times New Roman"/>
          <w:sz w:val="20"/>
          <w:szCs w:val="20"/>
          <w:color w:val="auto"/>
        </w:rPr>
        <w:t>Davidson Kempner Liquid GP Topco LLC, as Managing Member of (1) M.H.</w:t>
      </w:r>
    </w:p>
    <w:p>
      <w:pPr>
        <w:ind w:left="4940"/>
        <w:spacing w:after="0"/>
        <w:rPr>
          <w:sz w:val="20"/>
          <w:szCs w:val="20"/>
          <w:color w:val="auto"/>
        </w:rPr>
      </w:pPr>
      <w:r>
        <w:rPr>
          <w:rFonts w:ascii="Times New Roman" w:cs="Times New Roman" w:eastAsia="Times New Roman" w:hAnsi="Times New Roman"/>
          <w:sz w:val="20"/>
          <w:szCs w:val="20"/>
          <w:color w:val="auto"/>
        </w:rPr>
        <w:t>Davidson &amp; Co. GP, L.L.C., as General Partner of M.H. Davidson &amp; Co. and</w:t>
      </w:r>
    </w:p>
    <w:p>
      <w:pPr>
        <w:ind w:left="4940" w:right="580" w:hanging="2"/>
        <w:spacing w:after="0" w:line="246" w:lineRule="auto"/>
        <w:tabs>
          <w:tab w:leader="none" w:pos="52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Davidson Kempner Multi-Strategy GP II LLC, as General Partner of Davidson Kempner Arbitrage, Equities and Relative Value LP.</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2026-05-28T17:04:21Z</dcterms:created>
  <dcterms:modified xsi:type="dcterms:W3CDTF">2026-05-28T17:04:21Z</dcterms:modified>
</cp:coreProperties>
</file>