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 Securities Exchange Act of 1934</w:t>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March 27, 2024</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Date of Report (date of earliest event reported)</w:t>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Momentus Inc.</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(Exact name of registrant as specified in its charter)</w:t>
      </w:r>
    </w:p>
    <w:p>
      <w:pPr>
        <w:pStyle w:val="TextBody"/>
        <w:bidi w:val="0"/>
        <w:spacing w:before="0" w:after="0"/>
        <w:jc w:val="center"/>
        <w:rPr>
          <w:color w:val="000000"/>
          <w:shd w:fill="FFFFFF" w:val="clear"/>
        </w:rPr>
      </w:pPr>
      <w:r>
        <w:rPr>
          <w:color w:val="000000"/>
          <w:shd w:fill="FFFFFF" w:val="clear"/>
        </w:rPr>
        <w:t> </w:t>
      </w:r>
    </w:p>
    <w:tbl>
      <w:tblPr>
        <w:tblW w:w="9975" w:type="dxa"/>
        <w:jc w:val="center"/>
        <w:tblInd w:w="0" w:type="dxa"/>
        <w:tblLayout w:type="fixed"/>
        <w:tblCellMar>
          <w:top w:w="0" w:type="dxa"/>
          <w:left w:w="0" w:type="dxa"/>
          <w:bottom w:w="0" w:type="dxa"/>
          <w:right w:w="0" w:type="dxa"/>
        </w:tblCellMar>
      </w:tblPr>
      <w:tblGrid>
        <w:gridCol w:w="4865"/>
        <w:gridCol w:w="2210"/>
        <w:gridCol w:w="2900"/>
      </w:tblGrid>
      <w:tr>
        <w:trPr/>
        <w:tc>
          <w:tcPr>
            <w:tcW w:w="4865" w:type="dxa"/>
            <w:tcBorders/>
            <w:vAlign w:val="center"/>
          </w:tcPr>
          <w:p>
            <w:pPr>
              <w:pStyle w:val="TableContents"/>
              <w:bidi w:val="0"/>
              <w:spacing w:before="0" w:after="283"/>
              <w:jc w:val="center"/>
              <w:rPr>
                <w:rFonts w:ascii="Times New Roman" w:hAnsi="Times New Roman"/>
                <w:b/>
                <w:sz w:val="20"/>
              </w:rPr>
            </w:pPr>
            <w:r>
              <w:rPr>
                <w:rFonts w:ascii="Times New Roman" w:hAnsi="Times New Roman"/>
                <w:b/>
                <w:sz w:val="20"/>
              </w:rPr>
              <w:t>Delaware</w:t>
            </w:r>
          </w:p>
        </w:tc>
        <w:tc>
          <w:tcPr>
            <w:tcW w:w="2210" w:type="dxa"/>
            <w:tcBorders/>
            <w:vAlign w:val="center"/>
          </w:tcPr>
          <w:p>
            <w:pPr>
              <w:pStyle w:val="TableContents"/>
              <w:bidi w:val="0"/>
              <w:spacing w:before="0" w:after="283"/>
              <w:jc w:val="center"/>
              <w:rPr>
                <w:rFonts w:ascii="Times New Roman" w:hAnsi="Times New Roman"/>
                <w:b/>
                <w:sz w:val="20"/>
              </w:rPr>
            </w:pPr>
            <w:r>
              <w:rPr>
                <w:rFonts w:ascii="Times New Roman" w:hAnsi="Times New Roman"/>
                <w:b/>
                <w:sz w:val="20"/>
              </w:rPr>
              <w:t>001-39128</w:t>
            </w:r>
          </w:p>
        </w:tc>
        <w:tc>
          <w:tcPr>
            <w:tcW w:w="2900" w:type="dxa"/>
            <w:tcBorders/>
            <w:vAlign w:val="center"/>
          </w:tcPr>
          <w:p>
            <w:pPr>
              <w:pStyle w:val="TableContents"/>
              <w:bidi w:val="0"/>
              <w:spacing w:before="0" w:after="283"/>
              <w:jc w:val="center"/>
              <w:rPr>
                <w:rFonts w:ascii="Times New Roman" w:hAnsi="Times New Roman"/>
                <w:b/>
                <w:sz w:val="20"/>
              </w:rPr>
            </w:pPr>
            <w:r>
              <w:rPr>
                <w:rFonts w:ascii="Times New Roman" w:hAnsi="Times New Roman"/>
                <w:b/>
                <w:sz w:val="20"/>
              </w:rPr>
              <w:t>84-1905538</w:t>
            </w:r>
          </w:p>
        </w:tc>
      </w:tr>
      <w:tr>
        <w:trPr/>
        <w:tc>
          <w:tcPr>
            <w:tcW w:w="48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(State or other jurisdiction of incorporation or organization)</w:t>
            </w:r>
          </w:p>
        </w:tc>
        <w:tc>
          <w:tcPr>
            <w:tcW w:w="221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(Commission File Number)</w:t>
            </w:r>
          </w:p>
        </w:tc>
        <w:tc>
          <w:tcPr>
            <w:tcW w:w="290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(I.R.S. Employer Identification No.)</w:t>
            </w:r>
          </w:p>
        </w:tc>
      </w:tr>
    </w:tbl>
    <w:tbl>
      <w:tblPr>
        <w:tblW w:w="4225" w:type="dxa"/>
        <w:jc w:val="center"/>
        <w:tblInd w:w="0" w:type="dxa"/>
        <w:tblLayout w:type="fixed"/>
        <w:tblCellMar>
          <w:top w:w="0" w:type="dxa"/>
          <w:left w:w="0" w:type="dxa"/>
          <w:bottom w:w="0" w:type="dxa"/>
          <w:right w:w="0" w:type="dxa"/>
        </w:tblCellMar>
      </w:tblPr>
      <w:tblGrid>
        <w:gridCol w:w="3260"/>
        <w:gridCol w:w="60"/>
        <w:gridCol w:w="905"/>
      </w:tblGrid>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905" w:type="dxa"/>
            <w:tcBorders/>
            <w:vAlign w:val="center"/>
          </w:tcPr>
          <w:p>
            <w:pPr>
              <w:pStyle w:val="TableContents"/>
              <w:bidi w:val="0"/>
              <w:spacing w:before="0" w:after="283"/>
              <w:jc w:val="center"/>
              <w:rPr/>
            </w:pPr>
            <w:r>
              <w:rPr/>
              <w:t> </w:t>
            </w:r>
          </w:p>
        </w:tc>
      </w:tr>
      <w:tr>
        <w:trPr/>
        <w:tc>
          <w:tcPr>
            <w:tcW w:w="326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3901 N. First Street</w:t>
            </w:r>
          </w:p>
          <w:p>
            <w:pPr>
              <w:pStyle w:val="TableContents"/>
              <w:bidi w:val="0"/>
              <w:spacing w:before="0" w:after="0"/>
              <w:jc w:val="center"/>
              <w:rPr>
                <w:rFonts w:ascii="Times New Roman" w:hAnsi="Times New Roman"/>
                <w:b/>
                <w:sz w:val="20"/>
              </w:rPr>
            </w:pPr>
            <w:r>
              <w:rPr>
                <w:rFonts w:ascii="Times New Roman" w:hAnsi="Times New Roman"/>
                <w:b/>
                <w:sz w:val="20"/>
              </w:rPr>
              <w:t>San Jose, California</w:t>
            </w:r>
          </w:p>
        </w:tc>
        <w:tc>
          <w:tcPr>
            <w:tcW w:w="60" w:type="dxa"/>
            <w:tcBorders/>
            <w:vAlign w:val="center"/>
          </w:tcPr>
          <w:p>
            <w:pPr>
              <w:pStyle w:val="TableContents"/>
              <w:bidi w:val="0"/>
              <w:spacing w:before="0" w:after="283"/>
              <w:jc w:val="center"/>
              <w:rPr/>
            </w:pPr>
            <w:r>
              <w:rPr/>
              <w:t> </w:t>
            </w:r>
          </w:p>
        </w:tc>
        <w:tc>
          <w:tcPr>
            <w:tcW w:w="905" w:type="dxa"/>
            <w:tcBorders/>
            <w:vAlign w:val="center"/>
          </w:tcPr>
          <w:p>
            <w:pPr>
              <w:pStyle w:val="TableContents"/>
              <w:bidi w:val="0"/>
              <w:spacing w:before="0" w:after="283"/>
              <w:jc w:val="center"/>
              <w:rPr>
                <w:rFonts w:ascii="Times New Roman" w:hAnsi="Times New Roman"/>
                <w:b/>
                <w:sz w:val="20"/>
              </w:rPr>
            </w:pPr>
            <w:r>
              <w:rPr>
                <w:rFonts w:ascii="Times New Roman" w:hAnsi="Times New Roman"/>
                <w:b/>
                <w:sz w:val="20"/>
              </w:rPr>
              <w:t>95134</w:t>
            </w:r>
          </w:p>
        </w:tc>
      </w:tr>
      <w:tr>
        <w:trPr/>
        <w:tc>
          <w:tcPr>
            <w:tcW w:w="326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(Address of Principal Executive Offices)</w:t>
            </w:r>
          </w:p>
        </w:tc>
        <w:tc>
          <w:tcPr>
            <w:tcW w:w="60" w:type="dxa"/>
            <w:tcBorders/>
            <w:vAlign w:val="center"/>
          </w:tcPr>
          <w:p>
            <w:pPr>
              <w:pStyle w:val="TableContents"/>
              <w:bidi w:val="0"/>
              <w:spacing w:before="0" w:after="283"/>
              <w:jc w:val="center"/>
              <w:rPr/>
            </w:pPr>
            <w:r>
              <w:rPr/>
              <w:t> </w:t>
            </w:r>
          </w:p>
        </w:tc>
        <w:tc>
          <w:tcPr>
            <w:tcW w:w="90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(650) 564-7820</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w:t>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center"/>
        <w:rPr>
          <w:color w:val="000000"/>
          <w:shd w:fill="FFFFFF" w:val="clear"/>
        </w:rPr>
      </w:pPr>
      <w:r>
        <w:rPr>
          <w:color w:val="000000"/>
          <w:shd w:fill="FFFFFF" w:val="clear"/>
        </w:rPr>
        <w:t> </w:t>
      </w:r>
    </w:p>
    <w:tbl>
      <w:tblPr>
        <w:tblW w:w="7540" w:type="dxa"/>
        <w:jc w:val="center"/>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tbl>
      <w:tblPr>
        <w:tblW w:w="7570" w:type="dxa"/>
        <w:jc w:val="center"/>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310" w:type="dxa"/>
        <w:jc w:val="center"/>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tbl>
      <w:tblPr>
        <w:tblW w:w="9250" w:type="dxa"/>
        <w:jc w:val="center"/>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12(g) of the Act:</w:t>
      </w:r>
    </w:p>
    <w:p>
      <w:pPr>
        <w:pStyle w:val="TextBody"/>
        <w:bidi w:val="0"/>
        <w:spacing w:before="0" w:after="0"/>
        <w:jc w:val="center"/>
        <w:rPr>
          <w:color w:val="000000"/>
          <w:shd w:fill="FFFFFF" w:val="clear"/>
        </w:rPr>
      </w:pPr>
      <w:r>
        <w:rPr>
          <w:color w:val="000000"/>
          <w:shd w:fill="FFFFFF" w:val="clear"/>
        </w:rPr>
        <w:t> </w:t>
      </w:r>
    </w:p>
    <w:tbl>
      <w:tblPr>
        <w:tblW w:w="6975" w:type="dxa"/>
        <w:jc w:val="center"/>
        <w:tblInd w:w="0" w:type="dxa"/>
        <w:tblLayout w:type="fixed"/>
        <w:tblCellMar>
          <w:top w:w="28" w:type="dxa"/>
          <w:left w:w="28" w:type="dxa"/>
          <w:bottom w:w="28" w:type="dxa"/>
          <w:right w:w="0" w:type="dxa"/>
        </w:tblCellMar>
      </w:tblPr>
      <w:tblGrid>
        <w:gridCol w:w="1865"/>
        <w:gridCol w:w="1535"/>
        <w:gridCol w:w="3575"/>
      </w:tblGrid>
      <w:tr>
        <w:trPr/>
        <w:tc>
          <w:tcPr>
            <w:tcW w:w="1865" w:type="dxa"/>
            <w:tcBorders>
              <w:top w:val="single" w:sz="12" w:space="0" w:color="000000"/>
              <w:left w:val="single" w:sz="12" w:space="0" w:color="000000"/>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Title of each class</w:t>
            </w:r>
          </w:p>
        </w:tc>
        <w:tc>
          <w:tcPr>
            <w:tcW w:w="1535" w:type="dxa"/>
            <w:tcBorders>
              <w:top w:val="single" w:sz="12" w:space="0" w:color="000000"/>
              <w:left w:val="single" w:sz="12" w:space="0" w:color="000000"/>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Trading Symbol(s)</w:t>
            </w:r>
          </w:p>
        </w:tc>
        <w:tc>
          <w:tcPr>
            <w:tcW w:w="3575" w:type="dxa"/>
            <w:tcBorders>
              <w:top w:val="single" w:sz="12" w:space="0" w:color="000000"/>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1865" w:type="dxa"/>
            <w:tcBorders>
              <w:left w:val="single" w:sz="12" w:space="0" w:color="000000"/>
              <w:bottom w:val="single" w:sz="12" w:space="0" w:color="000000"/>
            </w:tcBorders>
            <w:tcMar>
              <w:top w:w="0" w:type="dxa"/>
            </w:tcMar>
            <w:vAlign w:val="center"/>
          </w:tcPr>
          <w:p>
            <w:pPr>
              <w:pStyle w:val="TableContents"/>
              <w:bidi w:val="0"/>
              <w:spacing w:before="0" w:after="283"/>
              <w:jc w:val="center"/>
              <w:rPr>
                <w:rFonts w:ascii="Times New Roman" w:hAnsi="Times New Roman"/>
                <w:sz w:val="20"/>
              </w:rPr>
            </w:pPr>
            <w:r>
              <w:rPr>
                <w:rFonts w:ascii="Times New Roman" w:hAnsi="Times New Roman"/>
                <w:sz w:val="20"/>
              </w:rPr>
              <w:t>Class A common stock</w:t>
            </w:r>
          </w:p>
        </w:tc>
        <w:tc>
          <w:tcPr>
            <w:tcW w:w="1535" w:type="dxa"/>
            <w:tcBorders>
              <w:left w:val="single" w:sz="12" w:space="0" w:color="000000"/>
              <w:bottom w:val="single" w:sz="12" w:space="0" w:color="000000"/>
            </w:tcBorders>
            <w:tcMar>
              <w:top w:w="0" w:type="dxa"/>
            </w:tcMar>
            <w:vAlign w:val="center"/>
          </w:tcPr>
          <w:p>
            <w:pPr>
              <w:pStyle w:val="TableContents"/>
              <w:bidi w:val="0"/>
              <w:spacing w:before="0" w:after="283"/>
              <w:jc w:val="center"/>
              <w:rPr>
                <w:rFonts w:ascii="Times New Roman" w:hAnsi="Times New Roman"/>
                <w:sz w:val="20"/>
              </w:rPr>
            </w:pPr>
            <w:r>
              <w:rPr>
                <w:rFonts w:ascii="Times New Roman" w:hAnsi="Times New Roman"/>
                <w:sz w:val="20"/>
              </w:rPr>
              <w:t>MNTS</w:t>
            </w:r>
          </w:p>
        </w:tc>
        <w:tc>
          <w:tcPr>
            <w:tcW w:w="3575"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283"/>
              <w:jc w:val="center"/>
              <w:rPr>
                <w:rFonts w:ascii="Times New Roman" w:hAnsi="Times New Roman"/>
                <w:sz w:val="20"/>
              </w:rPr>
            </w:pPr>
            <w:r>
              <w:rPr>
                <w:rFonts w:ascii="Times New Roman" w:hAnsi="Times New Roman"/>
                <w:sz w:val="20"/>
              </w:rPr>
              <w:t>The Nasdaq Stock Market LLC</w:t>
            </w:r>
          </w:p>
        </w:tc>
      </w:tr>
      <w:tr>
        <w:trPr/>
        <w:tc>
          <w:tcPr>
            <w:tcW w:w="1865" w:type="dxa"/>
            <w:tcBorders>
              <w:left w:val="single" w:sz="12" w:space="0" w:color="000000"/>
              <w:bottom w:val="single" w:sz="12" w:space="0" w:color="000000"/>
            </w:tcBorders>
            <w:tcMar>
              <w:top w:w="0" w:type="dxa"/>
            </w:tcMar>
            <w:vAlign w:val="center"/>
          </w:tcPr>
          <w:p>
            <w:pPr>
              <w:pStyle w:val="TableContents"/>
              <w:bidi w:val="0"/>
              <w:spacing w:before="0" w:after="283"/>
              <w:jc w:val="center"/>
              <w:rPr>
                <w:rFonts w:ascii="Times New Roman" w:hAnsi="Times New Roman"/>
                <w:b w:val="false"/>
                <w:sz w:val="20"/>
              </w:rPr>
            </w:pPr>
            <w:r>
              <w:rPr>
                <w:rFonts w:ascii="Times New Roman" w:hAnsi="Times New Roman"/>
                <w:b w:val="false"/>
                <w:sz w:val="20"/>
              </w:rPr>
              <w:t>Warrants</w:t>
            </w:r>
          </w:p>
        </w:tc>
        <w:tc>
          <w:tcPr>
            <w:tcW w:w="1535" w:type="dxa"/>
            <w:tcBorders>
              <w:left w:val="single" w:sz="12" w:space="0" w:color="000000"/>
              <w:bottom w:val="single" w:sz="12" w:space="0" w:color="000000"/>
            </w:tcBorders>
            <w:tcMar>
              <w:top w:w="0" w:type="dxa"/>
            </w:tcMar>
            <w:vAlign w:val="center"/>
          </w:tcPr>
          <w:p>
            <w:pPr>
              <w:pStyle w:val="TableContents"/>
              <w:bidi w:val="0"/>
              <w:spacing w:before="0" w:after="283"/>
              <w:jc w:val="center"/>
              <w:rPr>
                <w:rFonts w:ascii="Times New Roman" w:hAnsi="Times New Roman"/>
                <w:sz w:val="20"/>
              </w:rPr>
            </w:pPr>
            <w:r>
              <w:rPr>
                <w:rFonts w:ascii="Times New Roman" w:hAnsi="Times New Roman"/>
                <w:sz w:val="20"/>
              </w:rPr>
              <w:t>MNTSW</w:t>
            </w:r>
          </w:p>
        </w:tc>
        <w:tc>
          <w:tcPr>
            <w:tcW w:w="3575"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283"/>
              <w:jc w:val="center"/>
              <w:rPr>
                <w:rFonts w:ascii="Times New Roman" w:hAnsi="Times New Roman"/>
                <w:sz w:val="20"/>
              </w:rPr>
            </w:pPr>
            <w:r>
              <w:rPr>
                <w:rFonts w:ascii="Times New Roman" w:hAnsi="Times New Roman"/>
                <w:sz w:val="20"/>
              </w:rPr>
              <w:t>The Nasdaq Stock Market LLC</w:t>
            </w:r>
          </w:p>
        </w:tc>
      </w:tr>
    </w:tbl>
    <w:p>
      <w:pPr>
        <w:pStyle w:val="TextBody"/>
        <w:bidi w:val="0"/>
        <w:spacing w:before="0" w:after="0"/>
        <w:jc w:val="center"/>
        <w:rPr>
          <w:color w:val="000000"/>
          <w:shd w:fill="FFFFFF" w:val="clear"/>
        </w:rPr>
      </w:pPr>
      <w:r>
        <w:rPr>
          <w:color w:val="000000"/>
          <w:shd w:fill="FFFFFF" w:val="clear"/>
        </w:rPr>
        <w:t xml:space="preserve">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rFonts w:ascii="Times New Roman" w:hAnsi="Times New Roman"/>
          <w:sz w:val="20"/>
        </w:rPr>
      </w:pPr>
      <w:r>
        <w:rPr>
          <w:rFonts w:ascii="Times New Roman" w:hAnsi="Times New Roman"/>
          <w:sz w:val="20"/>
        </w:rPr>
      </w:r>
    </w:p>
    <w:p>
      <w:pPr>
        <w:pStyle w:val="HorizontalLine"/>
        <w:bidi w:val="0"/>
        <w:jc w:val="center"/>
        <w:rPr/>
      </w:pPr>
      <w:r>
        <w:rPr/>
      </w:r>
    </w:p>
    <w:p>
      <w:pPr>
        <w:pStyle w:val="HorizontalLine"/>
        <w:bidi w:val="0"/>
        <w:spacing w:before="200" w:after="200"/>
        <w:jc w:val="center"/>
        <w:rPr/>
      </w:pPr>
      <w:r>
        <w:rPr/>
      </w:r>
    </w:p>
    <w:tbl>
      <w:tblPr>
        <w:tblW w:w="9115" w:type="dxa"/>
        <w:jc w:val="center"/>
        <w:tblInd w:w="0" w:type="dxa"/>
        <w:tblLayout w:type="fixed"/>
        <w:tblCellMar>
          <w:top w:w="0" w:type="dxa"/>
          <w:left w:w="0" w:type="dxa"/>
          <w:bottom w:w="0" w:type="dxa"/>
          <w:right w:w="0" w:type="dxa"/>
        </w:tblCellMar>
      </w:tblPr>
      <w:tblGrid>
        <w:gridCol w:w="830"/>
        <w:gridCol w:w="8285"/>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3.01</w:t>
            </w:r>
          </w:p>
        </w:tc>
        <w:tc>
          <w:tcPr>
            <w:tcW w:w="8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Notice of Delisting or Failure to Satisfy a Continued Listing Rule or Standard; Transfer of Listing.</w:t>
            </w:r>
          </w:p>
        </w:tc>
      </w:tr>
    </w:tbl>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March 27, 2024, Momentus Inc. (the “Company”) received a deficiency letter (the “Notice”) from the Nasdaq Capital Market LLC (“Nasdaq”) notifying the Company that, based upon the closing bid price of the Company’s Class A common stock, par value $0.00001 per share (the “Common Stock”), for the last 30 consecutive business days, the Company is not currently in compliance with the requirement to maintain a minimum bid price of $1.00 per share for continued listing on Nasdaq, as set forth in Nasdaq Listing Rule 5550(a)(2) (the “Minimum Bid Requirement”).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Notice has no immediate impact on the listing of the Company’s common stock on Nasdaq, and the Company’s listing remains fully effective.</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Company’s objective is to regain compliance with the listing requirement and it is pursuing actions aimed at growing the business and increasing the value of the Company and its share price.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is provided a compliance period of 180 calendar days from the date of the Notice, or until September 23, 2024, to regain compliance with Nasdaq Listing Rule 5550(a)(2). If at any time before September 23, 2024, the closing bid price of the Company’s Common Stock closes at or above $1.00 per share for a minimum of 10 consecutive business days, subject to Nasdaq’s discretion to extend this period pursuant to Nasdaq Listing Rule 5810(c)(3)(H), Nasdaq will provide written notification that the Company has achieved compliance with the Minimum Bid Requirement, and the matter would be resolved.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the Company does not regain compliance with the Minimum Bid Requirement during the initial 180 calendar day period, the Company may be eligible for an additional 180 calendar day compliance period. To qualify, the Company would be required to meet the continued listing requirement for market value of publicly held shares and all other initial listing standards for the Nasdaq Capital Market, with the exception of the Minimum Bid Requirement, and would need to provide written notice of its intention to cure the deficiency during the second compliance period, by effecting a reverse stock split, if necessary.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will continue to monitor the closing bid price of its Common Stock and seek to regain compliance with all applicable Nasdaq requirements within the allotted compliance periods. If the Company does not regain compliance within the allotted compliance periods, including any extensions that may be granted by Nasdaq, Nasdaq will provide notice that the Company’s Common Stock will be subject to delisting. The Company would then be entitled to appeal that determination to a Nasdaq hearings panel.</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intends to actively monitor the closing bid price of the Common Stock and will evaluate available options to regain compliance with the Minimum Bid Requirement. However, there can be no assurance that the Company will regain compliance with the Minimum Bid Requirement during the 180-day compliance period, secure a second period of 180 days to regain compliance or maintain compliance with the other Nasdaq listing requirements.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the Common Stock ceases to be listed for trading on Nasdaq, the Company would expect that the Common Stock would be traded on one of the three tiered marketplaces of the OTC Markets Group.</w:t>
      </w:r>
    </w:p>
    <w:p>
      <w:pPr>
        <w:pStyle w:val="TextBody"/>
        <w:bidi w:val="0"/>
        <w:spacing w:before="0" w:after="0"/>
        <w:jc w:val="center"/>
        <w:rPr/>
      </w:pPr>
      <w:r>
        <w:rPr/>
      </w:r>
    </w:p>
    <w:p>
      <w:pPr>
        <w:pStyle w:val="HorizontalLine"/>
        <w:bidi w:val="0"/>
        <w:spacing w:before="200" w:after="200"/>
        <w:jc w:val="center"/>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center"/>
        <w:rPr>
          <w:rFonts w:ascii="Times New Roman" w:hAnsi="Times New Roman"/>
          <w:sz w:val="20"/>
        </w:rPr>
      </w:pPr>
      <w:r>
        <w:rPr>
          <w:rFonts w:ascii="Times New Roman" w:hAnsi="Times New Roman"/>
          <w:sz w:val="20"/>
        </w:rPr>
      </w:r>
    </w:p>
    <w:tbl>
      <w:tblPr>
        <w:tblW w:w="6110" w:type="dxa"/>
        <w:jc w:val="center"/>
        <w:tblInd w:w="0" w:type="dxa"/>
        <w:tblLayout w:type="fixed"/>
        <w:tblCellMar>
          <w:top w:w="0" w:type="dxa"/>
          <w:left w:w="0" w:type="dxa"/>
          <w:bottom w:w="0" w:type="dxa"/>
          <w:right w:w="0" w:type="dxa"/>
        </w:tblCellMar>
      </w:tblPr>
      <w:tblGrid>
        <w:gridCol w:w="560"/>
        <w:gridCol w:w="1370"/>
        <w:gridCol w:w="545"/>
        <w:gridCol w:w="60"/>
        <w:gridCol w:w="3575"/>
      </w:tblGrid>
      <w:tr>
        <w:trPr/>
        <w:tc>
          <w:tcPr>
            <w:tcW w:w="5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By:</w:t>
            </w:r>
          </w:p>
        </w:tc>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0"/>
              <w:jc w:val="left"/>
              <w:rPr>
                <w:rFonts w:ascii="Times New Roman" w:hAnsi="Times New Roman"/>
                <w:color w:val="000000"/>
                <w:sz w:val="20"/>
                <w:u w:val="single"/>
              </w:rPr>
            </w:pPr>
            <w:r>
              <w:rPr>
                <w:rFonts w:ascii="Times New Roman" w:hAnsi="Times New Roman"/>
                <w:color w:val="000000"/>
                <w:sz w:val="20"/>
                <w:u w:val="single"/>
              </w:rPr>
              <w:t>/s/ Paul Ney</w:t>
            </w:r>
          </w:p>
        </w:tc>
      </w:tr>
      <w:tr>
        <w:trPr/>
        <w:tc>
          <w:tcPr>
            <w:tcW w:w="5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Name:</w:t>
            </w:r>
          </w:p>
        </w:tc>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Paul Ney</w:t>
            </w:r>
          </w:p>
        </w:tc>
      </w:tr>
      <w:tr>
        <w:trPr/>
        <w:tc>
          <w:tcPr>
            <w:tcW w:w="560" w:type="dxa"/>
            <w:tcBorders/>
            <w:vAlign w:val="center"/>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Dated:</w:t>
            </w:r>
          </w:p>
        </w:tc>
        <w:tc>
          <w:tcPr>
            <w:tcW w:w="1370" w:type="dxa"/>
            <w:tcBorders/>
            <w:vAlign w:val="center"/>
          </w:tcPr>
          <w:p>
            <w:pPr>
              <w:pStyle w:val="TableContents"/>
              <w:bidi w:val="0"/>
              <w:spacing w:before="0" w:after="0"/>
              <w:ind w:left="180" w:right="0" w:hanging="0"/>
              <w:jc w:val="left"/>
              <w:rPr/>
            </w:pPr>
            <w:r>
              <w:rPr/>
              <w:t> </w:t>
            </w:r>
            <w:r>
              <w:rPr>
                <w:rFonts w:ascii="Times New Roman" w:hAnsi="Times New Roman"/>
                <w:sz w:val="20"/>
              </w:rPr>
              <w:t>March 29, 2024</w:t>
            </w:r>
          </w:p>
        </w:tc>
        <w:tc>
          <w:tcPr>
            <w:tcW w:w="545" w:type="dxa"/>
            <w:tcBorders/>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Title:</w:t>
            </w:r>
          </w:p>
        </w:tc>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Chief Legal Officer and Corporate Secretary</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spacing w:before="0" w:after="283"/>
        <w:jc w:val="center"/>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892</Words>
  <Characters>4753</Characters>
  <CharactersWithSpaces>5613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