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3051F2"/>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328295</wp:posOffset>
            </wp:positionV>
            <wp:extent cx="7138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4"/>
          <w:szCs w:val="24"/>
          <w:color w:val="auto"/>
        </w:rPr>
      </w:pPr>
    </w:p>
    <w:p>
      <w:pPr>
        <w:spacing w:after="0" w:line="36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4"/>
          <w:szCs w:val="24"/>
          <w:b w:val="1"/>
          <w:bCs w:val="1"/>
          <w:color w:val="auto"/>
        </w:rPr>
        <w:t>Washington, D.C. 20549</w:t>
      </w:r>
    </w:p>
    <w:p>
      <w:pPr>
        <w:spacing w:after="0" w:line="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5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 One)</w:t>
      </w:r>
    </w:p>
    <w:p>
      <w:pPr>
        <w:spacing w:after="0" w:line="64" w:lineRule="exact"/>
        <w:rPr>
          <w:sz w:val="24"/>
          <w:szCs w:val="24"/>
          <w:color w:val="auto"/>
        </w:rPr>
      </w:pPr>
    </w:p>
    <w:p>
      <w:pPr>
        <w:ind w:left="620" w:hanging="600"/>
        <w:spacing w:after="0"/>
        <w:tabs>
          <w:tab w:leader="none" w:pos="620" w:val="left"/>
        </w:tabs>
        <w:numPr>
          <w:ilvl w:val="0"/>
          <w:numId w:val="1"/>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1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For the quarterly period ended March 31, 2024</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75" w:lineRule="exact"/>
        <w:rPr>
          <w:sz w:val="24"/>
          <w:szCs w:val="24"/>
          <w:color w:val="auto"/>
        </w:rPr>
      </w:pPr>
    </w:p>
    <w:p>
      <w:pPr>
        <w:ind w:left="4380" w:right="1900" w:hanging="4360"/>
        <w:spacing w:after="0" w:line="395" w:lineRule="auto"/>
        <w:tabs>
          <w:tab w:leader="none" w:pos="615" w:val="left"/>
        </w:tabs>
        <w:numPr>
          <w:ilvl w:val="0"/>
          <w:numId w:val="2"/>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 For the transition period from to</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Commission file number 001-39128</w:t>
      </w:r>
    </w:p>
    <w:p>
      <w:pPr>
        <w:spacing w:after="0" w:line="20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4"/>
          <w:szCs w:val="34"/>
          <w:b w:val="1"/>
          <w:bCs w:val="1"/>
          <w:color w:val="auto"/>
        </w:rPr>
        <w:t>Momentus Inc.</w:t>
      </w:r>
    </w:p>
    <w:p>
      <w:pPr>
        <w:spacing w:after="0" w:line="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(Exact name of registrant as specified in its charter)</w:t>
      </w:r>
    </w:p>
    <w:p>
      <w:pPr>
        <w:spacing w:after="0" w:line="25" w:lineRule="exact"/>
        <w:rPr>
          <w:sz w:val="24"/>
          <w:szCs w:val="24"/>
          <w:color w:val="auto"/>
        </w:rPr>
      </w:pPr>
    </w:p>
    <w:p>
      <w:pPr>
        <w:ind w:left="2460"/>
        <w:spacing w:after="0"/>
        <w:tabs>
          <w:tab w:leader="none" w:pos="8000" w:val="left"/>
        </w:tabs>
        <w:rPr>
          <w:sz w:val="20"/>
          <w:szCs w:val="20"/>
          <w:color w:val="auto"/>
        </w:rPr>
      </w:pPr>
      <w:r>
        <w:rPr>
          <w:rFonts w:ascii="Times New Roman" w:cs="Times New Roman" w:eastAsia="Times New Roman" w:hAnsi="Times New Roman"/>
          <w:sz w:val="17"/>
          <w:szCs w:val="17"/>
          <w:b w:val="1"/>
          <w:bCs w:val="1"/>
          <w:color w:val="auto"/>
        </w:rPr>
        <w:t>Delaware</w:t>
      </w:r>
      <w:r>
        <w:rPr>
          <w:sz w:val="20"/>
          <w:szCs w:val="20"/>
          <w:color w:val="auto"/>
        </w:rPr>
        <w:tab/>
      </w:r>
      <w:r>
        <w:rPr>
          <w:rFonts w:ascii="Times New Roman" w:cs="Times New Roman" w:eastAsia="Times New Roman" w:hAnsi="Times New Roman"/>
          <w:sz w:val="17"/>
          <w:szCs w:val="17"/>
          <w:b w:val="1"/>
          <w:bCs w:val="1"/>
          <w:color w:val="auto"/>
        </w:rPr>
        <w:t>84-1905538</w:t>
      </w:r>
    </w:p>
    <w:p>
      <w:pPr>
        <w:spacing w:after="0" w:line="53" w:lineRule="exact"/>
        <w:rPr>
          <w:sz w:val="24"/>
          <w:szCs w:val="24"/>
          <w:color w:val="auto"/>
        </w:rPr>
      </w:pPr>
    </w:p>
    <w:p>
      <w:pPr>
        <w:ind w:left="760"/>
        <w:spacing w:after="0"/>
        <w:tabs>
          <w:tab w:leader="none" w:pos="7160" w:val="left"/>
        </w:tabs>
        <w:rPr>
          <w:sz w:val="20"/>
          <w:szCs w:val="20"/>
          <w:color w:val="auto"/>
        </w:rPr>
      </w:pPr>
      <w:r>
        <w:rPr>
          <w:rFonts w:ascii="Times New Roman" w:cs="Times New Roman" w:eastAsia="Times New Roman" w:hAnsi="Times New Roman"/>
          <w:sz w:val="17"/>
          <w:szCs w:val="17"/>
          <w:color w:val="auto"/>
        </w:rPr>
        <w:t>(State or other jurisdiction of incorporation or organization)</w:t>
      </w:r>
      <w:r>
        <w:rPr>
          <w:sz w:val="20"/>
          <w:szCs w:val="20"/>
          <w:color w:val="auto"/>
        </w:rPr>
        <w:tab/>
      </w:r>
      <w:r>
        <w:rPr>
          <w:rFonts w:ascii="Times New Roman" w:cs="Times New Roman" w:eastAsia="Times New Roman" w:hAnsi="Times New Roman"/>
          <w:sz w:val="17"/>
          <w:szCs w:val="17"/>
          <w:color w:val="auto"/>
        </w:rPr>
        <w:t>(I.R.S. Employer Identification No.)</w:t>
      </w:r>
    </w:p>
    <w:p>
      <w:pPr>
        <w:sectPr>
          <w:pgSz w:w="11900" w:h="16838" w:orient="portrait"/>
          <w:cols w:equalWidth="0" w:num="1">
            <w:col w:w="11260"/>
          </w:cols>
          <w:pgMar w:left="320" w:top="226" w:right="319" w:bottom="1440" w:gutter="0" w:footer="0" w:header="0"/>
        </w:sectPr>
      </w:pPr>
    </w:p>
    <w:p>
      <w:pPr>
        <w:spacing w:after="0" w:line="97" w:lineRule="exact"/>
        <w:rPr>
          <w:sz w:val="24"/>
          <w:szCs w:val="24"/>
          <w:color w:val="auto"/>
        </w:rPr>
      </w:pPr>
    </w:p>
    <w:p>
      <w:pPr>
        <w:ind w:left="2100"/>
        <w:spacing w:after="0"/>
        <w:rPr>
          <w:sz w:val="20"/>
          <w:szCs w:val="20"/>
          <w:color w:val="auto"/>
        </w:rPr>
      </w:pPr>
      <w:r>
        <w:rPr>
          <w:rFonts w:ascii="Times New Roman" w:cs="Times New Roman" w:eastAsia="Times New Roman" w:hAnsi="Times New Roman"/>
          <w:sz w:val="17"/>
          <w:szCs w:val="17"/>
          <w:b w:val="1"/>
          <w:bCs w:val="1"/>
          <w:color w:val="auto"/>
        </w:rPr>
        <w:t>3901 N. First Street</w:t>
      </w:r>
    </w:p>
    <w:p>
      <w:pPr>
        <w:spacing w:after="0" w:line="20" w:lineRule="exact"/>
        <w:rPr>
          <w:sz w:val="24"/>
          <w:szCs w:val="24"/>
          <w:color w:val="auto"/>
        </w:rPr>
      </w:pPr>
    </w:p>
    <w:p>
      <w:pPr>
        <w:ind w:left="2080"/>
        <w:spacing w:after="0"/>
        <w:rPr>
          <w:sz w:val="20"/>
          <w:szCs w:val="20"/>
          <w:color w:val="auto"/>
        </w:rPr>
      </w:pPr>
      <w:r>
        <w:rPr>
          <w:rFonts w:ascii="Times New Roman" w:cs="Times New Roman" w:eastAsia="Times New Roman" w:hAnsi="Times New Roman"/>
          <w:sz w:val="17"/>
          <w:szCs w:val="17"/>
          <w:b w:val="1"/>
          <w:bCs w:val="1"/>
          <w:color w:val="auto"/>
        </w:rPr>
        <w:t>San Jose, California</w:t>
      </w:r>
    </w:p>
    <w:p>
      <w:pPr>
        <w:spacing w:after="0" w:line="44" w:lineRule="exact"/>
        <w:rPr>
          <w:sz w:val="24"/>
          <w:szCs w:val="24"/>
          <w:color w:val="auto"/>
        </w:rPr>
      </w:pPr>
    </w:p>
    <w:p>
      <w:pPr>
        <w:ind w:left="142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303" w:lineRule="exact"/>
        <w:rPr>
          <w:sz w:val="24"/>
          <w:szCs w:val="24"/>
          <w:color w:val="auto"/>
        </w:rPr>
      </w:pPr>
    </w:p>
    <w:p>
      <w:pPr>
        <w:jc w:val="center"/>
        <w:ind w:left="3880"/>
        <w:spacing w:after="0"/>
        <w:rPr>
          <w:sz w:val="20"/>
          <w:szCs w:val="20"/>
          <w:color w:val="auto"/>
        </w:rPr>
      </w:pPr>
      <w:r>
        <w:rPr>
          <w:rFonts w:ascii="Times New Roman" w:cs="Times New Roman" w:eastAsia="Times New Roman" w:hAnsi="Times New Roman"/>
          <w:sz w:val="17"/>
          <w:szCs w:val="17"/>
          <w:b w:val="1"/>
          <w:bCs w:val="1"/>
          <w:color w:val="auto"/>
        </w:rPr>
        <w:t>(650) 564-7820</w:t>
      </w:r>
    </w:p>
    <w:p>
      <w:pPr>
        <w:spacing w:after="0" w:line="32" w:lineRule="exact"/>
        <w:rPr>
          <w:sz w:val="24"/>
          <w:szCs w:val="24"/>
          <w:color w:val="auto"/>
        </w:rPr>
      </w:pPr>
    </w:p>
    <w:p>
      <w:pPr>
        <w:jc w:val="center"/>
        <w:ind w:left="3880"/>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jc w:val="center"/>
        <w:ind w:right="2440"/>
        <w:spacing w:after="0"/>
        <w:rPr>
          <w:sz w:val="20"/>
          <w:szCs w:val="20"/>
          <w:color w:val="auto"/>
        </w:rPr>
      </w:pPr>
      <w:r>
        <w:rPr>
          <w:rFonts w:ascii="Times New Roman" w:cs="Times New Roman" w:eastAsia="Times New Roman" w:hAnsi="Times New Roman"/>
          <w:sz w:val="17"/>
          <w:szCs w:val="17"/>
          <w:b w:val="1"/>
          <w:bCs w:val="1"/>
          <w:color w:val="auto"/>
        </w:rPr>
        <w:t>95134</w:t>
      </w:r>
    </w:p>
    <w:p>
      <w:pPr>
        <w:spacing w:after="0" w:line="157" w:lineRule="exact"/>
        <w:rPr>
          <w:sz w:val="24"/>
          <w:szCs w:val="24"/>
          <w:color w:val="auto"/>
        </w:rPr>
      </w:pPr>
    </w:p>
    <w:p>
      <w:pPr>
        <w:jc w:val="center"/>
        <w:ind w:right="2440"/>
        <w:spacing w:after="0"/>
        <w:rPr>
          <w:sz w:val="20"/>
          <w:szCs w:val="20"/>
          <w:color w:val="auto"/>
        </w:rPr>
      </w:pPr>
      <w:r>
        <w:rPr>
          <w:rFonts w:ascii="Times New Roman" w:cs="Times New Roman" w:eastAsia="Times New Roman" w:hAnsi="Times New Roman"/>
          <w:sz w:val="17"/>
          <w:szCs w:val="17"/>
          <w:color w:val="auto"/>
        </w:rPr>
        <w:t>(Zip Code)</w:t>
      </w:r>
    </w:p>
    <w:p>
      <w:pPr>
        <w:spacing w:after="0" w:line="1334" w:lineRule="exact"/>
        <w:rPr>
          <w:sz w:val="24"/>
          <w:szCs w:val="24"/>
          <w:color w:val="auto"/>
        </w:rPr>
      </w:pPr>
    </w:p>
    <w:p>
      <w:pPr>
        <w:sectPr>
          <w:pgSz w:w="11900" w:h="16838" w:orient="portrait"/>
          <w:cols w:equalWidth="0" w:num="2">
            <w:col w:w="7380" w:space="680"/>
            <w:col w:w="3200"/>
          </w:cols>
          <w:pgMar w:left="320" w:top="226" w:right="319" w:bottom="1440" w:gutter="0" w:footer="0" w:header="0"/>
          <w:type w:val="continuous"/>
        </w:sectPr>
      </w:pPr>
    </w:p>
    <w:p>
      <w:pPr>
        <w:spacing w:after="0" w:line="39" w:lineRule="exact"/>
        <w:rPr>
          <w:sz w:val="24"/>
          <w:szCs w:val="24"/>
          <w:color w:val="auto"/>
        </w:rPr>
      </w:pPr>
    </w:p>
    <w:tbl>
      <w:tblPr>
        <w:tblLayout w:type="fixed"/>
        <w:tblInd w:w="10" w:type="dxa"/>
        <w:tblCellMar>
          <w:top w:w="0" w:type="dxa"/>
          <w:left w:w="0" w:type="dxa"/>
          <w:bottom w:w="0" w:type="dxa"/>
          <w:right w:w="0" w:type="dxa"/>
        </w:tblCellMar>
      </w:tblPr>
      <w:tr>
        <w:trPr>
          <w:trHeight w:val="252"/>
        </w:trPr>
        <w:tc>
          <w:tcPr>
            <w:tcW w:w="41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Title of each class</w:t>
            </w:r>
          </w:p>
        </w:tc>
        <w:tc>
          <w:tcPr>
            <w:tcW w:w="2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Trading Symbol(s)</w:t>
            </w:r>
          </w:p>
        </w:tc>
        <w:tc>
          <w:tcPr>
            <w:tcW w:w="4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Name of each exchange on which registered</w:t>
            </w:r>
          </w:p>
        </w:tc>
      </w:tr>
      <w:tr>
        <w:trPr>
          <w:trHeight w:val="238"/>
        </w:trPr>
        <w:tc>
          <w:tcPr>
            <w:tcW w:w="4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Class A common stock</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MNTS</w:t>
            </w:r>
          </w:p>
        </w:tc>
        <w:tc>
          <w:tcPr>
            <w:tcW w:w="4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Nasdaq Stock Market LLC</w:t>
            </w:r>
          </w:p>
        </w:tc>
      </w:tr>
      <w:tr>
        <w:trPr>
          <w:trHeight w:val="238"/>
        </w:trPr>
        <w:tc>
          <w:tcPr>
            <w:tcW w:w="4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Warrants</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MNTSW</w:t>
            </w:r>
          </w:p>
        </w:tc>
        <w:tc>
          <w:tcPr>
            <w:tcW w:w="4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Nasdaq Stock Market LLC</w:t>
            </w:r>
          </w:p>
        </w:tc>
      </w:tr>
    </w:tbl>
    <w:p>
      <w:pPr>
        <w:spacing w:after="0" w:line="177" w:lineRule="exact"/>
        <w:rPr>
          <w:sz w:val="24"/>
          <w:szCs w:val="24"/>
          <w:color w:val="auto"/>
        </w:rPr>
      </w:pPr>
    </w:p>
    <w:p>
      <w:pPr>
        <w:jc w:val="both"/>
        <w:ind w:right="20"/>
        <w:spacing w:after="0" w:line="270" w:lineRule="auto"/>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x</w:t>
      </w:r>
    </w:p>
    <w:p>
      <w:pPr>
        <w:spacing w:after="0" w:line="62" w:lineRule="exact"/>
        <w:rPr>
          <w:sz w:val="24"/>
          <w:szCs w:val="24"/>
          <w:color w:val="auto"/>
        </w:rPr>
      </w:pPr>
    </w:p>
    <w:p>
      <w:pPr>
        <w:jc w:val="both"/>
        <w:ind w:right="20"/>
        <w:spacing w:after="0" w:line="270" w:lineRule="auto"/>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x</w:t>
      </w:r>
    </w:p>
    <w:p>
      <w:pPr>
        <w:spacing w:after="0" w:line="62" w:lineRule="exact"/>
        <w:rPr>
          <w:sz w:val="24"/>
          <w:szCs w:val="24"/>
          <w:color w:val="auto"/>
        </w:rPr>
      </w:pPr>
    </w:p>
    <w:p>
      <w:pPr>
        <w:jc w:val="both"/>
        <w:ind w:right="20"/>
        <w:spacing w:after="0" w:line="270"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2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Large accelerated filer</w:t>
            </w:r>
          </w:p>
        </w:tc>
        <w:tc>
          <w:tcPr>
            <w:tcW w:w="2100" w:type="dxa"/>
            <w:vAlign w:val="bottom"/>
          </w:tcPr>
          <w:p>
            <w:pPr>
              <w:ind w:left="860"/>
              <w:spacing w:after="0"/>
              <w:rPr>
                <w:sz w:val="20"/>
                <w:szCs w:val="20"/>
                <w:color w:val="auto"/>
              </w:rPr>
            </w:pPr>
            <w:r>
              <w:rPr>
                <w:rFonts w:ascii="Wingdings" w:cs="Wingdings" w:eastAsia="Wingdings" w:hAnsi="Wingdings"/>
                <w:sz w:val="17"/>
                <w:szCs w:val="17"/>
                <w:b w:val="1"/>
                <w:bCs w:val="1"/>
                <w:color w:val="auto"/>
              </w:rPr>
              <w:t>o</w:t>
            </w:r>
          </w:p>
        </w:tc>
        <w:tc>
          <w:tcPr>
            <w:tcW w:w="3700" w:type="dxa"/>
            <w:vAlign w:val="bottom"/>
          </w:tcPr>
          <w:p>
            <w:pPr>
              <w:ind w:left="1140"/>
              <w:spacing w:after="0"/>
              <w:rPr>
                <w:sz w:val="20"/>
                <w:szCs w:val="20"/>
                <w:color w:val="auto"/>
              </w:rPr>
            </w:pPr>
            <w:r>
              <w:rPr>
                <w:rFonts w:ascii="Times New Roman" w:cs="Times New Roman" w:eastAsia="Times New Roman" w:hAnsi="Times New Roman"/>
                <w:sz w:val="17"/>
                <w:szCs w:val="17"/>
                <w:color w:val="auto"/>
              </w:rPr>
              <w:t>Accelerated filer</w:t>
            </w:r>
          </w:p>
        </w:tc>
        <w:tc>
          <w:tcPr>
            <w:tcW w:w="3020" w:type="dxa"/>
            <w:vAlign w:val="bottom"/>
          </w:tcPr>
          <w:p>
            <w:pPr>
              <w:ind w:left="660"/>
              <w:spacing w:after="0"/>
              <w:rPr>
                <w:sz w:val="20"/>
                <w:szCs w:val="20"/>
                <w:color w:val="auto"/>
              </w:rPr>
            </w:pPr>
            <w:r>
              <w:rPr>
                <w:rFonts w:ascii="Wingdings" w:cs="Wingdings" w:eastAsia="Wingdings" w:hAnsi="Wingdings"/>
                <w:sz w:val="17"/>
                <w:szCs w:val="17"/>
                <w:b w:val="1"/>
                <w:bCs w:val="1"/>
                <w:color w:val="auto"/>
              </w:rPr>
              <w:t>o</w:t>
            </w:r>
          </w:p>
        </w:tc>
      </w:tr>
      <w:tr>
        <w:trPr>
          <w:trHeight w:val="245"/>
        </w:trPr>
        <w:tc>
          <w:tcPr>
            <w:tcW w:w="2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Non-accelerated filer</w:t>
            </w:r>
          </w:p>
        </w:tc>
        <w:tc>
          <w:tcPr>
            <w:tcW w:w="2100" w:type="dxa"/>
            <w:vAlign w:val="bottom"/>
          </w:tcPr>
          <w:p>
            <w:pPr>
              <w:ind w:left="860"/>
              <w:spacing w:after="0"/>
              <w:rPr>
                <w:sz w:val="20"/>
                <w:szCs w:val="20"/>
                <w:color w:val="auto"/>
              </w:rPr>
            </w:pPr>
            <w:r>
              <w:rPr>
                <w:rFonts w:ascii="Wingdings" w:cs="Wingdings" w:eastAsia="Wingdings" w:hAnsi="Wingdings"/>
                <w:sz w:val="17"/>
                <w:szCs w:val="17"/>
                <w:b w:val="1"/>
                <w:bCs w:val="1"/>
                <w:color w:val="auto"/>
              </w:rPr>
              <w:t>x</w:t>
            </w:r>
          </w:p>
        </w:tc>
        <w:tc>
          <w:tcPr>
            <w:tcW w:w="3700" w:type="dxa"/>
            <w:vAlign w:val="bottom"/>
          </w:tcPr>
          <w:p>
            <w:pPr>
              <w:ind w:left="114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3020" w:type="dxa"/>
            <w:vAlign w:val="bottom"/>
          </w:tcPr>
          <w:p>
            <w:pPr>
              <w:ind w:left="660"/>
              <w:spacing w:after="0"/>
              <w:rPr>
                <w:sz w:val="20"/>
                <w:szCs w:val="20"/>
                <w:color w:val="auto"/>
              </w:rPr>
            </w:pPr>
            <w:r>
              <w:rPr>
                <w:rFonts w:ascii="Wingdings" w:cs="Wingdings" w:eastAsia="Wingdings" w:hAnsi="Wingdings"/>
                <w:sz w:val="17"/>
                <w:szCs w:val="17"/>
                <w:b w:val="1"/>
                <w:bCs w:val="1"/>
                <w:color w:val="auto"/>
              </w:rPr>
              <w:t>x</w:t>
            </w:r>
          </w:p>
        </w:tc>
      </w:tr>
      <w:tr>
        <w:trPr>
          <w:trHeight w:val="245"/>
        </w:trPr>
        <w:tc>
          <w:tcPr>
            <w:tcW w:w="24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3700" w:type="dxa"/>
            <w:vAlign w:val="bottom"/>
          </w:tcPr>
          <w:p>
            <w:pPr>
              <w:ind w:left="1140"/>
              <w:spacing w:after="0"/>
              <w:rPr>
                <w:sz w:val="20"/>
                <w:szCs w:val="20"/>
                <w:color w:val="auto"/>
              </w:rPr>
            </w:pPr>
            <w:r>
              <w:rPr>
                <w:rFonts w:ascii="Times New Roman" w:cs="Times New Roman" w:eastAsia="Times New Roman" w:hAnsi="Times New Roman"/>
                <w:sz w:val="17"/>
                <w:szCs w:val="17"/>
                <w:color w:val="auto"/>
              </w:rPr>
              <w:t>Emerging growth company</w:t>
            </w:r>
          </w:p>
        </w:tc>
        <w:tc>
          <w:tcPr>
            <w:tcW w:w="3020" w:type="dxa"/>
            <w:vAlign w:val="bottom"/>
          </w:tcPr>
          <w:p>
            <w:pPr>
              <w:ind w:left="660"/>
              <w:spacing w:after="0"/>
              <w:rPr>
                <w:sz w:val="20"/>
                <w:szCs w:val="20"/>
                <w:color w:val="auto"/>
              </w:rPr>
            </w:pPr>
            <w:r>
              <w:rPr>
                <w:rFonts w:ascii="Wingdings" w:cs="Wingdings" w:eastAsia="Wingdings" w:hAnsi="Wingdings"/>
                <w:sz w:val="17"/>
                <w:szCs w:val="17"/>
                <w:b w:val="1"/>
                <w:bCs w:val="1"/>
                <w:color w:val="auto"/>
              </w:rPr>
              <w:t>x</w:t>
            </w:r>
          </w:p>
        </w:tc>
      </w:tr>
      <w:tr>
        <w:trPr>
          <w:trHeight w:val="709"/>
        </w:trPr>
        <w:tc>
          <w:tcPr>
            <w:tcW w:w="24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00" w:type="dxa"/>
            <w:vAlign w:val="bottom"/>
          </w:tcPr>
          <w:p>
            <w:pPr>
              <w:jc w:val="right"/>
              <w:ind w:right="2474"/>
              <w:spacing w:after="0"/>
              <w:rPr>
                <w:sz w:val="20"/>
                <w:szCs w:val="20"/>
                <w:color w:val="auto"/>
              </w:rPr>
            </w:pPr>
            <w:r>
              <w:rPr>
                <w:rFonts w:ascii="Times New Roman" w:cs="Times New Roman" w:eastAsia="Times New Roman" w:hAnsi="Times New Roman"/>
                <w:sz w:val="17"/>
                <w:szCs w:val="17"/>
                <w:color w:val="auto"/>
              </w:rPr>
              <w:t>1</w:t>
            </w:r>
          </w:p>
        </w:tc>
        <w:tc>
          <w:tcPr>
            <w:tcW w:w="3020" w:type="dxa"/>
            <w:vAlign w:val="bottom"/>
          </w:tcPr>
          <w:p>
            <w:pPr>
              <w:spacing w:after="0"/>
              <w:rPr>
                <w:sz w:val="24"/>
                <w:szCs w:val="24"/>
                <w:color w:val="auto"/>
              </w:rPr>
            </w:pPr>
          </w:p>
        </w:tc>
      </w:tr>
      <w:tr>
        <w:trPr>
          <w:trHeight w:val="108"/>
        </w:trPr>
        <w:tc>
          <w:tcPr>
            <w:tcW w:w="2420" w:type="dxa"/>
            <w:vAlign w:val="bottom"/>
            <w:tcBorders>
              <w:bottom w:val="single" w:sz="8" w:color="9A9A9A"/>
            </w:tcBorders>
          </w:tcPr>
          <w:p>
            <w:pPr>
              <w:spacing w:after="0"/>
              <w:rPr>
                <w:sz w:val="9"/>
                <w:szCs w:val="9"/>
                <w:color w:val="auto"/>
              </w:rPr>
            </w:pPr>
          </w:p>
        </w:tc>
        <w:tc>
          <w:tcPr>
            <w:tcW w:w="2100" w:type="dxa"/>
            <w:vAlign w:val="bottom"/>
            <w:tcBorders>
              <w:bottom w:val="single" w:sz="8" w:color="9A9A9A"/>
            </w:tcBorders>
          </w:tcPr>
          <w:p>
            <w:pPr>
              <w:spacing w:after="0"/>
              <w:rPr>
                <w:sz w:val="9"/>
                <w:szCs w:val="9"/>
                <w:color w:val="auto"/>
              </w:rPr>
            </w:pPr>
          </w:p>
        </w:tc>
        <w:tc>
          <w:tcPr>
            <w:tcW w:w="3700" w:type="dxa"/>
            <w:vAlign w:val="bottom"/>
            <w:tcBorders>
              <w:bottom w:val="single" w:sz="8" w:color="9A9A9A"/>
            </w:tcBorders>
          </w:tcPr>
          <w:p>
            <w:pPr>
              <w:spacing w:after="0"/>
              <w:rPr>
                <w:sz w:val="9"/>
                <w:szCs w:val="9"/>
                <w:color w:val="auto"/>
              </w:rPr>
            </w:pPr>
          </w:p>
        </w:tc>
        <w:tc>
          <w:tcPr>
            <w:tcW w:w="3020" w:type="dxa"/>
            <w:vAlign w:val="bottom"/>
            <w:tcBorders>
              <w:bottom w:val="single" w:sz="8" w:color="9A9A9A"/>
            </w:tcBorders>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20" w:top="226"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 w:lineRule="exact"/>
        <w:rPr>
          <w:sz w:val="20"/>
          <w:szCs w:val="20"/>
          <w:color w:val="auto"/>
        </w:rPr>
      </w:pPr>
    </w:p>
    <w:p>
      <w:pPr>
        <w:spacing w:after="0"/>
        <w:rPr>
          <w:sz w:val="20"/>
          <w:szCs w:val="20"/>
          <w:color w:val="auto"/>
        </w:rPr>
      </w:pPr>
      <w:r>
        <w:rPr>
          <w:rFonts w:ascii="Wingdings" w:cs="Wingdings" w:eastAsia="Wingdings" w:hAnsi="Wingdings"/>
          <w:sz w:val="17"/>
          <w:szCs w:val="17"/>
          <w:b w:val="1"/>
          <w:bCs w:val="1"/>
          <w:color w:val="auto"/>
        </w:rPr>
        <w:t>o</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Act). Yes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x</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registrant had outstanding 25,540,419 shares of Class A common stock as of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7138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5"/>
        </w:trPr>
        <w:tc>
          <w:tcPr>
            <w:tcW w:w="10320" w:type="dxa"/>
            <w:vAlign w:val="bottom"/>
            <w:gridSpan w:val="2"/>
          </w:tcPr>
          <w:p>
            <w:pPr>
              <w:spacing w:after="0"/>
              <w:rPr>
                <w:sz w:val="20"/>
                <w:szCs w:val="20"/>
                <w:color w:val="auto"/>
              </w:rPr>
            </w:pPr>
            <w:r>
              <w:rPr>
                <w:rFonts w:ascii="Times New Roman" w:cs="Times New Roman" w:eastAsia="Times New Roman" w:hAnsi="Times New Roman"/>
                <w:sz w:val="17"/>
                <w:szCs w:val="17"/>
                <w:color w:val="3051F2"/>
              </w:rPr>
              <w:t>Tables of Contents</w:t>
            </w:r>
          </w:p>
        </w:tc>
        <w:tc>
          <w:tcPr>
            <w:tcW w:w="920" w:type="dxa"/>
            <w:vAlign w:val="bottom"/>
          </w:tcPr>
          <w:p>
            <w:pPr>
              <w:spacing w:after="0"/>
              <w:rPr>
                <w:sz w:val="17"/>
                <w:szCs w:val="17"/>
                <w:color w:val="auto"/>
              </w:rPr>
            </w:pPr>
          </w:p>
        </w:tc>
      </w:tr>
      <w:tr>
        <w:trPr>
          <w:trHeight w:val="638"/>
        </w:trPr>
        <w:tc>
          <w:tcPr>
            <w:tcW w:w="1280" w:type="dxa"/>
            <w:vAlign w:val="bottom"/>
            <w:tcBorders>
              <w:top w:val="single" w:sz="8" w:color="3051F2"/>
            </w:tcBorders>
          </w:tcPr>
          <w:p>
            <w:pPr>
              <w:spacing w:after="0"/>
              <w:rPr>
                <w:sz w:val="24"/>
                <w:szCs w:val="24"/>
                <w:color w:val="auto"/>
              </w:rPr>
            </w:pPr>
          </w:p>
        </w:tc>
        <w:tc>
          <w:tcPr>
            <w:tcW w:w="9040" w:type="dxa"/>
            <w:vAlign w:val="bottom"/>
          </w:tcPr>
          <w:p>
            <w:pPr>
              <w:ind w:left="342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920" w:type="dxa"/>
            <w:vAlign w:val="bottom"/>
          </w:tcPr>
          <w:p>
            <w:pPr>
              <w:spacing w:after="0"/>
              <w:rPr>
                <w:sz w:val="24"/>
                <w:szCs w:val="24"/>
                <w:color w:val="auto"/>
              </w:rPr>
            </w:pPr>
          </w:p>
        </w:tc>
      </w:tr>
      <w:tr>
        <w:trPr>
          <w:trHeight w:val="245"/>
        </w:trPr>
        <w:tc>
          <w:tcPr>
            <w:tcW w:w="1280" w:type="dxa"/>
            <w:vAlign w:val="bottom"/>
            <w:tcBorders>
              <w:bottom w:val="single" w:sz="8" w:color="CCEEFF"/>
            </w:tcBorders>
          </w:tcPr>
          <w:p>
            <w:pPr>
              <w:spacing w:after="0"/>
              <w:rPr>
                <w:sz w:val="21"/>
                <w:szCs w:val="21"/>
                <w:color w:val="auto"/>
              </w:rPr>
            </w:pPr>
          </w:p>
        </w:tc>
        <w:tc>
          <w:tcPr>
            <w:tcW w:w="904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7"/>
                <w:szCs w:val="17"/>
                <w:color w:val="auto"/>
              </w:rPr>
              <w:t>Page</w:t>
            </w:r>
          </w:p>
        </w:tc>
      </w:tr>
      <w:tr>
        <w:trPr>
          <w:trHeight w:val="212"/>
        </w:trPr>
        <w:tc>
          <w:tcPr>
            <w:tcW w:w="10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Part I - Financial Information</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w:t>
            </w:r>
          </w:p>
        </w:tc>
      </w:tr>
      <w:tr>
        <w:trPr>
          <w:trHeight w:val="219"/>
        </w:trPr>
        <w:tc>
          <w:tcPr>
            <w:tcW w:w="103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Item 1. Consolidated Interim Financial Statements</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w:t>
            </w:r>
          </w:p>
        </w:tc>
      </w:tr>
      <w:tr>
        <w:trPr>
          <w:trHeight w:val="219"/>
        </w:trPr>
        <w:tc>
          <w:tcPr>
            <w:tcW w:w="103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Condensed Consolidated Balance Sheets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w:t>
            </w:r>
          </w:p>
        </w:tc>
      </w:tr>
      <w:tr>
        <w:trPr>
          <w:trHeight w:val="219"/>
        </w:trPr>
        <w:tc>
          <w:tcPr>
            <w:tcW w:w="103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Condensed Consolidated Statements of Operations</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w:t>
            </w:r>
          </w:p>
        </w:tc>
      </w:tr>
      <w:tr>
        <w:trPr>
          <w:trHeight w:val="219"/>
        </w:trPr>
        <w:tc>
          <w:tcPr>
            <w:tcW w:w="103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Condensed Consolidated Statements of Stockholders’ Equity</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7</w:t>
            </w:r>
          </w:p>
        </w:tc>
      </w:tr>
      <w:tr>
        <w:trPr>
          <w:trHeight w:val="219"/>
        </w:trPr>
        <w:tc>
          <w:tcPr>
            <w:tcW w:w="103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Condensed Consolidated Statements of Cash Flows</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w:t>
            </w:r>
          </w:p>
        </w:tc>
      </w:tr>
      <w:tr>
        <w:trPr>
          <w:trHeight w:val="219"/>
        </w:trPr>
        <w:tc>
          <w:tcPr>
            <w:tcW w:w="103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Notes to the Consolidated Interim Financial Statements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9</w:t>
            </w:r>
          </w:p>
        </w:tc>
      </w:tr>
      <w:tr>
        <w:trPr>
          <w:trHeight w:val="219"/>
        </w:trPr>
        <w:tc>
          <w:tcPr>
            <w:tcW w:w="103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Item 2. Management's Discussion and Analysis of Financial Condition and Results of Operations</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36</w:t>
            </w:r>
          </w:p>
        </w:tc>
      </w:tr>
      <w:tr>
        <w:trPr>
          <w:trHeight w:val="219"/>
        </w:trPr>
        <w:tc>
          <w:tcPr>
            <w:tcW w:w="10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Item 3. Quantitative and Qualitative Disclosures About Market Risk</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44</w:t>
            </w:r>
          </w:p>
        </w:tc>
      </w:tr>
      <w:tr>
        <w:trPr>
          <w:trHeight w:val="219"/>
        </w:trPr>
        <w:tc>
          <w:tcPr>
            <w:tcW w:w="103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Item 4. Controls and Procedures</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45</w:t>
            </w:r>
          </w:p>
        </w:tc>
      </w:tr>
      <w:tr>
        <w:trPr>
          <w:trHeight w:val="219"/>
        </w:trPr>
        <w:tc>
          <w:tcPr>
            <w:tcW w:w="10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Part II - Other Information</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46</w:t>
            </w:r>
          </w:p>
        </w:tc>
      </w:tr>
      <w:tr>
        <w:trPr>
          <w:trHeight w:val="219"/>
        </w:trPr>
        <w:tc>
          <w:tcPr>
            <w:tcW w:w="103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Item 1. Legal Proceedings</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46</w:t>
            </w:r>
          </w:p>
        </w:tc>
      </w:tr>
      <w:tr>
        <w:trPr>
          <w:trHeight w:val="219"/>
        </w:trPr>
        <w:tc>
          <w:tcPr>
            <w:tcW w:w="10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Item 1A. Risk Factors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46</w:t>
            </w:r>
          </w:p>
        </w:tc>
      </w:tr>
      <w:tr>
        <w:trPr>
          <w:trHeight w:val="219"/>
        </w:trPr>
        <w:tc>
          <w:tcPr>
            <w:tcW w:w="103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Item 2. Unregistered Sales of Equity Securities and Use of Proceeds</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46</w:t>
            </w:r>
          </w:p>
        </w:tc>
      </w:tr>
      <w:tr>
        <w:trPr>
          <w:trHeight w:val="219"/>
        </w:trPr>
        <w:tc>
          <w:tcPr>
            <w:tcW w:w="10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Item 3. Defaults Upon Senior Securities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46</w:t>
            </w:r>
          </w:p>
        </w:tc>
      </w:tr>
      <w:tr>
        <w:trPr>
          <w:trHeight w:val="219"/>
        </w:trPr>
        <w:tc>
          <w:tcPr>
            <w:tcW w:w="103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Item 4. Mine Safety Disclosures</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46</w:t>
            </w:r>
          </w:p>
        </w:tc>
      </w:tr>
      <w:tr>
        <w:trPr>
          <w:trHeight w:val="219"/>
        </w:trPr>
        <w:tc>
          <w:tcPr>
            <w:tcW w:w="10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Item 5. Other Information</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46</w:t>
            </w:r>
          </w:p>
        </w:tc>
      </w:tr>
      <w:tr>
        <w:trPr>
          <w:trHeight w:val="219"/>
        </w:trPr>
        <w:tc>
          <w:tcPr>
            <w:tcW w:w="103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Item 6. Exhibits</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47</w:t>
            </w:r>
          </w:p>
        </w:tc>
      </w:tr>
      <w:tr>
        <w:trPr>
          <w:trHeight w:val="219"/>
        </w:trPr>
        <w:tc>
          <w:tcPr>
            <w:tcW w:w="10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Signatures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48</w:t>
            </w:r>
          </w:p>
        </w:tc>
      </w:tr>
    </w:tbl>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1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This Quarterly Report on Form 10-Q (this “Form 10-Q”), including, without limitation, statements under the headings "Management's Discussion and Analysis of Financial Condition and Results of Operations," includes forward-looking statements within the meaning of Section 27A of the Securities Act of 1933, as amended, (the "Securities Act") and Section 21E of the Securities Exchange Act of 1934, as amended, (the "Exchange Act"). Generally, statements that are not historical facts, including statements concerning Momentus Inc.’s (the “Company,” “Momentus,” “we,” “us,” or “our”) possible or assumed future actions, business strategies, events, or results of operations, are forward-looking statements. These forward-looking statements can be identified by the use of forward-looking terminology, including the words "believes," "estimates," "anticipates," "expects," "intends," "plans," "may," "will," "potential," "projects," "predicts," "continue," or "should," or, in each case, their negative or other variations or comparable terminology, but the absence of these words does not mean that a statement is not forward-looking. There can be no assurance that actual results will not materially differ from expectations.</w:t>
      </w:r>
    </w:p>
    <w:p>
      <w:pPr>
        <w:spacing w:after="0" w:line="1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forward-looking statements contained in this Form 10-Q are based on our current expectations and beliefs concerning future developments and their potential effects on us. Future developments affecting us may not be those that we have anticipated. These forward-looking statements involve a number of risks, uncertainties (some of which are beyond our control) and other assumptions that may cause actual results or performance to be materially different from those expressed or implied by these forward-looking statements. These risks and uncertainties include, without limitation, the ability of the Company to raise additional capital to finance its operations and business plan; the results of the Company’s evaluation of the strategic alternatives and the risks associated with any transactions pursued as a results thereof; the ability of the Company to obtain licenses and government approvals for its missions, which are essential to its operations; successful completion of our efforts to prepare our spacecraft for flight, that the vehicles that we plan to operate in future missions will be ready on time, or that they will operate as intended; the ability of the Company to effectively market and sell satellite buses; the ability of the Company to protect its intellectual property and trade secrets; the development of markets for satellite transport and in-orbit services; the ability of the Company to develop, test and validate its technology, including its water plasma propulsion technology; delays or impediments that the Company may face in the development, manufacture and deployment of next generation satellite transport systems; the ability of the Company to convert backlog or inbound inquiries into revenue; changes in applicable laws or regulations and extensive and evolving government regulations that impact operations and business, including export control license requirements; the ability to attract or maintain a qualified workforce with the required security clearances and requisite skills; level of product service or product or launch failures or delays that could lead customers to use competitors’ services; investigations, claims, disputes, enforcement actions, litigation and/or other regulatory or legal proceedings; the possibility that the Company may be adversely affected by other economic, business, and/or competitive factors; and/or other risks and uncertainties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200" w:lineRule="exact"/>
        <w:rPr>
          <w:sz w:val="20"/>
          <w:szCs w:val="20"/>
          <w:color w:val="auto"/>
        </w:rPr>
      </w:pPr>
    </w:p>
    <w:p>
      <w:pPr>
        <w:spacing w:after="0" w:line="3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described under Part II, Item 1A: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in this Form 10-Q and under Part I, Item 1A. in our Annual Report on Form 10-K filed with the U.S. Securities and Exchange Commission (“SEC”) on June 6, 2024.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 These risks and others described under Part II, Item 1A: "Risk Factors," in this Form 10-Q and under Part I, Item 1A in our Annual Report on Form 10-K filed with the SEC on June 6, 2024, may not be exhaustive.</w:t>
      </w:r>
    </w:p>
    <w:p>
      <w:pPr>
        <w:spacing w:after="0" w:line="9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By their nature, forward-looking statements involve risks and uncertainties because they relate to events and depend on circumstances that may or may not occur in the future. We caution you that forward-looking statements are not guarantees of future performance and that our actual results of operations, financial condition and liquidity, and developments in the industry in which we operate may differ materially from those made in or suggested by the forward-looking statements contained in this Form 10-Q. These statements are inherently uncertain and investors are cautioned not to unduly rely upon these statements. In addition, even if our results or operations, financial condition and liquidity, and developments in the industry in which we operate are consistent with the forward-looking statements contained in this Form 10-Q, those results or developments may not be indicative of results or developments in subsequent periods.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8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ITEM 1. Financial Statements</w:t>
            </w: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417"/>
        </w:trPr>
        <w:tc>
          <w:tcPr>
            <w:tcW w:w="7800" w:type="dxa"/>
            <w:vAlign w:val="bottom"/>
          </w:tcPr>
          <w:p>
            <w:pPr>
              <w:jc w:val="center"/>
              <w:ind w:left="3354"/>
              <w:spacing w:after="0"/>
              <w:rPr>
                <w:sz w:val="20"/>
                <w:szCs w:val="20"/>
                <w:color w:val="auto"/>
              </w:rPr>
            </w:pPr>
            <w:r>
              <w:rPr>
                <w:rFonts w:ascii="Times New Roman" w:cs="Times New Roman" w:eastAsia="Times New Roman" w:hAnsi="Times New Roman"/>
                <w:sz w:val="17"/>
                <w:szCs w:val="17"/>
                <w:b w:val="1"/>
                <w:bCs w:val="1"/>
                <w:color w:val="auto"/>
              </w:rPr>
              <w:t>MOMENTUS INC.</w:t>
            </w: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06"/>
        </w:trPr>
        <w:tc>
          <w:tcPr>
            <w:tcW w:w="7800" w:type="dxa"/>
            <w:vAlign w:val="bottom"/>
          </w:tcPr>
          <w:p>
            <w:pPr>
              <w:jc w:val="center"/>
              <w:ind w:left="3374"/>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tc>
        <w:tc>
          <w:tcPr>
            <w:tcW w:w="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193"/>
        </w:trPr>
        <w:tc>
          <w:tcPr>
            <w:tcW w:w="7800" w:type="dxa"/>
            <w:vAlign w:val="bottom"/>
          </w:tcPr>
          <w:p>
            <w:pPr>
              <w:jc w:val="center"/>
              <w:ind w:left="3354"/>
              <w:spacing w:after="0" w:line="194" w:lineRule="exact"/>
              <w:rPr>
                <w:sz w:val="20"/>
                <w:szCs w:val="20"/>
                <w:color w:val="auto"/>
              </w:rPr>
            </w:pPr>
            <w:r>
              <w:rPr>
                <w:rFonts w:ascii="Times New Roman" w:cs="Times New Roman" w:eastAsia="Times New Roman" w:hAnsi="Times New Roman"/>
                <w:sz w:val="17"/>
                <w:szCs w:val="17"/>
                <w:b w:val="1"/>
                <w:bCs w:val="1"/>
                <w:color w:val="auto"/>
              </w:rPr>
              <w:t>(UNAUDITED)</w:t>
            </w:r>
          </w:p>
        </w:tc>
        <w:tc>
          <w:tcPr>
            <w:tcW w:w="2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27"/>
        </w:trPr>
        <w:tc>
          <w:tcPr>
            <w:tcW w:w="7800" w:type="dxa"/>
            <w:vAlign w:val="bottom"/>
          </w:tcPr>
          <w:p>
            <w:pPr>
              <w:jc w:val="center"/>
              <w:ind w:left="3374"/>
              <w:spacing w:after="0"/>
              <w:rPr>
                <w:sz w:val="20"/>
                <w:szCs w:val="20"/>
                <w:color w:val="auto"/>
              </w:rPr>
            </w:pPr>
            <w:r>
              <w:rPr>
                <w:rFonts w:ascii="Times New Roman" w:cs="Times New Roman" w:eastAsia="Times New Roman" w:hAnsi="Times New Roman"/>
                <w:sz w:val="17"/>
                <w:szCs w:val="17"/>
                <w:i w:val="1"/>
                <w:iCs w:val="1"/>
                <w:color w:val="auto"/>
              </w:rPr>
              <w:t>(in thousands except number of shares and par value)</w:t>
            </w: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335"/>
        </w:trPr>
        <w:tc>
          <w:tcPr>
            <w:tcW w:w="7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220" w:type="dxa"/>
            <w:vAlign w:val="bottom"/>
          </w:tcPr>
          <w:p>
            <w:pPr>
              <w:spacing w:after="0"/>
              <w:rPr>
                <w:sz w:val="24"/>
                <w:szCs w:val="24"/>
                <w:color w:val="auto"/>
              </w:rPr>
            </w:pPr>
          </w:p>
        </w:tc>
        <w:tc>
          <w:tcPr>
            <w:tcW w:w="146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30"/>
        </w:trPr>
        <w:tc>
          <w:tcPr>
            <w:tcW w:w="78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5"/>
        </w:trPr>
        <w:tc>
          <w:tcPr>
            <w:tcW w:w="7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center"/>
              <w:ind w:right="194"/>
              <w:spacing w:after="0"/>
              <w:rPr>
                <w:sz w:val="20"/>
                <w:szCs w:val="20"/>
                <w:color w:val="auto"/>
              </w:rPr>
            </w:pPr>
            <w:r>
              <w:rPr>
                <w:rFonts w:ascii="Times New Roman" w:cs="Times New Roman" w:eastAsia="Times New Roman" w:hAnsi="Times New Roman"/>
                <w:sz w:val="17"/>
                <w:szCs w:val="17"/>
                <w:i w:val="1"/>
                <w:iCs w:val="1"/>
                <w:color w:val="auto"/>
              </w:rPr>
              <w:t>(unaudited)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19"/>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2,118</w:t>
            </w:r>
          </w:p>
        </w:tc>
      </w:tr>
      <w:tr>
        <w:trPr>
          <w:trHeight w:val="219"/>
        </w:trPr>
        <w:tc>
          <w:tcPr>
            <w:tcW w:w="78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Accounts receivable</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Insurance receivable</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78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Prepaids and other current assets</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7,224</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8,513</w:t>
            </w:r>
          </w:p>
        </w:tc>
      </w:tr>
      <w:tr>
        <w:trPr>
          <w:trHeight w:val="212"/>
        </w:trPr>
        <w:tc>
          <w:tcPr>
            <w:tcW w:w="78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 current assets</w:t>
            </w: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9,319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10,731</w:t>
            </w: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machinery and equipment, net</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3,252</w:t>
            </w: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assets, net</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w:t>
            </w: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right-of-use asset</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5,067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5,350</w:t>
            </w: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cash, non-current</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w:t>
            </w:r>
          </w:p>
        </w:tc>
      </w:tr>
      <w:tr>
        <w:trPr>
          <w:trHeight w:val="21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non-current assets</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584</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602</w:t>
            </w:r>
          </w:p>
        </w:tc>
      </w:tr>
      <w:tr>
        <w:trPr>
          <w:trHeight w:val="237"/>
        </w:trPr>
        <w:tc>
          <w:tcPr>
            <w:tcW w:w="78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 assets</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18,739</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20,649</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100"/>
        </w:trPr>
        <w:tc>
          <w:tcPr>
            <w:tcW w:w="7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60" w:type="dxa"/>
            <w:vAlign w:val="bottom"/>
          </w:tcPr>
          <w:p>
            <w:pPr>
              <w:spacing w:after="0"/>
              <w:rPr>
                <w:sz w:val="8"/>
                <w:szCs w:val="8"/>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19"/>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Accounts payable</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2,805</w:t>
            </w:r>
          </w:p>
        </w:tc>
      </w:tr>
      <w:tr>
        <w:trPr>
          <w:trHeight w:val="219"/>
        </w:trPr>
        <w:tc>
          <w:tcPr>
            <w:tcW w:w="78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Accrued liabilities</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4,458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4,754</w:t>
            </w:r>
          </w:p>
        </w:tc>
      </w:tr>
      <w:tr>
        <w:trPr>
          <w:trHeight w:val="219"/>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Loan payable, current</w:t>
            </w:r>
          </w:p>
        </w:tc>
        <w:tc>
          <w:tcPr>
            <w:tcW w:w="2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2,273</w:t>
            </w:r>
          </w:p>
        </w:tc>
      </w:tr>
      <w:tr>
        <w:trPr>
          <w:trHeight w:val="219"/>
        </w:trPr>
        <w:tc>
          <w:tcPr>
            <w:tcW w:w="78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Contract liabilities, current</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Operating lease liability, current</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1,268</w:t>
            </w:r>
          </w:p>
        </w:tc>
      </w:tr>
      <w:tr>
        <w:trPr>
          <w:trHeight w:val="219"/>
        </w:trPr>
        <w:tc>
          <w:tcPr>
            <w:tcW w:w="78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Litigation settlement contingency</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12"/>
        </w:trPr>
        <w:tc>
          <w:tcPr>
            <w:tcW w:w="780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9,614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11,109</w:t>
            </w: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Contract liabilities, non-current</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998</w:t>
            </w: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Warrant liability</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liability, non-current</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4,523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4,863</w:t>
            </w:r>
          </w:p>
        </w:tc>
      </w:tr>
      <w:tr>
        <w:trPr>
          <w:trHeight w:val="21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496</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489</w:t>
            </w:r>
          </w:p>
        </w:tc>
      </w:tr>
      <w:tr>
        <w:trPr>
          <w:trHeight w:val="212"/>
        </w:trPr>
        <w:tc>
          <w:tcPr>
            <w:tcW w:w="78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 non-current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5,640</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6,353</w:t>
            </w:r>
          </w:p>
        </w:tc>
      </w:tr>
      <w:tr>
        <w:trPr>
          <w:trHeight w:val="212"/>
        </w:trPr>
        <w:tc>
          <w:tcPr>
            <w:tcW w:w="780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Total liabilities</w:t>
            </w: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15,254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17,462</w:t>
            </w: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(Note 12)</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168"/>
        </w:trPr>
        <w:tc>
          <w:tcPr>
            <w:tcW w:w="780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Preferred stock, $0.00001 par value; 20,000,000 shares authorized and 0 issued and outstanding as of March 31,</w:t>
            </w:r>
          </w:p>
        </w:tc>
        <w:tc>
          <w:tcPr>
            <w:tcW w:w="2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r>
      <w:tr>
        <w:trPr>
          <w:trHeight w:val="23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 and December 31, 2023, respectively</w:t>
            </w:r>
          </w:p>
        </w:tc>
        <w:tc>
          <w:tcPr>
            <w:tcW w:w="28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68"/>
        </w:trPr>
        <w:tc>
          <w:tcPr>
            <w:tcW w:w="780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Class A common stock, $0.00001 par value; 250,000,000 shares authorized and 16,625,778 issued and</w:t>
            </w:r>
          </w:p>
        </w:tc>
        <w:tc>
          <w:tcPr>
            <w:tcW w:w="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7"/>
        </w:trPr>
        <w:tc>
          <w:tcPr>
            <w:tcW w:w="7800" w:type="dxa"/>
            <w:vAlign w:val="bottom"/>
          </w:tcPr>
          <w:p>
            <w:pPr>
              <w:ind w:left="20"/>
              <w:spacing w:after="0" w:line="177" w:lineRule="exact"/>
              <w:rPr>
                <w:sz w:val="20"/>
                <w:szCs w:val="20"/>
                <w:color w:val="auto"/>
              </w:rPr>
            </w:pPr>
            <w:r>
              <w:rPr>
                <w:rFonts w:ascii="Times New Roman" w:cs="Times New Roman" w:eastAsia="Times New Roman" w:hAnsi="Times New Roman"/>
                <w:sz w:val="17"/>
                <w:szCs w:val="17"/>
                <w:color w:val="auto"/>
              </w:rPr>
              <w:t>outstanding as of March 31, 2024; 250,000,000 shares authorized and 8,283,865 issued and outstanding as of</w:t>
            </w:r>
          </w:p>
        </w:tc>
        <w:tc>
          <w:tcPr>
            <w:tcW w:w="2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December 31, 2023</w:t>
            </w:r>
          </w:p>
        </w:tc>
        <w:tc>
          <w:tcPr>
            <w:tcW w:w="28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68"/>
        </w:trPr>
        <w:tc>
          <w:tcPr>
            <w:tcW w:w="780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Class B common stock, $0.00001 par value; 4,312,500 shares authorized and 0 issued and outstanding as of</w:t>
            </w:r>
          </w:p>
        </w:tc>
        <w:tc>
          <w:tcPr>
            <w:tcW w:w="2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r>
      <w:tr>
        <w:trPr>
          <w:trHeight w:val="23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March 31, 2024 and December 31, 2023, respectively</w:t>
            </w:r>
          </w:p>
        </w:tc>
        <w:tc>
          <w:tcPr>
            <w:tcW w:w="28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8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384,845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376,234</w:t>
            </w:r>
          </w:p>
        </w:tc>
      </w:tr>
      <w:tr>
        <w:trPr>
          <w:trHeight w:val="219"/>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Accumulated deficit</w:t>
            </w:r>
          </w:p>
        </w:tc>
        <w:tc>
          <w:tcPr>
            <w:tcW w:w="2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(381,360)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(373,047)</w:t>
            </w:r>
          </w:p>
        </w:tc>
      </w:tr>
      <w:tr>
        <w:trPr>
          <w:trHeight w:val="212"/>
        </w:trPr>
        <w:tc>
          <w:tcPr>
            <w:tcW w:w="78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3,485</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3,187</w:t>
            </w:r>
          </w:p>
        </w:tc>
      </w:tr>
      <w:tr>
        <w:trPr>
          <w:trHeight w:val="237"/>
        </w:trPr>
        <w:tc>
          <w:tcPr>
            <w:tcW w:w="78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18,739</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20,649</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interim financial statements</w:t>
      </w:r>
    </w:p>
    <w:p>
      <w:pPr>
        <w:sectPr>
          <w:pgSz w:w="11900" w:h="16838" w:orient="portrait"/>
          <w:cols w:equalWidth="0" w:num="1">
            <w:col w:w="11240"/>
          </w:cols>
          <w:pgMar w:left="320" w:top="123" w:right="3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195"/>
        </w:trPr>
        <w:tc>
          <w:tcPr>
            <w:tcW w:w="3920" w:type="dxa"/>
            <w:vAlign w:val="bottom"/>
            <w:gridSpan w:val="3"/>
          </w:tcPr>
          <w:p>
            <w:pPr>
              <w:spacing w:after="0"/>
              <w:rPr>
                <w:sz w:val="20"/>
                <w:szCs w:val="20"/>
                <w:color w:val="auto"/>
              </w:rPr>
            </w:pPr>
            <w:r>
              <w:rPr>
                <w:rFonts w:ascii="Times New Roman" w:cs="Times New Roman" w:eastAsia="Times New Roman" w:hAnsi="Times New Roman"/>
                <w:sz w:val="17"/>
                <w:szCs w:val="17"/>
                <w:color w:val="3051F2"/>
              </w:rPr>
              <w:t>Tables of Contents</w:t>
            </w:r>
          </w:p>
        </w:tc>
        <w:tc>
          <w:tcPr>
            <w:tcW w:w="3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823"/>
        </w:trPr>
        <w:tc>
          <w:tcPr>
            <w:tcW w:w="20" w:type="dxa"/>
            <w:vAlign w:val="bottom"/>
            <w:tcBorders>
              <w:top w:val="single" w:sz="8" w:color="3051F2"/>
            </w:tcBorders>
          </w:tcPr>
          <w:p>
            <w:pPr>
              <w:spacing w:after="0"/>
              <w:rPr>
                <w:sz w:val="24"/>
                <w:szCs w:val="24"/>
                <w:color w:val="auto"/>
              </w:rPr>
            </w:pPr>
          </w:p>
        </w:tc>
        <w:tc>
          <w:tcPr>
            <w:tcW w:w="1260" w:type="dxa"/>
            <w:vAlign w:val="bottom"/>
            <w:tcBorders>
              <w:top w:val="single" w:sz="8" w:color="3051F2"/>
            </w:tcBorders>
          </w:tcPr>
          <w:p>
            <w:pPr>
              <w:spacing w:after="0"/>
              <w:rPr>
                <w:sz w:val="24"/>
                <w:szCs w:val="24"/>
                <w:color w:val="auto"/>
              </w:rPr>
            </w:pPr>
          </w:p>
        </w:tc>
        <w:tc>
          <w:tcPr>
            <w:tcW w:w="2640" w:type="dxa"/>
            <w:vAlign w:val="bottom"/>
          </w:tcPr>
          <w:p>
            <w:pPr>
              <w:spacing w:after="0"/>
              <w:rPr>
                <w:sz w:val="24"/>
                <w:szCs w:val="24"/>
                <w:color w:val="auto"/>
              </w:rPr>
            </w:pPr>
          </w:p>
        </w:tc>
        <w:tc>
          <w:tcPr>
            <w:tcW w:w="4400" w:type="dxa"/>
            <w:vAlign w:val="bottom"/>
            <w:gridSpan w:val="2"/>
          </w:tcPr>
          <w:p>
            <w:pPr>
              <w:jc w:val="center"/>
              <w:ind w:right="914"/>
              <w:spacing w:after="0"/>
              <w:rPr>
                <w:sz w:val="20"/>
                <w:szCs w:val="20"/>
                <w:color w:val="auto"/>
              </w:rPr>
            </w:pPr>
            <w:r>
              <w:rPr>
                <w:rFonts w:ascii="Times New Roman" w:cs="Times New Roman" w:eastAsia="Times New Roman" w:hAnsi="Times New Roman"/>
                <w:sz w:val="17"/>
                <w:szCs w:val="17"/>
                <w:b w:val="1"/>
                <w:bCs w:val="1"/>
                <w:color w:val="auto"/>
              </w:rPr>
              <w:t>MOMENTUS INC.</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93"/>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040" w:type="dxa"/>
            <w:vAlign w:val="bottom"/>
            <w:gridSpan w:val="3"/>
          </w:tcPr>
          <w:p>
            <w:pPr>
              <w:jc w:val="center"/>
              <w:ind w:left="1574"/>
              <w:spacing w:after="0" w:line="194" w:lineRule="exact"/>
              <w:rPr>
                <w:sz w:val="20"/>
                <w:szCs w:val="20"/>
                <w:color w:val="auto"/>
              </w:rPr>
            </w:pPr>
            <w:r>
              <w:rPr>
                <w:rFonts w:ascii="Times New Roman" w:cs="Times New Roman" w:eastAsia="Times New Roman" w:hAnsi="Times New Roman"/>
                <w:sz w:val="17"/>
                <w:szCs w:val="17"/>
                <w:b w:val="1"/>
                <w:bCs w:val="1"/>
                <w:color w:val="auto"/>
              </w:rPr>
              <w:t>CONDENSED CONSOLIDATED STATEMENTS OF OPERATIONS</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0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4400" w:type="dxa"/>
            <w:vAlign w:val="bottom"/>
            <w:gridSpan w:val="2"/>
          </w:tcPr>
          <w:p>
            <w:pPr>
              <w:jc w:val="center"/>
              <w:ind w:right="914"/>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7"/>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4400" w:type="dxa"/>
            <w:vAlign w:val="bottom"/>
            <w:gridSpan w:val="2"/>
          </w:tcPr>
          <w:p>
            <w:pPr>
              <w:jc w:val="center"/>
              <w:ind w:right="914"/>
              <w:spacing w:after="0"/>
              <w:rPr>
                <w:sz w:val="20"/>
                <w:szCs w:val="20"/>
                <w:color w:val="auto"/>
              </w:rPr>
            </w:pPr>
            <w:r>
              <w:rPr>
                <w:rFonts w:ascii="Times New Roman" w:cs="Times New Roman" w:eastAsia="Times New Roman" w:hAnsi="Times New Roman"/>
                <w:sz w:val="17"/>
                <w:szCs w:val="17"/>
                <w:i w:val="1"/>
                <w:iCs w:val="1"/>
                <w:color w:val="auto"/>
              </w:rPr>
              <w:t>(in thousands, except share and per share data)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180"/>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920" w:type="dxa"/>
            <w:vAlign w:val="bottom"/>
            <w:gridSpan w:val="4"/>
          </w:tcPr>
          <w:p>
            <w:pPr>
              <w:jc w:val="right"/>
              <w:ind w:right="854"/>
              <w:spacing w:after="0" w:line="181" w:lineRule="exact"/>
              <w:rPr>
                <w:sz w:val="20"/>
                <w:szCs w:val="20"/>
                <w:color w:val="auto"/>
              </w:rPr>
            </w:pPr>
            <w:r>
              <w:rPr>
                <w:rFonts w:ascii="Times New Roman" w:cs="Times New Roman" w:eastAsia="Times New Roman" w:hAnsi="Times New Roman"/>
                <w:sz w:val="17"/>
                <w:szCs w:val="17"/>
                <w:b w:val="1"/>
                <w:bCs w:val="1"/>
                <w:color w:val="auto"/>
              </w:rPr>
              <w:t>Three Months Ended</w:t>
            </w:r>
          </w:p>
        </w:tc>
      </w:tr>
      <w:tr>
        <w:trPr>
          <w:trHeight w:val="230"/>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180" w:type="dxa"/>
            <w:vAlign w:val="bottom"/>
            <w:tcBorders>
              <w:bottom w:val="single" w:sz="8" w:color="auto"/>
            </w:tcBorders>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2640" w:type="dxa"/>
            <w:vAlign w:val="bottom"/>
            <w:tcBorders>
              <w:bottom w:val="single" w:sz="8" w:color="CCEEFF"/>
            </w:tcBorders>
          </w:tcPr>
          <w:p>
            <w:pPr>
              <w:spacing w:after="0"/>
              <w:rPr>
                <w:sz w:val="18"/>
                <w:szCs w:val="18"/>
                <w:color w:val="auto"/>
              </w:rPr>
            </w:pPr>
          </w:p>
        </w:tc>
        <w:tc>
          <w:tcPr>
            <w:tcW w:w="386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2"/>
        </w:trPr>
        <w:tc>
          <w:tcPr>
            <w:tcW w:w="20" w:type="dxa"/>
            <w:vAlign w:val="bottom"/>
          </w:tcPr>
          <w:p>
            <w:pPr>
              <w:spacing w:after="0"/>
              <w:rPr>
                <w:sz w:val="18"/>
                <w:szCs w:val="18"/>
                <w:color w:val="auto"/>
              </w:rPr>
            </w:pPr>
          </w:p>
        </w:tc>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 revenue</w:t>
            </w:r>
          </w:p>
        </w:tc>
        <w:tc>
          <w:tcPr>
            <w:tcW w:w="38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12"/>
        </w:trPr>
        <w:tc>
          <w:tcPr>
            <w:tcW w:w="20" w:type="dxa"/>
            <w:vAlign w:val="bottom"/>
          </w:tcPr>
          <w:p>
            <w:pPr>
              <w:spacing w:after="0"/>
              <w:rPr>
                <w:sz w:val="18"/>
                <w:szCs w:val="18"/>
                <w:color w:val="auto"/>
              </w:rPr>
            </w:pPr>
          </w:p>
        </w:tc>
        <w:tc>
          <w:tcPr>
            <w:tcW w:w="39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Gross profit</w:t>
            </w:r>
          </w:p>
        </w:tc>
        <w:tc>
          <w:tcPr>
            <w:tcW w:w="3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19"/>
        </w:trPr>
        <w:tc>
          <w:tcPr>
            <w:tcW w:w="20" w:type="dxa"/>
            <w:vAlign w:val="bottom"/>
          </w:tcPr>
          <w:p>
            <w:pPr>
              <w:spacing w:after="0"/>
              <w:rPr>
                <w:sz w:val="19"/>
                <w:szCs w:val="19"/>
                <w:color w:val="auto"/>
              </w:rPr>
            </w:pPr>
          </w:p>
        </w:tc>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8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39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3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10,119</w:t>
            </w:r>
          </w:p>
        </w:tc>
      </w:tr>
      <w:tr>
        <w:trPr>
          <w:trHeight w:val="219"/>
        </w:trPr>
        <w:tc>
          <w:tcPr>
            <w:tcW w:w="20" w:type="dxa"/>
            <w:vAlign w:val="bottom"/>
          </w:tcPr>
          <w:p>
            <w:pPr>
              <w:spacing w:after="0"/>
              <w:rPr>
                <w:sz w:val="19"/>
                <w:szCs w:val="19"/>
                <w:color w:val="auto"/>
              </w:rPr>
            </w:pPr>
          </w:p>
        </w:tc>
        <w:tc>
          <w:tcPr>
            <w:tcW w:w="3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86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6,164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10,270</w:t>
            </w:r>
          </w:p>
        </w:tc>
      </w:tr>
      <w:tr>
        <w:trPr>
          <w:trHeight w:val="212"/>
        </w:trPr>
        <w:tc>
          <w:tcPr>
            <w:tcW w:w="20" w:type="dxa"/>
            <w:vAlign w:val="bottom"/>
          </w:tcPr>
          <w:p>
            <w:pPr>
              <w:spacing w:after="0"/>
              <w:rPr>
                <w:sz w:val="18"/>
                <w:szCs w:val="18"/>
                <w:color w:val="auto"/>
              </w:rPr>
            </w:pPr>
          </w:p>
        </w:tc>
        <w:tc>
          <w:tcPr>
            <w:tcW w:w="3900" w:type="dxa"/>
            <w:vAlign w:val="bottom"/>
            <w:tcBorders>
              <w:bottom w:val="single" w:sz="8" w:color="CCEEFF"/>
            </w:tcBorders>
            <w:gridSpan w:val="2"/>
          </w:tcPr>
          <w:p>
            <w:pPr>
              <w:ind w:left="48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86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8,840</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20,389</w:t>
            </w:r>
          </w:p>
        </w:tc>
      </w:tr>
      <w:tr>
        <w:trPr>
          <w:trHeight w:val="212"/>
        </w:trPr>
        <w:tc>
          <w:tcPr>
            <w:tcW w:w="20" w:type="dxa"/>
            <w:vAlign w:val="bottom"/>
          </w:tcPr>
          <w:p>
            <w:pPr>
              <w:spacing w:after="0"/>
              <w:rPr>
                <w:sz w:val="18"/>
                <w:szCs w:val="18"/>
                <w:color w:val="auto"/>
              </w:rPr>
            </w:pPr>
          </w:p>
        </w:tc>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from operations</w:t>
            </w:r>
          </w:p>
        </w:tc>
        <w:tc>
          <w:tcPr>
            <w:tcW w:w="3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(8,327)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(20,367)</w:t>
            </w:r>
          </w:p>
        </w:tc>
      </w:tr>
      <w:tr>
        <w:trPr>
          <w:trHeight w:val="219"/>
        </w:trPr>
        <w:tc>
          <w:tcPr>
            <w:tcW w:w="20" w:type="dxa"/>
            <w:vAlign w:val="bottom"/>
          </w:tcPr>
          <w:p>
            <w:pPr>
              <w:spacing w:after="0"/>
              <w:rPr>
                <w:sz w:val="19"/>
                <w:szCs w:val="19"/>
                <w:color w:val="auto"/>
              </w:rPr>
            </w:pPr>
          </w:p>
        </w:tc>
        <w:tc>
          <w:tcPr>
            <w:tcW w:w="3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3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3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Change in fair value of warrant liability</w:t>
            </w:r>
          </w:p>
        </w:tc>
        <w:tc>
          <w:tcPr>
            <w:tcW w:w="38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w:t>
            </w:r>
          </w:p>
        </w:tc>
      </w:tr>
      <w:tr>
        <w:trPr>
          <w:trHeight w:val="219"/>
        </w:trPr>
        <w:tc>
          <w:tcPr>
            <w:tcW w:w="20" w:type="dxa"/>
            <w:vAlign w:val="bottom"/>
          </w:tcPr>
          <w:p>
            <w:pPr>
              <w:spacing w:after="0"/>
              <w:rPr>
                <w:sz w:val="19"/>
                <w:szCs w:val="19"/>
                <w:color w:val="auto"/>
              </w:rPr>
            </w:pPr>
          </w:p>
        </w:tc>
        <w:tc>
          <w:tcPr>
            <w:tcW w:w="39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Interest income</w:t>
            </w:r>
          </w:p>
        </w:tc>
        <w:tc>
          <w:tcPr>
            <w:tcW w:w="3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555</w:t>
            </w:r>
          </w:p>
        </w:tc>
      </w:tr>
      <w:tr>
        <w:trPr>
          <w:trHeight w:val="219"/>
        </w:trPr>
        <w:tc>
          <w:tcPr>
            <w:tcW w:w="20" w:type="dxa"/>
            <w:vAlign w:val="bottom"/>
          </w:tcPr>
          <w:p>
            <w:pPr>
              <w:spacing w:after="0"/>
              <w:rPr>
                <w:sz w:val="19"/>
                <w:szCs w:val="19"/>
                <w:color w:val="auto"/>
              </w:rPr>
            </w:pPr>
          </w:p>
        </w:tc>
        <w:tc>
          <w:tcPr>
            <w:tcW w:w="3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Interest expense</w:t>
            </w:r>
          </w:p>
        </w:tc>
        <w:tc>
          <w:tcPr>
            <w:tcW w:w="38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(920)</w:t>
            </w:r>
          </w:p>
        </w:tc>
      </w:tr>
      <w:tr>
        <w:trPr>
          <w:trHeight w:val="219"/>
        </w:trPr>
        <w:tc>
          <w:tcPr>
            <w:tcW w:w="20" w:type="dxa"/>
            <w:vAlign w:val="bottom"/>
          </w:tcPr>
          <w:p>
            <w:pPr>
              <w:spacing w:after="0"/>
              <w:rPr>
                <w:sz w:val="19"/>
                <w:szCs w:val="19"/>
                <w:color w:val="auto"/>
              </w:rPr>
            </w:pPr>
          </w:p>
        </w:tc>
        <w:tc>
          <w:tcPr>
            <w:tcW w:w="390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7"/>
                <w:szCs w:val="17"/>
                <w:color w:val="auto"/>
              </w:rPr>
              <w:t>Other income</w:t>
            </w:r>
          </w:p>
        </w:tc>
        <w:tc>
          <w:tcPr>
            <w:tcW w:w="386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12"/>
        </w:trPr>
        <w:tc>
          <w:tcPr>
            <w:tcW w:w="20" w:type="dxa"/>
            <w:vAlign w:val="bottom"/>
          </w:tcPr>
          <w:p>
            <w:pPr>
              <w:spacing w:after="0"/>
              <w:rPr>
                <w:sz w:val="18"/>
                <w:szCs w:val="18"/>
                <w:color w:val="auto"/>
              </w:rPr>
            </w:pPr>
          </w:p>
        </w:tc>
        <w:tc>
          <w:tcPr>
            <w:tcW w:w="39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 other income (expense), net</w:t>
            </w:r>
          </w:p>
        </w:tc>
        <w:tc>
          <w:tcPr>
            <w:tcW w:w="38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w:t>
            </w:r>
          </w:p>
        </w:tc>
      </w:tr>
      <w:tr>
        <w:trPr>
          <w:trHeight w:val="212"/>
        </w:trPr>
        <w:tc>
          <w:tcPr>
            <w:tcW w:w="20" w:type="dxa"/>
            <w:vAlign w:val="bottom"/>
          </w:tcPr>
          <w:p>
            <w:pPr>
              <w:spacing w:after="0"/>
              <w:rPr>
                <w:sz w:val="18"/>
                <w:szCs w:val="18"/>
                <w:color w:val="auto"/>
              </w:rPr>
            </w:pPr>
          </w:p>
        </w:tc>
        <w:tc>
          <w:tcPr>
            <w:tcW w:w="3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3860" w:type="dxa"/>
            <w:vAlign w:val="bottom"/>
          </w:tcPr>
          <w:p>
            <w:pPr>
              <w:spacing w:after="0"/>
              <w:rPr>
                <w:sz w:val="18"/>
                <w:szCs w:val="18"/>
                <w:color w:val="auto"/>
              </w:rPr>
            </w:pPr>
          </w:p>
        </w:tc>
        <w:tc>
          <w:tcPr>
            <w:tcW w:w="5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(8,313)</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(20,825)</w:t>
            </w:r>
          </w:p>
        </w:tc>
      </w:tr>
      <w:tr>
        <w:trPr>
          <w:trHeight w:val="20"/>
        </w:trPr>
        <w:tc>
          <w:tcPr>
            <w:tcW w:w="20" w:type="dxa"/>
            <w:vAlign w:val="bottom"/>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per share, basic and diluted</w:t>
            </w:r>
          </w:p>
        </w:tc>
        <w:tc>
          <w:tcPr>
            <w:tcW w:w="38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(11.90)</w:t>
            </w:r>
          </w:p>
        </w:tc>
      </w:tr>
      <w:tr>
        <w:trPr>
          <w:trHeight w:val="223"/>
        </w:trPr>
        <w:tc>
          <w:tcPr>
            <w:tcW w:w="20" w:type="dxa"/>
            <w:vAlign w:val="bottom"/>
          </w:tcPr>
          <w:p>
            <w:pPr>
              <w:spacing w:after="0"/>
              <w:rPr>
                <w:sz w:val="19"/>
                <w:szCs w:val="19"/>
                <w:color w:val="auto"/>
              </w:rPr>
            </w:pPr>
          </w:p>
        </w:tc>
        <w:tc>
          <w:tcPr>
            <w:tcW w:w="3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Weighted average shares outstanding, basic and diluted</w:t>
            </w:r>
          </w:p>
        </w:tc>
        <w:tc>
          <w:tcPr>
            <w:tcW w:w="3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12,586,953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1,750,465</w:t>
            </w:r>
          </w:p>
        </w:tc>
      </w:tr>
    </w:tbl>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1" w:lineRule="exact"/>
        <w:rPr>
          <w:sz w:val="20"/>
          <w:szCs w:val="20"/>
          <w:color w:val="auto"/>
        </w:rPr>
      </w:pPr>
    </w:p>
    <w:p>
      <w:pPr>
        <w:jc w:val="right"/>
        <w:ind w:right="204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STOCKHOLDERS’ EQUITY</w:t>
      </w: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i w:val="1"/>
          <w:iCs w:val="1"/>
          <w:color w:val="auto"/>
        </w:rPr>
        <w:t>(in thousands, except share data)</w:t>
      </w:r>
    </w:p>
    <w:p>
      <w:pPr>
        <w:sectPr>
          <w:pgSz w:w="11900" w:h="16838" w:orient="portrait"/>
          <w:cols w:equalWidth="0" w:num="1">
            <w:col w:w="10780"/>
          </w:cols>
          <w:pgMar w:left="320" w:top="123" w:right="7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Balance, December 31, 2023</w:t>
      </w:r>
    </w:p>
    <w:p>
      <w:pPr>
        <w:spacing w:after="0" w:line="2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Issuance of common stock upon vesting of RSUs</w:t>
      </w:r>
    </w:p>
    <w:p>
      <w:pPr>
        <w:spacing w:after="0" w:line="24" w:lineRule="exact"/>
        <w:rPr>
          <w:sz w:val="20"/>
          <w:szCs w:val="20"/>
          <w:color w:val="auto"/>
        </w:rPr>
      </w:pPr>
    </w:p>
    <w:p>
      <w:pPr>
        <w:ind w:left="700" w:right="80"/>
        <w:spacing w:after="0" w:line="237" w:lineRule="auto"/>
        <w:rPr>
          <w:sz w:val="20"/>
          <w:szCs w:val="20"/>
          <w:color w:val="auto"/>
        </w:rPr>
      </w:pPr>
      <w:r>
        <w:rPr>
          <w:rFonts w:ascii="Times New Roman" w:cs="Times New Roman" w:eastAsia="Times New Roman" w:hAnsi="Times New Roman"/>
          <w:sz w:val="17"/>
          <w:szCs w:val="17"/>
          <w:color w:val="auto"/>
        </w:rPr>
        <w:t>Share repurchase related to Section 16 Officer tax coverage exchange</w:t>
      </w:r>
    </w:p>
    <w:p>
      <w:pPr>
        <w:spacing w:after="0" w:line="1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Stock-based compensation - stock options, RSAs, RSUs</w:t>
      </w:r>
    </w:p>
    <w:p>
      <w:pPr>
        <w:spacing w:after="0" w:line="28" w:lineRule="exact"/>
        <w:rPr>
          <w:sz w:val="20"/>
          <w:szCs w:val="20"/>
          <w:color w:val="auto"/>
        </w:rPr>
      </w:pPr>
    </w:p>
    <w:p>
      <w:pPr>
        <w:ind w:left="700"/>
        <w:spacing w:after="0" w:line="237" w:lineRule="auto"/>
        <w:rPr>
          <w:sz w:val="20"/>
          <w:szCs w:val="20"/>
          <w:color w:val="auto"/>
        </w:rPr>
      </w:pPr>
      <w:r>
        <w:rPr>
          <w:rFonts w:ascii="Times New Roman" w:cs="Times New Roman" w:eastAsia="Times New Roman" w:hAnsi="Times New Roman"/>
          <w:sz w:val="17"/>
          <w:szCs w:val="17"/>
          <w:color w:val="auto"/>
        </w:rPr>
        <w:t>Issuance of common stock and related warrants in registered offering, net of issuance costs</w:t>
      </w:r>
    </w:p>
    <w:p>
      <w:pPr>
        <w:spacing w:after="0" w:line="10" w:lineRule="exact"/>
        <w:rPr>
          <w:sz w:val="20"/>
          <w:szCs w:val="20"/>
          <w:color w:val="auto"/>
        </w:rPr>
      </w:pPr>
    </w:p>
    <w:p>
      <w:pPr>
        <w:ind w:left="700" w:right="360"/>
        <w:spacing w:after="0" w:line="239" w:lineRule="auto"/>
        <w:rPr>
          <w:sz w:val="20"/>
          <w:szCs w:val="20"/>
          <w:color w:val="auto"/>
        </w:rPr>
      </w:pPr>
      <w:r>
        <w:rPr>
          <w:rFonts w:ascii="Times New Roman" w:cs="Times New Roman" w:eastAsia="Times New Roman" w:hAnsi="Times New Roman"/>
          <w:sz w:val="17"/>
          <w:szCs w:val="17"/>
          <w:color w:val="auto"/>
        </w:rPr>
        <w:t>Issuance of common stock upon exercise of pre-funded warrants</w:t>
      </w:r>
    </w:p>
    <w:p>
      <w:pPr>
        <w:spacing w:after="0" w:line="1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Net loss</w:t>
      </w:r>
    </w:p>
    <w:p>
      <w:pPr>
        <w:spacing w:after="0" w:line="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Balance, March 31, 2024</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020" w:type="dxa"/>
            <w:vAlign w:val="bottom"/>
            <w:gridSpan w:val="3"/>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Common stock –</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Additional</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vMerge w:val="restart"/>
          </w:tcPr>
          <w:p>
            <w:pPr>
              <w:jc w:val="center"/>
              <w:ind w:right="134"/>
              <w:spacing w:after="0"/>
              <w:rPr>
                <w:sz w:val="20"/>
                <w:szCs w:val="20"/>
                <w:color w:val="auto"/>
              </w:rPr>
            </w:pPr>
            <w:r>
              <w:rPr>
                <w:rFonts w:ascii="Times New Roman" w:cs="Times New Roman" w:eastAsia="Times New Roman" w:hAnsi="Times New Roman"/>
                <w:sz w:val="17"/>
                <w:szCs w:val="17"/>
                <w:b w:val="1"/>
                <w:bCs w:val="1"/>
                <w:color w:val="auto"/>
                <w:w w:val="97"/>
              </w:rPr>
              <w:t>Total</w:t>
            </w:r>
          </w:p>
        </w:tc>
        <w:tc>
          <w:tcPr>
            <w:tcW w:w="0" w:type="dxa"/>
            <w:vAlign w:val="bottom"/>
          </w:tcPr>
          <w:p>
            <w:pPr>
              <w:spacing w:after="0"/>
              <w:rPr>
                <w:sz w:val="1"/>
                <w:szCs w:val="1"/>
                <w:color w:val="auto"/>
              </w:rPr>
            </w:pPr>
          </w:p>
        </w:tc>
      </w:tr>
      <w:tr>
        <w:trPr>
          <w:trHeight w:val="64"/>
        </w:trPr>
        <w:tc>
          <w:tcPr>
            <w:tcW w:w="2020" w:type="dxa"/>
            <w:vAlign w:val="bottom"/>
            <w:gridSpan w:val="3"/>
            <w:vMerge w:val="restart"/>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Class A</w:t>
            </w: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1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22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2020" w:type="dxa"/>
            <w:vAlign w:val="bottom"/>
            <w:tcBorders>
              <w:bottom w:val="single" w:sz="8" w:color="auto"/>
            </w:tcBorders>
            <w:gridSpan w:val="3"/>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20"/>
              <w:spacing w:after="0" w:line="148" w:lineRule="exact"/>
              <w:rPr>
                <w:sz w:val="20"/>
                <w:szCs w:val="20"/>
                <w:color w:val="auto"/>
              </w:rPr>
            </w:pPr>
            <w:r>
              <w:rPr>
                <w:rFonts w:ascii="Times New Roman" w:cs="Times New Roman" w:eastAsia="Times New Roman" w:hAnsi="Times New Roman"/>
                <w:sz w:val="17"/>
                <w:szCs w:val="17"/>
                <w:b w:val="1"/>
                <w:bCs w:val="1"/>
                <w:color w:val="auto"/>
                <w:w w:val="99"/>
              </w:rPr>
              <w:t>paid-in</w:t>
            </w:r>
          </w:p>
        </w:tc>
        <w:tc>
          <w:tcPr>
            <w:tcW w:w="1160" w:type="dxa"/>
            <w:vAlign w:val="bottom"/>
            <w:gridSpan w:val="3"/>
            <w:vMerge w:val="continue"/>
          </w:tcPr>
          <w:p>
            <w:pPr>
              <w:spacing w:after="0"/>
              <w:rPr>
                <w:sz w:val="14"/>
                <w:szCs w:val="14"/>
                <w:color w:val="auto"/>
              </w:rPr>
            </w:pPr>
          </w:p>
        </w:tc>
        <w:tc>
          <w:tcPr>
            <w:tcW w:w="1100" w:type="dxa"/>
            <w:vAlign w:val="bottom"/>
            <w:gridSpan w:val="2"/>
          </w:tcPr>
          <w:p>
            <w:pPr>
              <w:jc w:val="center"/>
              <w:spacing w:after="0" w:line="148" w:lineRule="exact"/>
              <w:rPr>
                <w:sz w:val="20"/>
                <w:szCs w:val="20"/>
                <w:color w:val="auto"/>
              </w:rPr>
            </w:pPr>
            <w:r>
              <w:rPr>
                <w:rFonts w:ascii="Times New Roman" w:cs="Times New Roman" w:eastAsia="Times New Roman" w:hAnsi="Times New Roman"/>
                <w:sz w:val="17"/>
                <w:szCs w:val="17"/>
                <w:b w:val="1"/>
                <w:bCs w:val="1"/>
                <w:color w:val="auto"/>
              </w:rPr>
              <w:t>stockholders’</w:t>
            </w:r>
          </w:p>
        </w:tc>
        <w:tc>
          <w:tcPr>
            <w:tcW w:w="0" w:type="dxa"/>
            <w:vAlign w:val="bottom"/>
          </w:tcPr>
          <w:p>
            <w:pPr>
              <w:spacing w:after="0"/>
              <w:rPr>
                <w:sz w:val="1"/>
                <w:szCs w:val="1"/>
                <w:color w:val="auto"/>
              </w:rPr>
            </w:pPr>
          </w:p>
        </w:tc>
      </w:tr>
      <w:tr>
        <w:trPr>
          <w:trHeight w:val="212"/>
        </w:trPr>
        <w:tc>
          <w:tcPr>
            <w:tcW w:w="1180" w:type="dxa"/>
            <w:vAlign w:val="bottom"/>
            <w:gridSpan w:val="2"/>
          </w:tcPr>
          <w:p>
            <w:pPr>
              <w:ind w:left="30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200" w:type="dxa"/>
            <w:vAlign w:val="bottom"/>
          </w:tcPr>
          <w:p>
            <w:pPr>
              <w:spacing w:after="0"/>
              <w:rPr>
                <w:sz w:val="18"/>
                <w:szCs w:val="18"/>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deficit</w:t>
            </w:r>
          </w:p>
        </w:tc>
        <w:tc>
          <w:tcPr>
            <w:tcW w:w="220" w:type="dxa"/>
            <w:vAlign w:val="bottom"/>
          </w:tcPr>
          <w:p>
            <w:pPr>
              <w:spacing w:after="0"/>
              <w:rPr>
                <w:sz w:val="18"/>
                <w:szCs w:val="18"/>
                <w:color w:val="auto"/>
              </w:rPr>
            </w:pPr>
          </w:p>
        </w:tc>
        <w:tc>
          <w:tcPr>
            <w:tcW w:w="880" w:type="dxa"/>
            <w:vAlign w:val="bottom"/>
          </w:tcPr>
          <w:p>
            <w:pPr>
              <w:jc w:val="center"/>
              <w:ind w:right="134"/>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0" w:type="dxa"/>
            <w:vAlign w:val="bottom"/>
          </w:tcPr>
          <w:p>
            <w:pPr>
              <w:spacing w:after="0"/>
              <w:rPr>
                <w:sz w:val="1"/>
                <w:szCs w:val="1"/>
                <w:color w:val="auto"/>
              </w:rPr>
            </w:pPr>
          </w:p>
        </w:tc>
      </w:tr>
      <w:tr>
        <w:trPr>
          <w:trHeight w:val="209"/>
        </w:trPr>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8,283,865</w:t>
            </w:r>
          </w:p>
        </w:tc>
        <w:tc>
          <w:tcPr>
            <w:tcW w:w="80" w:type="dxa"/>
            <w:vAlign w:val="bottom"/>
          </w:tcPr>
          <w:p>
            <w:pPr>
              <w:spacing w:after="0"/>
              <w:rPr>
                <w:sz w:val="18"/>
                <w:szCs w:val="18"/>
                <w:color w:val="auto"/>
              </w:rPr>
            </w:pPr>
          </w:p>
        </w:tc>
        <w:tc>
          <w:tcPr>
            <w:tcW w:w="840" w:type="dxa"/>
            <w:vAlign w:val="bottom"/>
            <w:tcBorders>
              <w:top w:val="single" w:sz="8" w:color="auto"/>
            </w:tcBorders>
          </w:tcPr>
          <w:p>
            <w:pPr>
              <w:jc w:val="right"/>
              <w:ind w:right="654"/>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376,234</w:t>
            </w:r>
          </w:p>
        </w:tc>
        <w:tc>
          <w:tcPr>
            <w:tcW w:w="80" w:type="dxa"/>
            <w:vAlign w:val="bottom"/>
          </w:tcPr>
          <w:p>
            <w:pPr>
              <w:spacing w:after="0"/>
              <w:rPr>
                <w:sz w:val="18"/>
                <w:szCs w:val="18"/>
                <w:color w:val="auto"/>
              </w:rPr>
            </w:pPr>
          </w:p>
        </w:tc>
        <w:tc>
          <w:tcPr>
            <w:tcW w:w="2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(373,047)</w:t>
            </w:r>
          </w:p>
        </w:tc>
        <w:tc>
          <w:tcPr>
            <w:tcW w:w="80" w:type="dxa"/>
            <w:vAlign w:val="bottom"/>
          </w:tcPr>
          <w:p>
            <w:pPr>
              <w:spacing w:after="0"/>
              <w:rPr>
                <w:sz w:val="18"/>
                <w:szCs w:val="18"/>
                <w:color w:val="auto"/>
              </w:rPr>
            </w:pPr>
          </w:p>
        </w:tc>
        <w:tc>
          <w:tcPr>
            <w:tcW w:w="2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3,187</w:t>
            </w:r>
          </w:p>
        </w:tc>
        <w:tc>
          <w:tcPr>
            <w:tcW w:w="0" w:type="dxa"/>
            <w:vAlign w:val="bottom"/>
          </w:tcPr>
          <w:p>
            <w:pPr>
              <w:spacing w:after="0"/>
              <w:rPr>
                <w:sz w:val="1"/>
                <w:szCs w:val="1"/>
                <w:color w:val="auto"/>
              </w:rPr>
            </w:pPr>
          </w:p>
        </w:tc>
      </w:tr>
      <w:tr>
        <w:trPr>
          <w:trHeight w:val="223"/>
        </w:trPr>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36,570</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09"/>
        </w:trPr>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(5,937)</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309"/>
        </w:trPr>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spacing w:after="0"/>
              <w:rPr>
                <w:sz w:val="24"/>
                <w:szCs w:val="24"/>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1,443</w:t>
            </w:r>
          </w:p>
        </w:tc>
        <w:tc>
          <w:tcPr>
            <w:tcW w:w="0" w:type="dxa"/>
            <w:vAlign w:val="bottom"/>
          </w:tcPr>
          <w:p>
            <w:pPr>
              <w:spacing w:after="0"/>
              <w:rPr>
                <w:sz w:val="1"/>
                <w:szCs w:val="1"/>
                <w:color w:val="auto"/>
              </w:rPr>
            </w:pPr>
          </w:p>
        </w:tc>
      </w:tr>
      <w:tr>
        <w:trPr>
          <w:trHeight w:val="309"/>
        </w:trPr>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2,220,000</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7,171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7,171</w:t>
            </w:r>
          </w:p>
        </w:tc>
        <w:tc>
          <w:tcPr>
            <w:tcW w:w="0" w:type="dxa"/>
            <w:vAlign w:val="bottom"/>
          </w:tcPr>
          <w:p>
            <w:pPr>
              <w:spacing w:after="0"/>
              <w:rPr>
                <w:sz w:val="1"/>
                <w:szCs w:val="1"/>
                <w:color w:val="auto"/>
              </w:rPr>
            </w:pPr>
          </w:p>
        </w:tc>
      </w:tr>
      <w:tr>
        <w:trPr>
          <w:trHeight w:val="400"/>
        </w:trPr>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6,091,280</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4"/>
                <w:szCs w:val="24"/>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09"/>
        </w:trPr>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spacing w:after="0"/>
              <w:rPr>
                <w:sz w:val="24"/>
                <w:szCs w:val="24"/>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(8,313)</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(8,313)</w:t>
            </w:r>
          </w:p>
        </w:tc>
        <w:tc>
          <w:tcPr>
            <w:tcW w:w="0" w:type="dxa"/>
            <w:vAlign w:val="bottom"/>
          </w:tcPr>
          <w:p>
            <w:pPr>
              <w:spacing w:after="0"/>
              <w:rPr>
                <w:sz w:val="1"/>
                <w:szCs w:val="1"/>
                <w:color w:val="auto"/>
              </w:rPr>
            </w:pPr>
          </w:p>
        </w:tc>
      </w:tr>
      <w:tr>
        <w:trPr>
          <w:trHeight w:val="186"/>
        </w:trPr>
        <w:tc>
          <w:tcPr>
            <w:tcW w:w="1100" w:type="dxa"/>
            <w:vAlign w:val="bottom"/>
            <w:tcBorders>
              <w:top w:val="single" w:sz="8" w:color="auto"/>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16,625,778</w:t>
            </w:r>
          </w:p>
        </w:tc>
        <w:tc>
          <w:tcPr>
            <w:tcW w:w="80" w:type="dxa"/>
            <w:vAlign w:val="bottom"/>
          </w:tcPr>
          <w:p>
            <w:pPr>
              <w:spacing w:after="0"/>
              <w:rPr>
                <w:sz w:val="16"/>
                <w:szCs w:val="16"/>
                <w:color w:val="auto"/>
              </w:rPr>
            </w:pPr>
          </w:p>
        </w:tc>
        <w:tc>
          <w:tcPr>
            <w:tcW w:w="840" w:type="dxa"/>
            <w:vAlign w:val="bottom"/>
            <w:tcBorders>
              <w:top w:val="single" w:sz="8" w:color="auto"/>
              <w:bottom w:val="single" w:sz="8" w:color="auto"/>
            </w:tcBorders>
          </w:tcPr>
          <w:p>
            <w:pPr>
              <w:jc w:val="right"/>
              <w:ind w:right="654"/>
              <w:spacing w:after="0" w:line="186" w:lineRule="exact"/>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tcBorders>
              <w:top w:val="single" w:sz="8" w:color="auto"/>
              <w:bottom w:val="single" w:sz="8" w:color="auto"/>
            </w:tcBorders>
          </w:tcPr>
          <w:p>
            <w:pPr>
              <w:spacing w:after="0" w:line="186"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384,845</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14"/>
              <w:spacing w:after="0" w:line="186" w:lineRule="exact"/>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(381,360)</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34"/>
              <w:spacing w:after="0" w:line="186" w:lineRule="exact"/>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3,485</w:t>
            </w:r>
          </w:p>
        </w:tc>
        <w:tc>
          <w:tcPr>
            <w:tcW w:w="0" w:type="dxa"/>
            <w:vAlign w:val="bottom"/>
          </w:tcPr>
          <w:p>
            <w:pPr>
              <w:spacing w:after="0"/>
              <w:rPr>
                <w:sz w:val="1"/>
                <w:szCs w:val="1"/>
                <w:color w:val="auto"/>
              </w:rPr>
            </w:pPr>
          </w:p>
        </w:tc>
      </w:tr>
      <w:tr>
        <w:trPr>
          <w:trHeight w:val="20"/>
        </w:trPr>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-2877820</wp:posOffset>
            </wp:positionH>
            <wp:positionV relativeFrom="paragraph">
              <wp:posOffset>-1489075</wp:posOffset>
            </wp:positionV>
            <wp:extent cx="6549390" cy="147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49390" cy="147320"/>
                    </a:xfrm>
                    <a:prstGeom prst="rect">
                      <a:avLst/>
                    </a:prstGeom>
                    <a:noFill/>
                  </pic:spPr>
                </pic:pic>
              </a:graphicData>
            </a:graphic>
          </wp:anchor>
        </w:drawing>
        <w:drawing>
          <wp:anchor simplePos="0" relativeHeight="251657728" behindDoc="1" locked="0" layoutInCell="0" allowOverlap="1">
            <wp:simplePos x="0" y="0"/>
            <wp:positionH relativeFrom="column">
              <wp:posOffset>-2877820</wp:posOffset>
            </wp:positionH>
            <wp:positionV relativeFrom="paragraph">
              <wp:posOffset>-1202690</wp:posOffset>
            </wp:positionV>
            <wp:extent cx="6549390" cy="2540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49390" cy="254000"/>
                    </a:xfrm>
                    <a:prstGeom prst="rect">
                      <a:avLst/>
                    </a:prstGeom>
                    <a:noFill/>
                  </pic:spPr>
                </pic:pic>
              </a:graphicData>
            </a:graphic>
          </wp:anchor>
        </w:drawing>
        <w:drawing>
          <wp:anchor simplePos="0" relativeHeight="251657728" behindDoc="1" locked="0" layoutInCell="0" allowOverlap="1">
            <wp:simplePos x="0" y="0"/>
            <wp:positionH relativeFrom="column">
              <wp:posOffset>-2877820</wp:posOffset>
            </wp:positionH>
            <wp:positionV relativeFrom="paragraph">
              <wp:posOffset>-809625</wp:posOffset>
            </wp:positionV>
            <wp:extent cx="6549390" cy="2540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49390" cy="254000"/>
                    </a:xfrm>
                    <a:prstGeom prst="rect">
                      <a:avLst/>
                    </a:prstGeom>
                    <a:noFill/>
                  </pic:spPr>
                </pic:pic>
              </a:graphicData>
            </a:graphic>
          </wp:anchor>
        </w:drawing>
        <w:drawing>
          <wp:anchor simplePos="0" relativeHeight="251657728" behindDoc="1" locked="0" layoutInCell="0" allowOverlap="1">
            <wp:simplePos x="0" y="0"/>
            <wp:positionH relativeFrom="column">
              <wp:posOffset>-2877820</wp:posOffset>
            </wp:positionH>
            <wp:positionV relativeFrom="paragraph">
              <wp:posOffset>-302260</wp:posOffset>
            </wp:positionV>
            <wp:extent cx="6549390" cy="1390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49390" cy="139065"/>
                    </a:xfrm>
                    <a:prstGeom prst="rect">
                      <a:avLst/>
                    </a:prstGeom>
                    <a:noFill/>
                  </pic:spPr>
                </pic:pic>
              </a:graphicData>
            </a:graphic>
          </wp:anchor>
        </w:drawing>
        <w:drawing>
          <wp:anchor simplePos="0" relativeHeight="251657728" behindDoc="1" locked="0" layoutInCell="0" allowOverlap="1">
            <wp:simplePos x="0" y="0"/>
            <wp:positionH relativeFrom="column">
              <wp:posOffset>-2877820</wp:posOffset>
            </wp:positionH>
            <wp:positionV relativeFrom="paragraph">
              <wp:posOffset>-15875</wp:posOffset>
            </wp:positionV>
            <wp:extent cx="6549390" cy="1308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49390" cy="130810"/>
                    </a:xfrm>
                    <a:prstGeom prst="rect">
                      <a:avLst/>
                    </a:prstGeom>
                    <a:noFill/>
                  </pic:spPr>
                </pic:pic>
              </a:graphicData>
            </a:graphic>
          </wp:anchor>
        </w:drawing>
      </w:r>
    </w:p>
    <w:p>
      <w:pPr>
        <w:spacing w:after="0" w:line="177" w:lineRule="exact"/>
        <w:rPr>
          <w:sz w:val="20"/>
          <w:szCs w:val="20"/>
          <w:color w:val="auto"/>
        </w:rPr>
      </w:pPr>
    </w:p>
    <w:p>
      <w:pPr>
        <w:sectPr>
          <w:pgSz w:w="11900" w:h="16838" w:orient="portrait"/>
          <w:cols w:equalWidth="0" w:num="2">
            <w:col w:w="4860" w:space="140"/>
            <w:col w:w="5780"/>
          </w:cols>
          <w:pgMar w:left="320" w:top="123" w:right="799" w:bottom="1440" w:gutter="0" w:footer="0" w:header="0"/>
          <w:type w:val="continuous"/>
        </w:sectPr>
      </w:pPr>
    </w:p>
    <w:p>
      <w:pPr>
        <w:ind w:left="480"/>
        <w:spacing w:after="0"/>
        <w:rPr>
          <w:sz w:val="20"/>
          <w:szCs w:val="20"/>
          <w:color w:val="auto"/>
        </w:rPr>
      </w:pPr>
      <w:r>
        <w:rPr>
          <w:rFonts w:ascii="Times New Roman" w:cs="Times New Roman" w:eastAsia="Times New Roman" w:hAnsi="Times New Roman"/>
          <w:sz w:val="17"/>
          <w:szCs w:val="17"/>
          <w:color w:val="auto"/>
        </w:rPr>
        <w:t>Balance, December 31, 2022</w:t>
      </w:r>
    </w:p>
    <w:p>
      <w:pPr>
        <w:spacing w:after="0" w:line="28" w:lineRule="exact"/>
        <w:rPr>
          <w:sz w:val="20"/>
          <w:szCs w:val="20"/>
          <w:color w:val="auto"/>
        </w:rPr>
      </w:pPr>
    </w:p>
    <w:p>
      <w:pPr>
        <w:ind w:left="700" w:right="200"/>
        <w:spacing w:after="0" w:line="269" w:lineRule="auto"/>
        <w:rPr>
          <w:sz w:val="20"/>
          <w:szCs w:val="20"/>
          <w:color w:val="auto"/>
        </w:rPr>
      </w:pPr>
      <w:r>
        <w:rPr>
          <w:rFonts w:ascii="Times New Roman" w:cs="Times New Roman" w:eastAsia="Times New Roman" w:hAnsi="Times New Roman"/>
          <w:sz w:val="17"/>
          <w:szCs w:val="17"/>
          <w:color w:val="auto"/>
        </w:rPr>
        <w:t>Issuance of common stock upon exercise of stock options Issuance of common stock upon vesting of RSUs</w:t>
      </w:r>
    </w:p>
    <w:p>
      <w:pPr>
        <w:ind w:left="700" w:right="80"/>
        <w:spacing w:after="0" w:line="237" w:lineRule="auto"/>
        <w:rPr>
          <w:sz w:val="20"/>
          <w:szCs w:val="20"/>
          <w:color w:val="auto"/>
        </w:rPr>
      </w:pPr>
      <w:r>
        <w:rPr>
          <w:rFonts w:ascii="Times New Roman" w:cs="Times New Roman" w:eastAsia="Times New Roman" w:hAnsi="Times New Roman"/>
          <w:sz w:val="17"/>
          <w:szCs w:val="17"/>
          <w:color w:val="auto"/>
        </w:rPr>
        <w:t>Share repurchase related to Section 16 Officer tax coverage exchange</w:t>
      </w:r>
    </w:p>
    <w:p>
      <w:pPr>
        <w:spacing w:after="0" w:line="1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Stock-based compensation - stock options, RSAs, RSUs</w:t>
      </w:r>
    </w:p>
    <w:p>
      <w:pPr>
        <w:spacing w:after="0" w:line="28" w:lineRule="exact"/>
        <w:rPr>
          <w:sz w:val="20"/>
          <w:szCs w:val="20"/>
          <w:color w:val="auto"/>
        </w:rPr>
      </w:pPr>
    </w:p>
    <w:p>
      <w:pPr>
        <w:ind w:left="700"/>
        <w:spacing w:after="0" w:line="237" w:lineRule="auto"/>
        <w:rPr>
          <w:sz w:val="20"/>
          <w:szCs w:val="20"/>
          <w:color w:val="auto"/>
        </w:rPr>
      </w:pPr>
      <w:r>
        <w:rPr>
          <w:rFonts w:ascii="Times New Roman" w:cs="Times New Roman" w:eastAsia="Times New Roman" w:hAnsi="Times New Roman"/>
          <w:sz w:val="17"/>
          <w:szCs w:val="17"/>
          <w:color w:val="auto"/>
        </w:rPr>
        <w:t>Issuance of common stock and related warrants in registered offering, net of issuance costs</w:t>
      </w:r>
    </w:p>
    <w:p>
      <w:pPr>
        <w:spacing w:after="0" w:line="10" w:lineRule="exact"/>
        <w:rPr>
          <w:sz w:val="20"/>
          <w:szCs w:val="20"/>
          <w:color w:val="auto"/>
        </w:rPr>
      </w:pPr>
    </w:p>
    <w:p>
      <w:pPr>
        <w:ind w:left="700" w:right="740"/>
        <w:spacing w:after="0" w:line="292" w:lineRule="auto"/>
        <w:rPr>
          <w:sz w:val="20"/>
          <w:szCs w:val="20"/>
          <w:color w:val="auto"/>
        </w:rPr>
      </w:pPr>
      <w:r>
        <w:rPr>
          <w:rFonts w:ascii="Times New Roman" w:cs="Times New Roman" w:eastAsia="Times New Roman" w:hAnsi="Times New Roman"/>
          <w:sz w:val="17"/>
          <w:szCs w:val="17"/>
          <w:color w:val="auto"/>
        </w:rPr>
        <w:t>Issuance of common stock for consulting services Net loss</w:t>
      </w:r>
    </w:p>
    <w:p>
      <w:pPr>
        <w:spacing w:after="0" w:line="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Balance, March 31, 2023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9"/>
        </w:trPr>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1,688,824</w:t>
            </w:r>
          </w:p>
        </w:tc>
        <w:tc>
          <w:tcPr>
            <w:tcW w:w="80" w:type="dxa"/>
            <w:vAlign w:val="bottom"/>
          </w:tcPr>
          <w:p>
            <w:pPr>
              <w:spacing w:after="0"/>
              <w:rPr>
                <w:sz w:val="19"/>
                <w:szCs w:val="19"/>
                <w:color w:val="auto"/>
              </w:rPr>
            </w:pPr>
          </w:p>
        </w:tc>
        <w:tc>
          <w:tcPr>
            <w:tcW w:w="48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342,734</w:t>
            </w:r>
          </w:p>
        </w:tc>
        <w:tc>
          <w:tcPr>
            <w:tcW w:w="8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(304,127)</w:t>
            </w:r>
          </w:p>
        </w:tc>
        <w:tc>
          <w:tcPr>
            <w:tcW w:w="8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38,607</w:t>
            </w:r>
          </w:p>
        </w:tc>
      </w:tr>
      <w:tr>
        <w:trPr>
          <w:trHeight w:val="219"/>
        </w:trPr>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7,406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r>
      <w:tr>
        <w:trPr>
          <w:trHeight w:val="223"/>
        </w:trPr>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15,336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309"/>
        </w:trPr>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(2,498)</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r>
      <w:tr>
        <w:trPr>
          <w:trHeight w:val="309"/>
        </w:trPr>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24"/>
                <w:szCs w:val="24"/>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1,720</w:t>
            </w:r>
          </w:p>
        </w:tc>
      </w:tr>
      <w:tr>
        <w:trPr>
          <w:trHeight w:val="309"/>
        </w:trPr>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187,920</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9,300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9,300</w:t>
            </w:r>
          </w:p>
        </w:tc>
      </w:tr>
      <w:tr>
        <w:trPr>
          <w:trHeight w:val="305"/>
        </w:trPr>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2,700</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w:t>
            </w:r>
          </w:p>
        </w:tc>
      </w:tr>
      <w:tr>
        <w:trPr>
          <w:trHeight w:val="223"/>
        </w:trPr>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19"/>
                <w:szCs w:val="19"/>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(20,825)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(20,825)</w:t>
            </w:r>
          </w:p>
        </w:tc>
      </w:tr>
      <w:tr>
        <w:trPr>
          <w:trHeight w:val="212"/>
        </w:trPr>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1,899,688</w:t>
            </w:r>
          </w:p>
        </w:tc>
        <w:tc>
          <w:tcPr>
            <w:tcW w:w="8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353,898</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(324,952)</w:t>
            </w:r>
          </w:p>
        </w:tc>
        <w:tc>
          <w:tcPr>
            <w:tcW w:w="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28,946</w:t>
            </w:r>
          </w:p>
        </w:tc>
      </w:tr>
      <w:tr>
        <w:trPr>
          <w:trHeight w:val="20"/>
        </w:trPr>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-2877820</wp:posOffset>
            </wp:positionH>
            <wp:positionV relativeFrom="paragraph">
              <wp:posOffset>-1383030</wp:posOffset>
            </wp:positionV>
            <wp:extent cx="6549390" cy="1390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49390" cy="139065"/>
                    </a:xfrm>
                    <a:prstGeom prst="rect">
                      <a:avLst/>
                    </a:prstGeom>
                    <a:noFill/>
                  </pic:spPr>
                </pic:pic>
              </a:graphicData>
            </a:graphic>
          </wp:anchor>
        </w:drawing>
        <w:drawing>
          <wp:anchor simplePos="0" relativeHeight="251657728" behindDoc="1" locked="0" layoutInCell="0" allowOverlap="1">
            <wp:simplePos x="0" y="0"/>
            <wp:positionH relativeFrom="column">
              <wp:posOffset>-2877820</wp:posOffset>
            </wp:positionH>
            <wp:positionV relativeFrom="paragraph">
              <wp:posOffset>-1104265</wp:posOffset>
            </wp:positionV>
            <wp:extent cx="6549390" cy="2540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49390" cy="254000"/>
                    </a:xfrm>
                    <a:prstGeom prst="rect">
                      <a:avLst/>
                    </a:prstGeom>
                    <a:noFill/>
                  </pic:spPr>
                </pic:pic>
              </a:graphicData>
            </a:graphic>
          </wp:anchor>
        </w:drawing>
        <w:drawing>
          <wp:anchor simplePos="0" relativeHeight="251657728" behindDoc="1" locked="0" layoutInCell="0" allowOverlap="1">
            <wp:simplePos x="0" y="0"/>
            <wp:positionH relativeFrom="column">
              <wp:posOffset>-2877820</wp:posOffset>
            </wp:positionH>
            <wp:positionV relativeFrom="paragraph">
              <wp:posOffset>-711835</wp:posOffset>
            </wp:positionV>
            <wp:extent cx="6549390" cy="2540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49390" cy="254000"/>
                    </a:xfrm>
                    <a:prstGeom prst="rect">
                      <a:avLst/>
                    </a:prstGeom>
                    <a:noFill/>
                  </pic:spPr>
                </pic:pic>
              </a:graphicData>
            </a:graphic>
          </wp:anchor>
        </w:drawing>
        <w:drawing>
          <wp:anchor simplePos="0" relativeHeight="251657728" behindDoc="1" locked="0" layoutInCell="0" allowOverlap="1">
            <wp:simplePos x="0" y="0"/>
            <wp:positionH relativeFrom="column">
              <wp:posOffset>-2877820</wp:posOffset>
            </wp:positionH>
            <wp:positionV relativeFrom="paragraph">
              <wp:posOffset>-318770</wp:posOffset>
            </wp:positionV>
            <wp:extent cx="6549390" cy="1390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49390" cy="139065"/>
                    </a:xfrm>
                    <a:prstGeom prst="rect">
                      <a:avLst/>
                    </a:prstGeom>
                    <a:noFill/>
                  </pic:spPr>
                </pic:pic>
              </a:graphicData>
            </a:graphic>
          </wp:anchor>
        </w:drawing>
      </w:r>
    </w:p>
    <w:p>
      <w:pPr>
        <w:spacing w:after="0" w:line="125" w:lineRule="exact"/>
        <w:rPr>
          <w:sz w:val="20"/>
          <w:szCs w:val="20"/>
          <w:color w:val="auto"/>
        </w:rPr>
      </w:pPr>
    </w:p>
    <w:p>
      <w:pPr>
        <w:sectPr>
          <w:pgSz w:w="11900" w:h="16838" w:orient="portrait"/>
          <w:cols w:equalWidth="0" w:num="2">
            <w:col w:w="4860" w:space="140"/>
            <w:col w:w="5780"/>
          </w:cols>
          <w:pgMar w:left="320" w:top="123" w:right="799" w:bottom="1440" w:gutter="0" w:footer="0" w:header="0"/>
          <w:type w:val="continuous"/>
        </w:sectPr>
      </w:pPr>
    </w:p>
    <w:p>
      <w:pPr>
        <w:ind w:left="238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interim financial statements</w:t>
      </w:r>
    </w:p>
    <w:p>
      <w:pPr>
        <w:spacing w:after="0" w:line="200" w:lineRule="exact"/>
        <w:rPr>
          <w:sz w:val="20"/>
          <w:szCs w:val="20"/>
          <w:color w:val="auto"/>
        </w:rPr>
      </w:pPr>
    </w:p>
    <w:p>
      <w:pPr>
        <w:spacing w:after="0" w:line="223"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780"/>
          </w:cols>
          <w:pgMar w:left="320" w:top="123" w:right="79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195"/>
        </w:trPr>
        <w:tc>
          <w:tcPr>
            <w:tcW w:w="7800" w:type="dxa"/>
            <w:vAlign w:val="bottom"/>
            <w:gridSpan w:val="2"/>
          </w:tcPr>
          <w:p>
            <w:pPr>
              <w:spacing w:after="0"/>
              <w:rPr>
                <w:sz w:val="20"/>
                <w:szCs w:val="20"/>
                <w:color w:val="auto"/>
              </w:rPr>
            </w:pPr>
            <w:r>
              <w:rPr>
                <w:rFonts w:ascii="Times New Roman" w:cs="Times New Roman" w:eastAsia="Times New Roman" w:hAnsi="Times New Roman"/>
                <w:sz w:val="17"/>
                <w:szCs w:val="17"/>
                <w:color w:val="3051F2"/>
              </w:rPr>
              <w:t>Tables of Contents</w:t>
            </w: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823"/>
        </w:trPr>
        <w:tc>
          <w:tcPr>
            <w:tcW w:w="1280" w:type="dxa"/>
            <w:vAlign w:val="bottom"/>
            <w:tcBorders>
              <w:top w:val="single" w:sz="8" w:color="3051F2"/>
            </w:tcBorders>
          </w:tcPr>
          <w:p>
            <w:pPr>
              <w:spacing w:after="0"/>
              <w:rPr>
                <w:sz w:val="24"/>
                <w:szCs w:val="24"/>
                <w:color w:val="auto"/>
              </w:rPr>
            </w:pPr>
          </w:p>
        </w:tc>
        <w:tc>
          <w:tcPr>
            <w:tcW w:w="6520" w:type="dxa"/>
            <w:vAlign w:val="bottom"/>
          </w:tcPr>
          <w:p>
            <w:pPr>
              <w:jc w:val="center"/>
              <w:ind w:left="2074"/>
              <w:spacing w:after="0"/>
              <w:rPr>
                <w:sz w:val="20"/>
                <w:szCs w:val="20"/>
                <w:color w:val="auto"/>
              </w:rPr>
            </w:pPr>
            <w:r>
              <w:rPr>
                <w:rFonts w:ascii="Times New Roman" w:cs="Times New Roman" w:eastAsia="Times New Roman" w:hAnsi="Times New Roman"/>
                <w:sz w:val="17"/>
                <w:szCs w:val="17"/>
                <w:b w:val="1"/>
                <w:bCs w:val="1"/>
                <w:color w:val="auto"/>
              </w:rPr>
              <w:t>MOMENTUS INC.</w:t>
            </w: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3"/>
        </w:trPr>
        <w:tc>
          <w:tcPr>
            <w:tcW w:w="1280" w:type="dxa"/>
            <w:vAlign w:val="bottom"/>
          </w:tcPr>
          <w:p>
            <w:pPr>
              <w:spacing w:after="0"/>
              <w:rPr>
                <w:sz w:val="16"/>
                <w:szCs w:val="16"/>
                <w:color w:val="auto"/>
              </w:rPr>
            </w:pPr>
          </w:p>
        </w:tc>
        <w:tc>
          <w:tcPr>
            <w:tcW w:w="7600" w:type="dxa"/>
            <w:vAlign w:val="bottom"/>
            <w:gridSpan w:val="2"/>
          </w:tcPr>
          <w:p>
            <w:pPr>
              <w:jc w:val="center"/>
              <w:ind w:left="994"/>
              <w:spacing w:after="0" w:line="194" w:lineRule="exact"/>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06"/>
        </w:trPr>
        <w:tc>
          <w:tcPr>
            <w:tcW w:w="1280" w:type="dxa"/>
            <w:vAlign w:val="bottom"/>
          </w:tcPr>
          <w:p>
            <w:pPr>
              <w:spacing w:after="0"/>
              <w:rPr>
                <w:sz w:val="17"/>
                <w:szCs w:val="17"/>
                <w:color w:val="auto"/>
              </w:rPr>
            </w:pPr>
          </w:p>
        </w:tc>
        <w:tc>
          <w:tcPr>
            <w:tcW w:w="6520" w:type="dxa"/>
            <w:vAlign w:val="bottom"/>
          </w:tcPr>
          <w:p>
            <w:pPr>
              <w:jc w:val="center"/>
              <w:ind w:left="2074"/>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27"/>
        </w:trPr>
        <w:tc>
          <w:tcPr>
            <w:tcW w:w="1280" w:type="dxa"/>
            <w:vAlign w:val="bottom"/>
          </w:tcPr>
          <w:p>
            <w:pPr>
              <w:spacing w:after="0"/>
              <w:rPr>
                <w:sz w:val="19"/>
                <w:szCs w:val="19"/>
                <w:color w:val="auto"/>
              </w:rPr>
            </w:pPr>
          </w:p>
        </w:tc>
        <w:tc>
          <w:tcPr>
            <w:tcW w:w="6520" w:type="dxa"/>
            <w:vAlign w:val="bottom"/>
          </w:tcPr>
          <w:p>
            <w:pPr>
              <w:jc w:val="center"/>
              <w:ind w:left="2094"/>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10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2"/>
        </w:trPr>
        <w:tc>
          <w:tcPr>
            <w:tcW w:w="128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3440" w:type="dxa"/>
            <w:vAlign w:val="bottom"/>
            <w:tcBorders>
              <w:bottom w:val="single" w:sz="8" w:color="auto"/>
            </w:tcBorders>
            <w:gridSpan w:val="5"/>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r>
      <w:tr>
        <w:trPr>
          <w:trHeight w:val="212"/>
        </w:trPr>
        <w:tc>
          <w:tcPr>
            <w:tcW w:w="1280" w:type="dxa"/>
            <w:vAlign w:val="bottom"/>
            <w:tcBorders>
              <w:bottom w:val="single" w:sz="8" w:color="CCEEFF"/>
            </w:tcBorders>
          </w:tcPr>
          <w:p>
            <w:pPr>
              <w:spacing w:after="0"/>
              <w:rPr>
                <w:sz w:val="18"/>
                <w:szCs w:val="18"/>
                <w:color w:val="auto"/>
              </w:rPr>
            </w:pPr>
          </w:p>
        </w:tc>
        <w:tc>
          <w:tcPr>
            <w:tcW w:w="65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199"/>
        </w:trPr>
        <w:tc>
          <w:tcPr>
            <w:tcW w:w="7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10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9"/>
        </w:trPr>
        <w:tc>
          <w:tcPr>
            <w:tcW w:w="78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Net loss</w:t>
            </w:r>
          </w:p>
        </w:tc>
        <w:tc>
          <w:tcPr>
            <w:tcW w:w="1080" w:type="dxa"/>
            <w:vAlign w:val="bottom"/>
          </w:tcPr>
          <w:p>
            <w:pPr>
              <w:jc w:val="right"/>
              <w:ind w:right="89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(8,313)</w:t>
            </w:r>
          </w:p>
        </w:tc>
        <w:tc>
          <w:tcPr>
            <w:tcW w:w="80" w:type="dxa"/>
            <w:vAlign w:val="bottom"/>
          </w:tcPr>
          <w:p>
            <w:pPr>
              <w:spacing w:after="0"/>
              <w:rPr>
                <w:sz w:val="19"/>
                <w:szCs w:val="19"/>
                <w:color w:val="auto"/>
              </w:rPr>
            </w:pP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(20,825)</w:t>
            </w:r>
          </w:p>
        </w:tc>
      </w:tr>
      <w:tr>
        <w:trPr>
          <w:trHeight w:val="219"/>
        </w:trPr>
        <w:tc>
          <w:tcPr>
            <w:tcW w:w="7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9"/>
        </w:trPr>
        <w:tc>
          <w:tcPr>
            <w:tcW w:w="78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w:t>
            </w:r>
          </w:p>
        </w:tc>
      </w:tr>
      <w:tr>
        <w:trPr>
          <w:trHeight w:val="219"/>
        </w:trPr>
        <w:tc>
          <w:tcPr>
            <w:tcW w:w="78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Amortization of debt discount and issuance costs</w:t>
            </w: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w:t>
            </w:r>
          </w:p>
        </w:tc>
      </w:tr>
      <w:tr>
        <w:trPr>
          <w:trHeight w:val="219"/>
        </w:trPr>
        <w:tc>
          <w:tcPr>
            <w:tcW w:w="78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Amortization of right-of-use asset</w:t>
            </w: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w:t>
            </w:r>
          </w:p>
        </w:tc>
      </w:tr>
      <w:tr>
        <w:trPr>
          <w:trHeight w:val="219"/>
        </w:trPr>
        <w:tc>
          <w:tcPr>
            <w:tcW w:w="78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Change in fair value of warrant liability</w:t>
            </w:r>
          </w:p>
        </w:tc>
        <w:tc>
          <w:tcPr>
            <w:tcW w:w="10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w:t>
            </w:r>
          </w:p>
        </w:tc>
      </w:tr>
      <w:tr>
        <w:trPr>
          <w:trHeight w:val="219"/>
        </w:trPr>
        <w:tc>
          <w:tcPr>
            <w:tcW w:w="78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1,720</w:t>
            </w:r>
          </w:p>
        </w:tc>
      </w:tr>
      <w:tr>
        <w:trPr>
          <w:trHeight w:val="219"/>
        </w:trPr>
        <w:tc>
          <w:tcPr>
            <w:tcW w:w="78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Issuance of common stock for consulting services</w:t>
            </w:r>
          </w:p>
        </w:tc>
        <w:tc>
          <w:tcPr>
            <w:tcW w:w="10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219"/>
        </w:trPr>
        <w:tc>
          <w:tcPr>
            <w:tcW w:w="78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0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19"/>
        </w:trPr>
        <w:tc>
          <w:tcPr>
            <w:tcW w:w="78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Accounts receivable</w:t>
            </w: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8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Prepaids and other current assets</w:t>
            </w: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704</w:t>
            </w:r>
          </w:p>
        </w:tc>
      </w:tr>
      <w:tr>
        <w:trPr>
          <w:trHeight w:val="219"/>
        </w:trPr>
        <w:tc>
          <w:tcPr>
            <w:tcW w:w="78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Insurance receivable</w:t>
            </w: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8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Other non-current assets</w:t>
            </w: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219"/>
        </w:trPr>
        <w:tc>
          <w:tcPr>
            <w:tcW w:w="78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Accounts payable</w:t>
            </w: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w:t>
            </w:r>
          </w:p>
        </w:tc>
      </w:tr>
      <w:tr>
        <w:trPr>
          <w:trHeight w:val="219"/>
        </w:trPr>
        <w:tc>
          <w:tcPr>
            <w:tcW w:w="78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Accrued liabilities</w:t>
            </w: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(1,538)</w:t>
            </w:r>
          </w:p>
        </w:tc>
      </w:tr>
      <w:tr>
        <w:trPr>
          <w:trHeight w:val="219"/>
        </w:trPr>
        <w:tc>
          <w:tcPr>
            <w:tcW w:w="78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Accrued interest</w:t>
            </w:r>
          </w:p>
        </w:tc>
        <w:tc>
          <w:tcPr>
            <w:tcW w:w="10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219"/>
        </w:trPr>
        <w:tc>
          <w:tcPr>
            <w:tcW w:w="78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19"/>
        </w:trPr>
        <w:tc>
          <w:tcPr>
            <w:tcW w:w="78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Contract liabilities</w:t>
            </w: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481</w:t>
            </w:r>
          </w:p>
        </w:tc>
      </w:tr>
      <w:tr>
        <w:trPr>
          <w:trHeight w:val="219"/>
        </w:trPr>
        <w:tc>
          <w:tcPr>
            <w:tcW w:w="78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Operating lease liability</w:t>
            </w: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w:t>
            </w:r>
          </w:p>
        </w:tc>
      </w:tr>
      <w:tr>
        <w:trPr>
          <w:trHeight w:val="219"/>
        </w:trPr>
        <w:tc>
          <w:tcPr>
            <w:tcW w:w="78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Litigation settlement contingency</w:t>
            </w: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80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10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12"/>
        </w:trPr>
        <w:tc>
          <w:tcPr>
            <w:tcW w:w="7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used in operating activities</w:t>
            </w:r>
          </w:p>
        </w:tc>
        <w:tc>
          <w:tcPr>
            <w:tcW w:w="10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(5,253)</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(18,696)</w:t>
            </w:r>
          </w:p>
        </w:tc>
      </w:tr>
      <w:tr>
        <w:trPr>
          <w:trHeight w:val="135"/>
        </w:trPr>
        <w:tc>
          <w:tcPr>
            <w:tcW w:w="1280" w:type="dxa"/>
            <w:vAlign w:val="bottom"/>
          </w:tcPr>
          <w:p>
            <w:pPr>
              <w:spacing w:after="0"/>
              <w:rPr>
                <w:sz w:val="11"/>
                <w:szCs w:val="11"/>
                <w:color w:val="auto"/>
              </w:rPr>
            </w:pPr>
          </w:p>
        </w:tc>
        <w:tc>
          <w:tcPr>
            <w:tcW w:w="65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219"/>
        </w:trPr>
        <w:tc>
          <w:tcPr>
            <w:tcW w:w="7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9"/>
        </w:trPr>
        <w:tc>
          <w:tcPr>
            <w:tcW w:w="78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Purchases of property, machinery and equipment</w:t>
            </w:r>
          </w:p>
        </w:tc>
        <w:tc>
          <w:tcPr>
            <w:tcW w:w="108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219"/>
        </w:trPr>
        <w:tc>
          <w:tcPr>
            <w:tcW w:w="7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Purchases of intangible assets</w:t>
            </w:r>
          </w:p>
        </w:tc>
        <w:tc>
          <w:tcPr>
            <w:tcW w:w="10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12"/>
        </w:trPr>
        <w:tc>
          <w:tcPr>
            <w:tcW w:w="7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used in investing activities</w:t>
            </w:r>
          </w:p>
        </w:tc>
        <w:tc>
          <w:tcPr>
            <w:tcW w:w="10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w:t>
            </w:r>
          </w:p>
        </w:tc>
      </w:tr>
      <w:tr>
        <w:trPr>
          <w:trHeight w:val="135"/>
        </w:trPr>
        <w:tc>
          <w:tcPr>
            <w:tcW w:w="1280" w:type="dxa"/>
            <w:vAlign w:val="bottom"/>
            <w:shd w:val="clear" w:color="auto" w:fill="CCEEFF"/>
          </w:tcPr>
          <w:p>
            <w:pPr>
              <w:spacing w:after="0"/>
              <w:rPr>
                <w:sz w:val="11"/>
                <w:szCs w:val="11"/>
                <w:color w:val="auto"/>
              </w:rPr>
            </w:pPr>
          </w:p>
        </w:tc>
        <w:tc>
          <w:tcPr>
            <w:tcW w:w="65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r>
      <w:tr>
        <w:trPr>
          <w:trHeight w:val="219"/>
        </w:trPr>
        <w:tc>
          <w:tcPr>
            <w:tcW w:w="78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10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19"/>
        </w:trPr>
        <w:tc>
          <w:tcPr>
            <w:tcW w:w="7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Proceeds from exercise of stock options</w:t>
            </w:r>
          </w:p>
        </w:tc>
        <w:tc>
          <w:tcPr>
            <w:tcW w:w="10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r>
      <w:tr>
        <w:trPr>
          <w:trHeight w:val="219"/>
        </w:trPr>
        <w:tc>
          <w:tcPr>
            <w:tcW w:w="78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Repurchase of Section 16 Officer shares for tax coverage exchange</w:t>
            </w: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r>
      <w:tr>
        <w:trPr>
          <w:trHeight w:val="219"/>
        </w:trPr>
        <w:tc>
          <w:tcPr>
            <w:tcW w:w="7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Principal payments on loan payable</w:t>
            </w: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(3,102)</w:t>
            </w:r>
          </w:p>
        </w:tc>
      </w:tr>
      <w:tr>
        <w:trPr>
          <w:trHeight w:val="219"/>
        </w:trPr>
        <w:tc>
          <w:tcPr>
            <w:tcW w:w="78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Payment of deferred offering costs</w:t>
            </w:r>
          </w:p>
        </w:tc>
        <w:tc>
          <w:tcPr>
            <w:tcW w:w="108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19"/>
        </w:trPr>
        <w:tc>
          <w:tcPr>
            <w:tcW w:w="7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Payment for repurchase of common shares</w:t>
            </w:r>
          </w:p>
        </w:tc>
        <w:tc>
          <w:tcPr>
            <w:tcW w:w="10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w:t>
            </w:r>
          </w:p>
        </w:tc>
      </w:tr>
      <w:tr>
        <w:trPr>
          <w:trHeight w:val="219"/>
        </w:trPr>
        <w:tc>
          <w:tcPr>
            <w:tcW w:w="78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Proceeds from issuance of common stock and related warrants</w:t>
            </w: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w:t>
            </w:r>
          </w:p>
        </w:tc>
      </w:tr>
      <w:tr>
        <w:trPr>
          <w:trHeight w:val="219"/>
        </w:trPr>
        <w:tc>
          <w:tcPr>
            <w:tcW w:w="7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Payments for issuance costs related to common stock and related warrants</w:t>
            </w:r>
          </w:p>
        </w:tc>
        <w:tc>
          <w:tcPr>
            <w:tcW w:w="10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(829)</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w:t>
            </w:r>
          </w:p>
        </w:tc>
      </w:tr>
      <w:tr>
        <w:trPr>
          <w:trHeight w:val="212"/>
        </w:trPr>
        <w:tc>
          <w:tcPr>
            <w:tcW w:w="7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provided by (used in) financing activities</w:t>
            </w:r>
          </w:p>
        </w:tc>
        <w:tc>
          <w:tcPr>
            <w:tcW w:w="10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4,849</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(3,793)</w:t>
            </w:r>
          </w:p>
        </w:tc>
      </w:tr>
      <w:tr>
        <w:trPr>
          <w:trHeight w:val="135"/>
        </w:trPr>
        <w:tc>
          <w:tcPr>
            <w:tcW w:w="1280" w:type="dxa"/>
            <w:vAlign w:val="bottom"/>
            <w:shd w:val="clear" w:color="auto" w:fill="CCEEFF"/>
          </w:tcPr>
          <w:p>
            <w:pPr>
              <w:spacing w:after="0"/>
              <w:rPr>
                <w:sz w:val="11"/>
                <w:szCs w:val="11"/>
                <w:color w:val="auto"/>
              </w:rPr>
            </w:pPr>
          </w:p>
        </w:tc>
        <w:tc>
          <w:tcPr>
            <w:tcW w:w="65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r>
      <w:tr>
        <w:trPr>
          <w:trHeight w:val="219"/>
        </w:trPr>
        <w:tc>
          <w:tcPr>
            <w:tcW w:w="78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Decrease in cash, cash equivalents and restricted cash</w:t>
            </w: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(22,541)</w:t>
            </w:r>
          </w:p>
        </w:tc>
      </w:tr>
      <w:tr>
        <w:trPr>
          <w:trHeight w:val="219"/>
        </w:trPr>
        <w:tc>
          <w:tcPr>
            <w:tcW w:w="7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Cash, cash equivalents and restricted cash, beginning of period</w:t>
            </w:r>
          </w:p>
        </w:tc>
        <w:tc>
          <w:tcPr>
            <w:tcW w:w="10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2,492</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62,413</w:t>
            </w:r>
          </w:p>
        </w:tc>
      </w:tr>
      <w:tr>
        <w:trPr>
          <w:trHeight w:val="212"/>
        </w:trPr>
        <w:tc>
          <w:tcPr>
            <w:tcW w:w="78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Cash, cash equivalents and restricted cash, end of period</w:t>
            </w:r>
          </w:p>
        </w:tc>
        <w:tc>
          <w:tcPr>
            <w:tcW w:w="1080" w:type="dxa"/>
            <w:vAlign w:val="bottom"/>
            <w:tcBorders>
              <w:bottom w:val="single" w:sz="8" w:color="auto"/>
            </w:tcBorders>
          </w:tcPr>
          <w:p>
            <w:pPr>
              <w:jc w:val="right"/>
              <w:ind w:right="89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2,049</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39,872</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65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20"/>
        </w:trPr>
        <w:tc>
          <w:tcPr>
            <w:tcW w:w="1280" w:type="dxa"/>
            <w:vAlign w:val="bottom"/>
            <w:shd w:val="clear" w:color="auto" w:fill="CCEEFF"/>
          </w:tcPr>
          <w:p>
            <w:pPr>
              <w:spacing w:after="0"/>
              <w:rPr>
                <w:sz w:val="10"/>
                <w:szCs w:val="10"/>
                <w:color w:val="auto"/>
              </w:rPr>
            </w:pPr>
          </w:p>
        </w:tc>
        <w:tc>
          <w:tcPr>
            <w:tcW w:w="652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r>
      <w:tr>
        <w:trPr>
          <w:trHeight w:val="219"/>
        </w:trPr>
        <w:tc>
          <w:tcPr>
            <w:tcW w:w="78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 of non-cash investing and financing activities</w:t>
            </w:r>
          </w:p>
        </w:tc>
        <w:tc>
          <w:tcPr>
            <w:tcW w:w="10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19"/>
        </w:trPr>
        <w:tc>
          <w:tcPr>
            <w:tcW w:w="7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Purchases of intangible assets in accounts payable and accrued expenses at period end</w:t>
            </w:r>
          </w:p>
        </w:tc>
        <w:tc>
          <w:tcPr>
            <w:tcW w:w="1080" w:type="dxa"/>
            <w:vAlign w:val="bottom"/>
            <w:shd w:val="clear" w:color="auto" w:fill="CCEEFF"/>
          </w:tcPr>
          <w:p>
            <w:pPr>
              <w:jc w:val="right"/>
              <w:ind w:right="89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19"/>
        </w:trPr>
        <w:tc>
          <w:tcPr>
            <w:tcW w:w="78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Deferred offering costs in accounts payable and accrued expenses at period end</w:t>
            </w:r>
          </w:p>
        </w:tc>
        <w:tc>
          <w:tcPr>
            <w:tcW w:w="1080" w:type="dxa"/>
            <w:vAlign w:val="bottom"/>
          </w:tcPr>
          <w:p>
            <w:pPr>
              <w:jc w:val="right"/>
              <w:ind w:right="89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r>
      <w:tr>
        <w:trPr>
          <w:trHeight w:val="155"/>
        </w:trPr>
        <w:tc>
          <w:tcPr>
            <w:tcW w:w="7800" w:type="dxa"/>
            <w:vAlign w:val="bottom"/>
            <w:gridSpan w:val="2"/>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r>
      <w:tr>
        <w:trPr>
          <w:trHeight w:val="219"/>
        </w:trPr>
        <w:tc>
          <w:tcPr>
            <w:tcW w:w="78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10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19"/>
        </w:trPr>
        <w:tc>
          <w:tcPr>
            <w:tcW w:w="7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Cash paid for interest</w:t>
            </w:r>
          </w:p>
        </w:tc>
        <w:tc>
          <w:tcPr>
            <w:tcW w:w="1080" w:type="dxa"/>
            <w:vAlign w:val="bottom"/>
            <w:shd w:val="clear" w:color="auto" w:fill="CCEEFF"/>
          </w:tcPr>
          <w:p>
            <w:pPr>
              <w:jc w:val="right"/>
              <w:ind w:right="89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w:t>
            </w:r>
          </w:p>
        </w:tc>
      </w:tr>
    </w:tbl>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interim financial statements</w:t>
      </w: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 Nature of Operations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Company</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Momentus Inc. (together with its consolidated subsidiaries “Momentus” or the “Company”) is a U.S. commercial space company that offers satellites, satellite buses, satellite technologies, and space infrastructure services, including in-space transportation, hosted payloads and in-orbit services. Momentus is making new ways of operating in space possible with its in-space transfer and service vehicles, powered by an innovative, space-proven water plasma-based propulsion system.</w:t>
      </w:r>
    </w:p>
    <w:p>
      <w:pPr>
        <w:spacing w:after="0" w:line="8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Momentus has launched four missions to date, deployed 17 customer satellites, and provided hosted payload services. Three of these missions involved operation of the Vigoride OSV in orbit. During these three Vigoride missions, the system and technology were tested repeatedly. Improvements based on lessons learned during these missions were rapidly incorporated. As a result of these three missions, the Vigoride OSV has been successfully demonstrated in space and accumulated significant flight heritage. The Company has produced its next Orbital Service Vehicle, Vigoride 7, that it intends to utilize on a future mission or for use as a satellite bus.</w:t>
      </w:r>
    </w:p>
    <w:p>
      <w:pPr>
        <w:spacing w:after="0" w:line="11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addition to the Vigoride Orbital Service Vehicle, Momentus is now also offering its M-1000 satellite bus which has substantial commonality with Vigoride. With a growing demand for satellite bus services, Momentus is positioned to advance its hardware and flight-proven technology for this market. The M-1000 bus is a flexible option to meet various mission requirements. Innovations to improve sensor capability, maneuverability, increased power, and lower costs are integrated into the product. Momentus believes it can manufacture satellite buses like the M-1000 at a rapid and scalable pace.</w:t>
      </w:r>
    </w:p>
    <w:p>
      <w:pPr>
        <w:spacing w:after="0" w:line="10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Momentus has completed work in support of its Small Business Innovation Research contract from the Space Development Agency that was signed in August 2023. This project's scope involved making tailored modifications to the system underlying the M-1000 satellite bus and Vigoride OSV to support a full range of U.S. Department of Defense (DoD) payloads. Some of these areas include adding a secure payload interface, optical communications terminals, a high-volume data recorder, and improving the modularity of the propulsion system.</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Business Combination</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On August 12, 2021, the Company consummated a merger pursuant to the terms of the Agreement and Plan of Merger, dated October 7, 2020, and as amended on March 5, 2021, April 6, 2021, and June 29, 2021 (the “Merger Agreement”), by and among Stable Road Acquisition Corp (“SRAC”), Project Marvel First Merger Sub, Inc., a Delaware corporation and a direct, wholly-owned subsidiary of SRAC (“First Merger Sub”), and Project Marvel Second Merger Sub, LLC, a Delaware limited liability company and a direct, wholly-owned subsidiary of SRAC (“Second Merger Sub”), pursuant to which First Merger Sub merged with and into Momentus Inc., a Delaware corporation (“Legacy Momentus”) with Legacy Momentus as the surviving corporation of the First Merger Sub, and immediately following which Legacy Momentus merged with and into the Second Merger Sub, with the Second Merger Sub as the surviving entity (the “Business Combination”). In connection with the closing of the Business Combination (“Closing”), the Company changed its name from Stable Road Acquisition Corp. to Momentus Inc., and Legacy Momentus changed its name to Momentus Space, LLC.</w:t>
      </w:r>
    </w:p>
    <w:p>
      <w:pPr>
        <w:spacing w:after="0" w:line="10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 xml:space="preserve">The Business Combination was accounted for as a reverse recapitalization under ASC Topic 805, </w:t>
      </w:r>
      <w:r>
        <w:rPr>
          <w:rFonts w:ascii="Times New Roman" w:cs="Times New Roman" w:eastAsia="Times New Roman" w:hAnsi="Times New Roman"/>
          <w:sz w:val="17"/>
          <w:szCs w:val="17"/>
          <w:i w:val="1"/>
          <w:iCs w:val="1"/>
          <w:color w:val="auto"/>
        </w:rPr>
        <w:t>Business Combinations</w:t>
      </w:r>
      <w:r>
        <w:rPr>
          <w:rFonts w:ascii="Times New Roman" w:cs="Times New Roman" w:eastAsia="Times New Roman" w:hAnsi="Times New Roman"/>
          <w:sz w:val="17"/>
          <w:szCs w:val="17"/>
          <w:color w:val="auto"/>
        </w:rPr>
        <w:t>, with SRAC and its two wholly-owned subsidiaries. The Company received gross proceeds of $247.3 million upon the closing of the Business Combination. Public and private warrants of SRAC were assumed by the Company as a result of the Business Combination.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Going Concern</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accompanying consolidated interim financial statements have been prepared assuming that the Company will continue as a going concern. The going concern basis of presentation assumes that the Company will continue in operation one year after the date these consolidated interim financial statements are issued and will be able to realize its assets and discharge its liabilities and commitments in the normal course of business. The Company’s ability to continue as a going concern is dependent on the Company’s ability to successfully raise capital to fund its business operations and execute on its business plan. To date, the Company remains heavily focused on growth and continued</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 Nature of Operations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development of its proprietary technology, and, as a result, it has not generated sufficient revenues to provide cash flows that enable the Company to finance its operations internally and the Company’s financial position and operating results raise substantial doubt about the Company’s ability to continue as a going concern. This is reflected by the Company’s incurred net loss of $8.3 million for the three months ended March 31, 2024, and accumulated deficit of $381.4 million as of March 31, 2024. Additionally, the Company used net cash of $5.3 million to fund its operating activities for the three months ended March 31, 2024, and had cash and cash equivalents of $1.7 million as of March 31, 2024.</w:t>
      </w:r>
    </w:p>
    <w:p>
      <w:pPr>
        <w:spacing w:after="0" w:line="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 xml:space="preserve">Pursuant to the requirements of ASC Topic 205-40, </w:t>
      </w:r>
      <w:r>
        <w:rPr>
          <w:rFonts w:ascii="Times New Roman" w:cs="Times New Roman" w:eastAsia="Times New Roman" w:hAnsi="Times New Roman"/>
          <w:sz w:val="17"/>
          <w:szCs w:val="17"/>
          <w:i w:val="1"/>
          <w:iCs w:val="1"/>
          <w:color w:val="auto"/>
        </w:rPr>
        <w:t>Disclosure of Uncertainties about an Entity’s Ability to Continue as a Going Concern</w:t>
      </w:r>
      <w:r>
        <w:rPr>
          <w:rFonts w:ascii="Times New Roman" w:cs="Times New Roman" w:eastAsia="Times New Roman" w:hAnsi="Times New Roman"/>
          <w:sz w:val="17"/>
          <w:szCs w:val="17"/>
          <w:color w:val="auto"/>
        </w:rPr>
        <w:t>, management must evaluate whether there are conditions or events, considered in the aggregate, that raise substantial doubt about the Company’s ability to continue as a going concern for one year from the date these consolidated interim financial statements are issued. This evaluation does not take into consideration the potential mitigating effect of management’s plans that have not been fully implemented or are not within control of the Company as of the date the consolidated interim financial statements are issued. When substantial doubt exists, management evaluates whether the mitigating effect of its plans sufficiently alleviates substantial doubt about the Company’s ability to continue as a going concern. The mitigating effect of management’s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 raise substantial doubt about the Company’s ability to continue as a going concern within one year after the date that the consolidated interim financial statements are issued.</w:t>
      </w:r>
    </w:p>
    <w:p>
      <w:pPr>
        <w:spacing w:after="0" w:line="11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connection with the preparation of the consolidated interim financial statements for the three months ended March 31, 2024, management conducted an evaluation and concluded that there were conditions and events, considered in the aggregate, which raised substantial doubt as to the Company’s ability to continue as a going concern within twelve months after the date of the issuance of such consolidated interim financial statements. The Company believes that its current level of cash and cash equivalents are not sufficient to fund its regular operations, scaling of commercial production, and maintain its existing services and products. These conditions raise substantial doubt regarding its ability to continue as a going concern for a period of at least one year from the date of issuance of these consolidated interim financial statements. In order to proceed with the Company’s business plan and operating strategy, the Company will need to raise substantial additional capital to fund its operations. Until such time, if ever, the Company can generate revenues sufficient to achieve profitability, the Company expects to finance its operations through equity or debt financings, which may not be available to the Company on the timing needed or on terms that the Company deems to be favorable. In an effort to alleviate these conditions, the Company continues to seek and evaluate all opportunities to access additional capital through any available means.</w:t>
      </w:r>
    </w:p>
    <w:p>
      <w:pPr>
        <w:spacing w:after="0" w:line="1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As a result of these uncertainties, and notwithstanding management’s plans and efforts to date, there is substantial doubt about the Company’s ability to continue as a going concern. If the Company is unable to raise substantial additional capital in the near term, or win new business, the Company's operations and business plan will need to be scaled back or halted altogether. Additionally, if the Company is able to raise additional capital but that capital is insufficient to provide a bridge to full commercial production at a profit, the Company's operations could be severely curtailed or cease entirely and the Company may not realize any significant value from its assets.</w:t>
      </w:r>
    </w:p>
    <w:p>
      <w:pPr>
        <w:spacing w:after="0" w:line="9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accompanying consolidated interim financial statements have been prepared on a going concern basis of accounting. The accompanying consolidated interim financial statements do not reflect any adjustments that might result if the Company is unable to continue as a going concern.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Reverse Stock Split</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Effective August 22, 2023, the Company’s stockholders approved a 1-for-50 reverse stock split of the Company’s Class A common stock. As a result of the reverse stock split, every 50 shares of Class A common stock issued and outstanding on August 22, 2023, were automatically combined into one share of Class A common stock. Any fractional shares resulting from the reverse stock split were rounded up to the next nearest whole share of Class A common stock. The reverse stock split did not affect the stated par value of the Class A common stock nor did it change the total number of the Company’s authorized shares of Class A common stock. Both the Company’s Class B common stock and the Company’s preferred stock were not affected by the reverse stock split.</w:t>
      </w:r>
    </w:p>
    <w:p>
      <w:pPr>
        <w:spacing w:after="0" w:line="11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Also on the effective date of the reverse stock split, all options, warrants and other convertible securities of the Company outstanding immediately prior to the reverse stock split were adjusted by dividing the number of shares of</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 Nature of Operations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Class A common stock into which the options, warrants and other convertible securities are exercisable or convertible by 50 and multiplying the exercise or conversion price thereof by 50, all in accordance with the terms of the plans, agreements or arrangements governing such options, warrants and other convertible securities and subject to rounding to the nearest whole share. Such proportional adjustments were also made to the number of shares and restricted stock units issued and issuable under the Company’s equity compensation plan.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has retroactively adjusted all periods presented for the effects of the stock split. See Note 9 for additional information.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 Summary of Significant Accounting Policies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Consolidated Interim Financial Information</w:t>
      </w:r>
    </w:p>
    <w:p>
      <w:pPr>
        <w:spacing w:after="0" w:line="15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accompanying consolidated interim financial statements have been prepared in accordance with accounting principles generally accepted in the United States (“GAAP”) and pursuant to the rules and regulations of the SEC. Certain information and footnote disclosures normally included in financial statements prepared in accordance with GAAP have been condensed or omitted pursuant to such rules and regulations. The consolidated balance sheet as of December 31, 2023 was derived from the Company’s audited financial statements but does not include all disclosures required by GAAP for audited financial statements. Any reference in these notes to applicable guidance is meant to refer to the authoritative GAAP as found in the Accounting Standards Codification (“ASC”) and Accounting Standards Update (“ASU”) of the Financial Accounting Standards Board (the “FASB”).</w:t>
      </w:r>
    </w:p>
    <w:p>
      <w:pPr>
        <w:spacing w:after="0" w:line="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unaudited interim consolidated financial statements have been prepared on the same basis as the audited consolidated financial statements. The accompanying consolidated interim financial statements contain all adjustments that are necessary to present fairly the Company’s financial position as of March 31, 2024 and December 31, 2023, the results of operations for the three months ended March 31, 2024 and 2023, the statement of stockholders’ equity for the three months ended March 31, 2024 and 2023, and cash flows for the three months ended March 31, 2024 and 2023. Such adjustments are of a normal and recurring nature. The results for the three months ended March 31, 2024 are not necessarily indicative of the results for the year ending December 31, 2024, or for any future period. These interim consolidated financial statements should be read in conjunction with the audited financial statements as of and for the years ended December 31, 2023 and 2022, filed with the SEC in our Annual Report on Form 10-K filed by the Company on June 6, 2024, and Form 10-K/A filed on September 16, 2024.</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Principles of Consolidation</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consolidated interim financial statements include the accounts of the Company and its subsidiaries. All intercompany transactions and balances have been eliminated upon consolidation.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preparation of consolidated interim financial statements in conformity with GAAP requires management to make estimates and assumptions that affect the reported amounts in the consolidated interim financial statements and accompanying notes. Management bases its estimates on historical experience and on various other factors it believes to be reasonable under the circumstances, the results of which form the basis for making judgments about the carrying values of assets and liabilities. Accordingly, actual results could differ from those estimates. Significant estimates inherent in the preparation of the consolidated interim financial statements include, but are not limited to, the timing of revenue recognition, accounting for useful lives of property, machinery and equipment, net intangible assets, net accrued liabilities, leases, income taxes including deferred tax assets and liabilities, impairment valuation, stock-based compensation, warrant liabilities, and litigation contingencies.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Emerging Growth Company Status</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Section 102(b)(1) of the Jumpstart Our Business Startups Act of 2012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 The Company is an “emerging growth company” as defined in Section 2(a) of the Securities Act and has elected to take advantage of the benefits of the extended transition period for new or revised financial</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2. Summary of Significant Accounting Policies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accounting standards. The Company will remain an emerging growth company until the earliest of (i) the last day of the fiscal year in which the market value of Class A common stock that is held by non-affiliates exceeds $700 million as of the end of that year’s second fiscal quarter, (ii) the last day of the fiscal year in which the Company after the consummation of the Business Combination has total annual gross revenue of $1.2 billion or more during such fiscal year (as indexed for inflation), (iii) the date on which the Company has issued more than $1 billion in non-convertible debt in the prior three-year period or (iv) December 31, 2024. The Company expects to continue to take advantage of the benefits of the extended transition period, although it may decide to early adopt such new or revised accounting standards to the extent permitted by such standards. This may make it difficult or impossible to compare the Company’s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and Cash Equivalents</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Cash and cash equivalents consist of cash on hand, cash in bank with no restrictions, as well as highly liquid investments which are unrestricted as to withdrawal or use, and which have original maturities of three months or less when initially purchased.</w:t>
      </w:r>
    </w:p>
    <w:p>
      <w:pPr>
        <w:spacing w:after="0" w:line="7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The Company places its cash in the bank, which may at times be in excess of the Federal Deposit Insurance Corporation insurance limits of $250,000 per depositor, with high credit quality financial institutions and attempts to limit the amount of credit exposure with any one institution.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Restricted Cash</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Restricted cash primarily represents deposited cash that is restricted by financial institutions. $0.4 million is restricted primarily as collateral for a letter of credit issued to the Company’s landlord in accordance with the terms of a lease agreement entered into in December 2020, and is classified as a non-current asset as it will be returned to the Company at the end of the lease which is expected to occur beyond one year from March 31, 2024. In event of default, the landlord can take over the restricted cash from the restricted cash bank</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account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Deferred Fulfillment and Prepaid Launch Costs</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prepays for certain launch costs to third-party providers that will carry the transport vehicle to orbit. Prepaid costs allocated to the delivery of a customers’ payload are classified as deferred fulfillment costs and recognized as cost of revenue upon delivery of the customers’ payload. Prepaid costs allocated to our payload are classified as prepaid launch costs and are amortized to cost of sales and research and development expense upon the release of our payload. The allocation is determined based on the distribution between customer and our payload weight on each launch.</w:t>
      </w:r>
    </w:p>
    <w:p>
      <w:pPr>
        <w:spacing w:after="0" w:line="9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As of March 31, 2024, and December 31, 2023, the Company had deferred fulfillment and prepaid launch costs of $0.4 million and $1.7 million, respectively, with $0 and $1.3 million recorded within prepaids and other current assets, respectively, and $0.4 million and $0.4 million recorded within other non-current asset, respectively, in our condensed consolidated balance sheets.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Property, Machinery and Equipment</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Property, machinery and equipment are stated at cost less accumulated depreciation. Depreciation is generally recorded using the straight-line method over the estimated useful lives of the respective assets. The estimated useful lives of fixed assets by asset category are described below:</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Fixed Assets</w:t>
            </w:r>
          </w:p>
        </w:tc>
        <w:tc>
          <w:tcPr>
            <w:tcW w:w="82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Estimated Useful Life</w:t>
            </w:r>
          </w:p>
        </w:tc>
      </w:tr>
      <w:tr>
        <w:trPr>
          <w:trHeight w:val="31"/>
        </w:trPr>
        <w:tc>
          <w:tcPr>
            <w:tcW w:w="2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60" w:type="dxa"/>
            <w:vAlign w:val="bottom"/>
            <w:tcBorders>
              <w:bottom w:val="single" w:sz="8" w:color="auto"/>
            </w:tcBorders>
          </w:tcPr>
          <w:p>
            <w:pPr>
              <w:spacing w:after="0"/>
              <w:rPr>
                <w:sz w:val="2"/>
                <w:szCs w:val="2"/>
                <w:color w:val="auto"/>
              </w:rPr>
            </w:pPr>
          </w:p>
        </w:tc>
      </w:tr>
      <w:tr>
        <w:trPr>
          <w:trHeight w:val="238"/>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Computer equipment</w:t>
            </w:r>
          </w:p>
        </w:tc>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Three years</w:t>
            </w:r>
          </w:p>
        </w:tc>
      </w:tr>
      <w:tr>
        <w:trPr>
          <w:trHeight w:val="239"/>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Furniture and fixtures</w:t>
            </w:r>
          </w:p>
        </w:tc>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Five years</w:t>
            </w:r>
          </w:p>
        </w:tc>
      </w:tr>
      <w:tr>
        <w:trPr>
          <w:trHeight w:val="251"/>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Lesser of estimated useful life or remaining lease term (one year to seven years)</w:t>
            </w:r>
          </w:p>
        </w:tc>
      </w:tr>
      <w:tr>
        <w:trPr>
          <w:trHeight w:val="232"/>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Machinery and equipment</w:t>
            </w:r>
          </w:p>
        </w:tc>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Seven years</w:t>
            </w:r>
          </w:p>
        </w:tc>
      </w:tr>
      <w:tr>
        <w:trPr>
          <w:trHeight w:val="864"/>
        </w:trPr>
        <w:tc>
          <w:tcPr>
            <w:tcW w:w="2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60" w:type="dxa"/>
            <w:vAlign w:val="bottom"/>
          </w:tcPr>
          <w:p>
            <w:pPr>
              <w:ind w:left="2560"/>
              <w:spacing w:after="0"/>
              <w:rPr>
                <w:sz w:val="20"/>
                <w:szCs w:val="20"/>
                <w:color w:val="auto"/>
              </w:rPr>
            </w:pPr>
            <w:r>
              <w:rPr>
                <w:rFonts w:ascii="Times New Roman" w:cs="Times New Roman" w:eastAsia="Times New Roman" w:hAnsi="Times New Roman"/>
                <w:sz w:val="17"/>
                <w:szCs w:val="17"/>
                <w:color w:val="auto"/>
              </w:rPr>
              <w:t>12</w:t>
            </w:r>
          </w:p>
        </w:tc>
      </w:tr>
      <w:tr>
        <w:trPr>
          <w:trHeight w:val="108"/>
        </w:trPr>
        <w:tc>
          <w:tcPr>
            <w:tcW w:w="29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2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2. Summary of Significant Accounting Policies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Costs of maintenance or repairs that do not extend the lives of the respective assets are charged to expenses as incurred.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Intangible Assets</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Intangible assets, which consist of patents, are considered long-lived assets and are reported at cost less accumulated amortization and accumulated impairment loss, if any. Amortization is recognized on a straight-line basis over 10 years for patents, which is the estimated useful lives of the intangible assets.</w:t>
      </w:r>
    </w:p>
    <w:p>
      <w:pPr>
        <w:spacing w:after="0" w:line="8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 xml:space="preserve">In accordance with ASC Topic 350-40, </w:t>
      </w:r>
      <w:r>
        <w:rPr>
          <w:rFonts w:ascii="Times New Roman" w:cs="Times New Roman" w:eastAsia="Times New Roman" w:hAnsi="Times New Roman"/>
          <w:sz w:val="17"/>
          <w:szCs w:val="17"/>
          <w:i w:val="1"/>
          <w:iCs w:val="1"/>
          <w:color w:val="auto"/>
        </w:rPr>
        <w:t>Intangibles</w:t>
      </w:r>
      <w:r>
        <w:rPr>
          <w:rFonts w:ascii="Times New Roman" w:cs="Times New Roman" w:eastAsia="Times New Roman" w:hAnsi="Times New Roman"/>
          <w:sz w:val="17"/>
          <w:szCs w:val="17"/>
          <w:color w:val="auto"/>
        </w:rPr>
        <w:t>, the Company presents capitalized implementation costs for cloud computing arrangements within prepaid and other current assets, and other non-current assets to properly present the capitalized costs with their related subscription fees.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Loss Contingencies</w:t>
      </w:r>
    </w:p>
    <w:p>
      <w:pPr>
        <w:spacing w:after="0" w:line="1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The Company estimates loss contingencies in accordance with ASC Sub-Topic 450-20, </w:t>
      </w:r>
      <w:r>
        <w:rPr>
          <w:rFonts w:ascii="Times New Roman" w:cs="Times New Roman" w:eastAsia="Times New Roman" w:hAnsi="Times New Roman"/>
          <w:sz w:val="17"/>
          <w:szCs w:val="17"/>
          <w:i w:val="1"/>
          <w:iCs w:val="1"/>
          <w:color w:val="auto"/>
        </w:rPr>
        <w:t>Loss Contingencies</w:t>
      </w:r>
      <w:r>
        <w:rPr>
          <w:rFonts w:ascii="Times New Roman" w:cs="Times New Roman" w:eastAsia="Times New Roman" w:hAnsi="Times New Roman"/>
          <w:sz w:val="17"/>
          <w:szCs w:val="17"/>
          <w:color w:val="auto"/>
        </w:rPr>
        <w:t xml:space="preserve"> (“ASC 450-20”), which states that a loss contingency shall be accrued by a charge to income if both of the following conditions are met: (i) information available before the consolidated interim financial statements are issued or are available to be issued indicates that it is probable that a liability had been incurred at the date of the consolidated interim financial statements and</w:t>
      </w:r>
    </w:p>
    <w:p>
      <w:pPr>
        <w:spacing w:after="0" w:line="2" w:lineRule="exact"/>
        <w:rPr>
          <w:sz w:val="20"/>
          <w:szCs w:val="20"/>
          <w:color w:val="auto"/>
        </w:rPr>
      </w:pPr>
    </w:p>
    <w:p>
      <w:pPr>
        <w:ind w:firstLine="3"/>
        <w:spacing w:after="0" w:line="266" w:lineRule="auto"/>
        <w:tabs>
          <w:tab w:leader="none" w:pos="277"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of loss can be reasonably estimated. We regularly evaluate current information available to us to determine whether such accruals should be adjusted and whether new accruals are required. Refer to Note 12 for additional information.</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 enters into short-term contracts for ‘last-mile’ satellite and cargo delivery (transportation service), payload hosting and in-orbit servicing options with customers that are primarily in the aerospace industry. For its transportation service arrangements, the Company has a single performance obligation of delivering the customers’ payload to its designated orbit and recognizes revenue (along with any other fees that have been paid) at a point in time, upon satisfaction of this performance obligation. Additionally, for its in-orbit service arrangements, the Company provides a multitude of services consistently throughout the mission to its customers and also has services available on a ‘stand ready’ basis as needed until the mission reaches its conclusion. The Company recognizes revenue for these in-orbit services ratably over time on a straight-line basis. The Company also enters into contracts to perform analysis and provide engineering services to U.S. Government organizations.</w:t>
      </w:r>
    </w:p>
    <w:p>
      <w:pPr>
        <w:spacing w:after="0" w:line="11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 xml:space="preserve">The Company accounts for customer contracts in accordance with ASC Topic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xml:space="preserve"> (“ASC Topic 606”), which includes the following five-step model:</w:t>
      </w:r>
    </w:p>
    <w:p>
      <w:pPr>
        <w:spacing w:after="0" w:line="83" w:lineRule="exact"/>
        <w:rPr>
          <w:sz w:val="20"/>
          <w:szCs w:val="20"/>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of the contract, or contracts, with a customer.</w:t>
      </w:r>
    </w:p>
    <w:p>
      <w:pPr>
        <w:spacing w:after="0" w:line="13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of the performance obligations in the contract.</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Determination of the transaction price.</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Allocation of the transaction price to the performance obligations in the contract.</w:t>
      </w:r>
    </w:p>
    <w:p>
      <w:pPr>
        <w:spacing w:after="0" w:line="13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Recognition of revenue when, or as, the Company satisfies a performance obligation.</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 estimates variable consideration at the most likely amount, which is included in the transaction price to the extent it is probable that a significant reversal of cumulative revenue recognized will not occur. While the Company’s standard contracts do not contain refund or recourse provisions that enable its customers to recover any non-refundable fees that have been paid, the Company may issue full or partial refunds, or concessions on future services to customers on a case-by-case basis as necessary to preserve and foster future business relationships and customer goodwill. Contracts to provide engineering services to U.S. Government organizations generally have set payments tied to each milestone. When a milestone is achieved, the Company submits the completed service for approval, submits invoices to the government site, and collects on that completed milestone. During the three months ended in March 2024, the Company recorded $0.5 million of revenue from U.S. Government. There was no revenue from the U.S. Government, in the three months ended March 2023.</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2. Summary of Significant Accounting Policies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1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7"/>
          <w:szCs w:val="17"/>
          <w:color w:val="auto"/>
        </w:rPr>
        <w:t>As part of its contracts with customers, the Company collects up-front non-refundable deposits prior to launch. As of March 31, 2024 and December 31, 2023, the Company had customer deposit balances of $1.1 million and $1.0 million, respectively, related to signed contracts with customers, including firm orders and options (some of which have already been exercised by customers). These deposits are recorded as contract liabilities in the Company’s condensed consolidated balance sheets. Included in the collected amount as of March 31, 2024 and December 31, 2023, are $0.6 million and $1.0 million, respectively, of non-current deposits.</w:t>
      </w:r>
    </w:p>
    <w:p>
      <w:pPr>
        <w:spacing w:after="0" w:line="30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During the three months ended March 31, 2024, the Company recognized $0.5 million of revenue, due to engineering services performed on Space Development Agency milestone two agreement, and forfeited customer deposits primarily related to expired options. Of the $0.5 million of revenue recognized, $35 thousand was derived from December 31, 2023 contract liability balance. The Company recognized $22 thousand in revenue from forfeited customer deposits during the three months ended March 31, 2023.</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disaggregation of revenue by type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60" w:type="dxa"/>
            <w:vAlign w:val="bottom"/>
            <w:gridSpan w:val="4"/>
          </w:tcPr>
          <w:p>
            <w:pPr>
              <w:jc w:val="right"/>
              <w:ind w:right="854"/>
              <w:spacing w:after="0"/>
              <w:rPr>
                <w:sz w:val="20"/>
                <w:szCs w:val="20"/>
                <w:color w:val="auto"/>
              </w:rPr>
            </w:pPr>
            <w:r>
              <w:rPr>
                <w:rFonts w:ascii="Times New Roman" w:cs="Times New Roman" w:eastAsia="Times New Roman" w:hAnsi="Times New Roman"/>
                <w:sz w:val="17"/>
                <w:szCs w:val="17"/>
                <w:b w:val="1"/>
                <w:bCs w:val="1"/>
                <w:color w:val="auto"/>
              </w:rPr>
              <w:t>Three Months Ended</w:t>
            </w:r>
          </w:p>
        </w:tc>
      </w:tr>
      <w:tr>
        <w:trPr>
          <w:trHeight w:val="227"/>
        </w:trPr>
        <w:tc>
          <w:tcPr>
            <w:tcW w:w="78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180" w:type="dxa"/>
            <w:vAlign w:val="bottom"/>
            <w:tcBorders>
              <w:bottom w:val="single" w:sz="8" w:color="auto"/>
            </w:tcBorders>
          </w:tcPr>
          <w:p>
            <w:pPr>
              <w:spacing w:after="0"/>
              <w:rPr>
                <w:sz w:val="19"/>
                <w:szCs w:val="19"/>
                <w:color w:val="auto"/>
              </w:rPr>
            </w:pPr>
          </w:p>
        </w:tc>
      </w:tr>
      <w:tr>
        <w:trPr>
          <w:trHeight w:val="217"/>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Forfeited customer deposits</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1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Engineering project services</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478</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7"/>
        </w:trPr>
        <w:tc>
          <w:tcPr>
            <w:tcW w:w="7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revenue</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 Measurement</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uses valuation approaches that maximize the use of observable inputs and minimize the use of unobservable inputs to the extent possible. A three-tiered hierarchy is established as a basis for considering such assumptions and for inputs used in the valuation methodologies in measuring fair value. This hierarchy requires that the Company use observable market data, when available, and minimize the use of unobservable inputs when determining fair value:</w:t>
      </w:r>
    </w:p>
    <w:p>
      <w:pPr>
        <w:spacing w:after="0" w:line="88" w:lineRule="exact"/>
        <w:rPr>
          <w:sz w:val="20"/>
          <w:szCs w:val="20"/>
          <w:color w:val="auto"/>
        </w:rPr>
      </w:pPr>
    </w:p>
    <w:p>
      <w:pPr>
        <w:ind w:left="460" w:hanging="147"/>
        <w:spacing w:after="0"/>
        <w:tabs>
          <w:tab w:leader="none" w:pos="4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observable inputs such as quoted prices in active markets;</w:t>
      </w:r>
    </w:p>
    <w:p>
      <w:pPr>
        <w:spacing w:after="0" w:line="152" w:lineRule="exact"/>
        <w:rPr>
          <w:rFonts w:ascii="Times New Roman" w:cs="Times New Roman" w:eastAsia="Times New Roman" w:hAnsi="Times New Roman"/>
          <w:sz w:val="17"/>
          <w:szCs w:val="17"/>
          <w:color w:val="auto"/>
        </w:rPr>
      </w:pPr>
    </w:p>
    <w:p>
      <w:pPr>
        <w:ind w:left="460" w:hanging="147"/>
        <w:spacing w:after="0"/>
        <w:tabs>
          <w:tab w:leader="none" w:pos="4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inputs other than the quoted prices in active markets that are observable either directly or indirectly; and</w:t>
      </w:r>
    </w:p>
    <w:p>
      <w:pPr>
        <w:spacing w:after="0" w:line="152" w:lineRule="exact"/>
        <w:rPr>
          <w:rFonts w:ascii="Times New Roman" w:cs="Times New Roman" w:eastAsia="Times New Roman" w:hAnsi="Times New Roman"/>
          <w:sz w:val="17"/>
          <w:szCs w:val="17"/>
          <w:color w:val="auto"/>
        </w:rPr>
      </w:pPr>
    </w:p>
    <w:p>
      <w:pPr>
        <w:ind w:left="460" w:hanging="147"/>
        <w:spacing w:after="0"/>
        <w:tabs>
          <w:tab w:leader="none" w:pos="4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unobservable inputs in which there is little or no market data, which requires that the Company develop its own assumptions.</w:t>
      </w:r>
    </w:p>
    <w:p>
      <w:pPr>
        <w:spacing w:after="0" w:line="1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fair values of cash and cash equivalents, accounts payable, and certain prepaid and other current assets and accrued expenses approximate carrying values due to the short-term maturities of these instruments which fall with Level 1 of the fair value hierarchy. The carrying value of certain other non-current assets and liabilities approximates fair value. The Company had no Level 2 instruments for the three months ended March 31, 2024 and at December 31, 2023.</w:t>
      </w:r>
    </w:p>
    <w:p>
      <w:pPr>
        <w:spacing w:after="0" w:line="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 xml:space="preserve">Certain of the Company’s warrants are recorded as a derivative liability pursuant to ASC Topic 815, </w:t>
      </w:r>
      <w:r>
        <w:rPr>
          <w:rFonts w:ascii="Times New Roman" w:cs="Times New Roman" w:eastAsia="Times New Roman" w:hAnsi="Times New Roman"/>
          <w:sz w:val="17"/>
          <w:szCs w:val="17"/>
          <w:i w:val="1"/>
          <w:iCs w:val="1"/>
          <w:color w:val="auto"/>
        </w:rPr>
        <w:t>Derivatives and Hedging</w:t>
      </w:r>
      <w:r>
        <w:rPr>
          <w:rFonts w:ascii="Times New Roman" w:cs="Times New Roman" w:eastAsia="Times New Roman" w:hAnsi="Times New Roman"/>
          <w:sz w:val="17"/>
          <w:szCs w:val="17"/>
          <w:color w:val="auto"/>
        </w:rPr>
        <w:t xml:space="preserve"> (“ASC Topic 815”), and are classified within Level 3 of the fair value hierarchy as the Company is using the Black Scholes Option Pricing model. The primary significant unobservable input used in the valuation of the warrants is expected stock price volatility. Expected stock price volatility is based on the actual historical volatility of a group of comparable publicly traded companies observed over a historical period equal to the expected remaining life of the warrants. The risk-free interest rate is based on the U.S. Treasury yield curve in effect on the date of valuation equal to the remaining expected life of the warrants. The expected term was based on the maturity of the warrants, which is 5 years. The dividend yield percentage is zero because the Company does not currently pay dividends, nor does it intend to do so during the expected term of the warrants. Upon conversion of the Legacy Momentus private warrants immediately prior to the business combination, the key valuation input was the closing price of Company’s Class A common stock on the Closing, as the expected term and volatility were immaterial to the pricing model.</w:t>
      </w:r>
    </w:p>
    <w:p>
      <w:pPr>
        <w:spacing w:after="0" w:line="11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Company’s stock repurchase agreements with the Co-Founders (see Note 12 for additional information) are recorded as contingent liabilities pursuant to ASC Topic 480, measured at fair value. The stock repurchase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2. Summary of Significant Accounting Policies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agreements are classified within Level 3 of the hierarchy as the fair value is dependent on management assumptions about the likelihood of non-market outcomes. The Company paid $10.0 million to satisfy the stock repurchase agreement contingent liabilities during the three months ended March 31, 2023 (see Note 9 for additional information). There were no transfers between levels of input during the three months ended March 31, 2024 and 2023.</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change in fair values of liabilities subject to recurring remeasurement were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1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Warrant Liability (Level 3)</w:t>
            </w:r>
          </w:p>
        </w:tc>
      </w:tr>
      <w:tr>
        <w:trPr>
          <w:trHeight w:val="202"/>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December 31, 2023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r>
      <w:tr>
        <w:trPr>
          <w:trHeight w:val="203"/>
        </w:trPr>
        <w:tc>
          <w:tcPr>
            <w:tcW w:w="9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Change in Fair Value</w:t>
            </w:r>
          </w:p>
        </w:tc>
        <w:tc>
          <w:tcPr>
            <w:tcW w:w="1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2"/>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March 31, 2024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Key assumptions for the Black-Scholes model used to determine the fair value of warrants outstanding as of each period end were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920" w:type="dxa"/>
            <w:vAlign w:val="bottom"/>
            <w:tcBorders>
              <w:bottom w:val="single" w:sz="8" w:color="CCEEFF"/>
            </w:tcBorders>
          </w:tcPr>
          <w:p>
            <w:pPr>
              <w:spacing w:after="0"/>
              <w:rPr>
                <w:sz w:val="19"/>
                <w:szCs w:val="19"/>
                <w:color w:val="auto"/>
              </w:rPr>
            </w:pPr>
          </w:p>
        </w:tc>
        <w:tc>
          <w:tcPr>
            <w:tcW w:w="232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March 31, 2024</w:t>
            </w:r>
          </w:p>
        </w:tc>
        <w:tc>
          <w:tcPr>
            <w:tcW w:w="20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December 31, 2023</w:t>
            </w:r>
          </w:p>
        </w:tc>
      </w:tr>
      <w:tr>
        <w:trPr>
          <w:trHeight w:val="212"/>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Warrant term (years)</w:t>
            </w:r>
          </w:p>
        </w:tc>
        <w:tc>
          <w:tcPr>
            <w:tcW w:w="2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2.37</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w:t>
            </w:r>
          </w:p>
        </w:tc>
      </w:tr>
      <w:tr>
        <w:trPr>
          <w:trHeight w:val="219"/>
        </w:trPr>
        <w:tc>
          <w:tcPr>
            <w:tcW w:w="6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2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151.72 %</w:t>
            </w:r>
          </w:p>
        </w:tc>
        <w:tc>
          <w:tcPr>
            <w:tcW w:w="2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113.50 %</w:t>
            </w:r>
          </w:p>
        </w:tc>
      </w:tr>
      <w:tr>
        <w:trPr>
          <w:trHeight w:val="219"/>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rate</w:t>
            </w:r>
          </w:p>
        </w:tc>
        <w:tc>
          <w:tcPr>
            <w:tcW w:w="2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4.52 %</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4.05 %</w:t>
            </w:r>
          </w:p>
        </w:tc>
      </w:tr>
      <w:tr>
        <w:trPr>
          <w:trHeight w:val="223"/>
        </w:trPr>
        <w:tc>
          <w:tcPr>
            <w:tcW w:w="6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2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0.00 %</w:t>
            </w:r>
          </w:p>
        </w:tc>
        <w:tc>
          <w:tcPr>
            <w:tcW w:w="2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0.00 %</w:t>
            </w: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Warrant Liability</w:t>
      </w:r>
    </w:p>
    <w:p>
      <w:pPr>
        <w:spacing w:after="0" w:line="15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Company’s private warrants and stock purchase warrants are recorded as derivative liabilities pursuant to ASC Topic 815 and are classified within Level 3 of the fair value hierarchy as the Company is using the Black Scholes Option Pricing model to calculate fair value. See Note 9 for additional information. Significant unobservable inputs, prior to the Company’s stock being publicly listed, included stock price, volatility and expected term. At the end of each reporting period, changes in fair value during the period are recognized as components of other income within the condensed consolidated statements of operations. The Company will continue to adjust the warrant liability for changes in fair value until the earlier of (i) the exercise or expiration of the warrants or (ii) the redemption of the warrants, at which time the warrants will be reclassified to additional paid-in capital within the condensed consolidated statements of stockholders’ equity.</w:t>
      </w:r>
    </w:p>
    <w:p>
      <w:pPr>
        <w:spacing w:after="0" w:line="10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warrants issued by Momentus Inc. prior to the Business Combination were exercised in connection with the Business Combination and as a result, the Company performed a fair value measurement of those warrants on the Closing and recorded the change in the instruments’ fair values prior to converting them to equity. The warrants assumed by the Company as a result of the Business Combination remain outstanding.</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Public and Private Warrants</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Prior to the Business Combination, SRAC issued 225,450 private placement warrants (“Private Warrants”) and 172,500 public warrants (“Public Warrants” and, collectively with the Private Warrants, the “Public and Private Warrants”). Each whole warrant entitles the holder to purchase one share of the Company’s Class A common stock at a price of $575.00 per share, subject to adjustments and will expire five years after the Business Combination or earlier upon redemption or liquidation.</w:t>
      </w:r>
    </w:p>
    <w:p>
      <w:pPr>
        <w:spacing w:after="0" w:line="10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Private Warrants do not meet the derivative scope exception and are accounted for as derivative liabilities. Specifically, the Private Warrants contain provisions that cause the settlement amounts to be dependent upon the characteristics of the holder of the warrant which is not an input into the pricing of a fixed-for-fixed option on equity shares. Therefore, the Private Warrants are not considered indexed to the Company’s stock and should be classified as a liability. Since the Private Warrants meet the definition of a derivative, the Company recorded the Private Warrants as liabilities on the condensed consolidated balance sheet at fair value upon the Closing, with subsequent changes in the fair value recognized in the condensed consolidated statements of operations at each reporting date. The fair value of the Private Warrants was measured using the Black-Scholes option-pricing model at each measurement date.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2. Summary of Significant Accounting Policies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addition, the Public Warrants are accounted for as equity classified by the Company. On consummation of the Business Combination, the Company recorded equity related to the Public Warrants of $20.2 million, with an offsetting entry to additional paid-in capital. Similarly, on the consummation of the Business Combination, the Company recorded a liability related to the Private Warrants of $31.2 million, with an offsetting entry to additional paid-in capital.</w:t>
      </w:r>
    </w:p>
    <w:p>
      <w:pPr>
        <w:spacing w:after="0" w:line="8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does not use derivative instruments to hedge exposures to cash flow, market, or foreign currency risks. The Company evaluates all of its financial instruments, including issued stock purchase warrants, to determine if such instruments are derivatives or contain features that qualify as embedded derivatives, pursuant to ASC Topic 815, at the initial recognition.</w:t>
      </w:r>
    </w:p>
    <w:p>
      <w:pPr>
        <w:spacing w:after="0" w:line="10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Other than the Public and Private Warrants noted above, the Company also had other warrants issued and outstanding which were recognized as derivative liabilities in accordance with ASC Topic 815 until they were fully exercised. Accordingly, the Company recognized the warrant instruments as liabilities at fair value and adjusts the instruments to fair value at each reporting period until exercised. The fair value of the warrant liabilities issued were initially measured using the Black-Scholes model and were subsequently remeasured at each reporting period with changes recorded as a component of other income in the Company’s condensed consolidated statements of operations. Derivative warrant liabilities are classified as non-current as their liquidation is not reasonably expected to require the use of current assets or require the creation of current liabilities. See Note 9 for additional information.</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Equity Classified Warrants</w:t>
      </w:r>
    </w:p>
    <w:p>
      <w:pPr>
        <w:spacing w:after="0" w:line="1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Subsequent to the Business Combination, the Company has issued warrants in conjunction with various securities purchase agreements (See Note 9 for additional information). The warrants are freestanding equity-linked instruments that meet the indexation and equity classification criteria of ASC Sub-Topic 815-40.</w:t>
      </w:r>
    </w:p>
    <w:p>
      <w:pPr>
        <w:spacing w:after="0" w:line="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grant-date fair value of these warrants is recorded in additional paid-in capital on the condensed consolidated balance sheets. The fair value of the warrants are measured using the Black-Scholes option-pricing model on the grant date.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Modification of Equity Classified Warrants</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 change in the terms or conditions of a warrant is accounted for as a modification. For a warrant modification accounted for under ASC Topic 815, the effect of a modification shall be measured as the difference between the fair value of the modified warrant and the fair value of the original warrant immediately before its terms are modified, with each measured on the modification date. The accounting for incremental fair value of the modified warrants over the original warrants is based on the specific facts and circumstances related to the modification. When a modification is directly attributable to an equity offering, the incremental change in fair value of the warrants is accounted for as an equity issuance cost. When a modification is directly attributable to a debt offering, the incremental change in fair value of the warrants is accounted for as a debt discount or debt issuance cost. For all other modifications, the incremental change in fair value is recognized as a deemed dividend.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Basic and Diluted Loss Per Share</w:t>
      </w:r>
    </w:p>
    <w:p>
      <w:pPr>
        <w:spacing w:after="0" w:line="15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 xml:space="preserve">Net loss per share is provided in accordance with ASC Sub-Topic 260-10, </w:t>
      </w:r>
      <w:r>
        <w:rPr>
          <w:rFonts w:ascii="Times New Roman" w:cs="Times New Roman" w:eastAsia="Times New Roman" w:hAnsi="Times New Roman"/>
          <w:sz w:val="17"/>
          <w:szCs w:val="17"/>
          <w:i w:val="1"/>
          <w:iCs w:val="1"/>
          <w:color w:val="auto"/>
        </w:rPr>
        <w:t>Earnings per Share</w:t>
      </w:r>
      <w:r>
        <w:rPr>
          <w:rFonts w:ascii="Times New Roman" w:cs="Times New Roman" w:eastAsia="Times New Roman" w:hAnsi="Times New Roman"/>
          <w:sz w:val="17"/>
          <w:szCs w:val="17"/>
          <w:color w:val="auto"/>
        </w:rPr>
        <w:t>. Basic net loss per share is computed by dividing losses by the weighted average number of common shares outstanding during the period. Diluted loss per share gives effect to all dilutive potential common shares outstanding during the period. Diluted loss per share excludes all potential common shares if their effect is anti-dilutive. See Note 11 for additional information.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Impairment of Long-lived Assets</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evaluates the carrying value of long-lived assets, which includes intangible assets, on an annual basis, or more frequently whenever circumstances indicate a long-lived asset may be impaired. When indicators of impairment exist, the Company estimates future undiscounted cash flows attributable to such assets. In the event cash flows are not expected to be sufficient to recover the recorded value of the assets, the assets are written down to their estimated fair value. During the three months ended March 31, 2024 and 2023, there were no impairments of long-lived assets. See Note 4 and Note 5 for additional information.</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2. Summary of Significant Accounting Policies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1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has a stock incentive plan under which equity awards are granted to employees, directors, and consultants. All stock-based payments are recognized in the consolidated interim financial statements based on their respective grant date fair values.</w:t>
      </w:r>
    </w:p>
    <w:p>
      <w:pPr>
        <w:spacing w:after="0" w:line="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Restricted stock unit fair value is based on our closing stock price on the day of the grant. Stock option fair value is determined using the Black Scholes Merton Option Pricing model. The model requires management to make a number of assumptions, including expected volatility of the Company’s stock, expected life of the option, risk-free interest rate, and expected dividends. Employee Stock Purchase Plan (“ESPP”) compensation fair value is also determined using the Black Scholes Merton Option Pricing model, using a six-month expected term to conform with the six month ESPP offering period.</w:t>
      </w:r>
    </w:p>
    <w:p>
      <w:pPr>
        <w:spacing w:after="0" w:line="10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fair value of equity awards is expensed over the related service period which is typically the vesting period, and expense is only recognized for awards that are expected to vest. The Company accounts for forfeitures as they occur.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401(k) Plan</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has a 401(k) plan that it offers to its full-time employees. The Company did not contribute to the plan during the three months ended March 31, 2024 and 2023.</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Costs</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Research and development costs are expensed as incurred. Research and development costs include activities to develop existing and future technologies for the Company’s vehicles. Research and development activities include basic research, applied research, design, development, and related test program activities. Costs incurred for developing our vehicles primarily include equipment, material, and labor hours (both internal and subcontractors).</w:t>
      </w:r>
    </w:p>
    <w:p>
      <w:pPr>
        <w:spacing w:after="0" w:line="10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Nonrefundable advance payments for goods or services that will be used or rendered for future research and development activities related to an executory contractual arrangement are deferred and capitalized. These advance payments are recognized as an expense as the related goods are delivered or services performed. When the related goods are no longer expected to be delivered or services rendered, the capitalized advance payment is charged to expense.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Leases</w:t>
      </w:r>
    </w:p>
    <w:p>
      <w:pPr>
        <w:spacing w:after="0" w:line="1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determines if an arrangement contains a lease at inception based on whether there is an identified property, plant or equipment and whether the Company controls the use of the identified asset throughout the period of use.</w:t>
      </w:r>
    </w:p>
    <w:p>
      <w:pPr>
        <w:spacing w:after="0" w:line="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Operating leases are included in the accompanying condensed consolidated balance sheets. Operating lease right-of-use (“ROU”) assets represent the Company’s right to use an underlying asset for the lease term. Lease liabilities represent the Company’s obligation to make lease payments arising from the lease and are included in current and non-current liabilities. Operating lease ROU assets and lease liabilities are recognized at the lease inception date based on the present value of lease payments over the lease term discounted based on the more readily determinable of (i) the rate implicit in the lease or (ii) the Company’s incremental borrowing rate (which is the estimated rate the Company would be required to pay for a collateralized borrowing equal to the total lease payments over the term of the lease). Because the Company’s operating leases generally do not provide an implicit rate, the Company estimates its incremental borrowing rate based on the information available at lease commencement date for borrowings with a similar term.</w:t>
      </w:r>
    </w:p>
    <w:p>
      <w:pPr>
        <w:spacing w:after="0" w:line="11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Company’s operating lease ROU assets are measured based on the corresponding operating lease liability adjusted for (i) payments made to the lessor at or before the commencement date, (ii) initial direct costs incurred and (iii) tenant incentives under the lease. The Company does not assume renewals or early terminations unless it is reasonably certain to exercise these options at commencement. The Company elected the practical expedient which allows the Company to not allocate consideration between lease and non-lease components. Variable lease payments are recognized in the period in which the obligation for those payments is incurred. In addition, the Company elected the practical expedient such that it does not recognize ROU assets or lease liabilities for leases with a term of 12</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2. Summary of Significant Accounting Policies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months or less of all asset classes. Operating lease expense is recognized on a straight-line basis over the lease term. See Note 6 for additional details on the Company’s leases.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accounts for income taxes in accordance with authoritative guidance, which requires the use of the asset and liability method. Under this method, deferred income tax assets and liabilities are determined based upon the difference between the financial statement carrying amounts and the tax basis of assets and liabilities and are measured using the enacted tax rate expected to apply to taxable income in the years in which the differences are expected to be reversed.</w:t>
      </w:r>
    </w:p>
    <w:p>
      <w:pPr>
        <w:spacing w:after="0" w:line="10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Significant judgment is required in determining any valuation allowance recorded against deferred tax assets. In assessing the need for a valuation allowance, management considers all available evidence, including past operating results, estimates of future taxable income, and the feasibility of tax planning strategies.</w:t>
      </w:r>
    </w:p>
    <w:p>
      <w:pPr>
        <w:spacing w:after="0" w:line="7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 the event that management changes its determination as to the amount of deferred tax assets that can be realized, the Company will adjust its valuation allowance with a corresponding impact to the provision for income taxes in the period in which such determination is made.</w:t>
      </w:r>
    </w:p>
    <w:p>
      <w:pPr>
        <w:spacing w:after="0" w:line="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is required to evaluate the tax positions taken in the course of preparing its tax returns to determine whether tax positions are “more-likely-than-not” of being sustained by the applicable tax authority. Tax benefits of positions not deemed to meet the “more likely than not” threshold would be recorded as a tax expense in the current year. The amount recognized is subject to estimate and management judgment with respect to the likely outcome of each uncertain tax position. The amount that is ultimately sustained for an individual uncertain tax position or for all uncertain tax positions in the aggregate could differ from the amount that is initially recognized.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Concentrations of Risk</w:t>
      </w:r>
    </w:p>
    <w:p>
      <w:pPr>
        <w:spacing w:after="0" w:line="1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Financial instruments that are exposed to concentrations of credit risk consist primarily of cash and cash equivalents. The Company places its cash and cash equivalents in banks that management believes are creditworthy, however deposits may exceed federally insured limits.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Reporting</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 xml:space="preserve">Operating segments are defined as components of an enterprise about which separate financial information is available that is evaluated regularly by the chief operating decision maker in deciding how to allocate resources and in assessing operating performance. In consideration of ASC Topic 280, </w:t>
      </w:r>
      <w:r>
        <w:rPr>
          <w:rFonts w:ascii="Times New Roman" w:cs="Times New Roman" w:eastAsia="Times New Roman" w:hAnsi="Times New Roman"/>
          <w:sz w:val="17"/>
          <w:szCs w:val="17"/>
          <w:i w:val="1"/>
          <w:iCs w:val="1"/>
          <w:color w:val="auto"/>
        </w:rPr>
        <w:t>Segment Reporting</w:t>
      </w:r>
      <w:r>
        <w:rPr>
          <w:rFonts w:ascii="Times New Roman" w:cs="Times New Roman" w:eastAsia="Times New Roman" w:hAnsi="Times New Roman"/>
          <w:sz w:val="17"/>
          <w:szCs w:val="17"/>
          <w:color w:val="auto"/>
        </w:rPr>
        <w:t xml:space="preserve"> (“ASC Topic 480”), we are not organized around specific services or geographic regions.</w:t>
      </w:r>
    </w:p>
    <w:p>
      <w:pPr>
        <w:spacing w:after="0" w:line="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chief operating decision maker “CODM” uses financial information to evaluate our performance, which is the same basis on which our results and performance are communicated to our Board of Directors. All of the Company’s long-lived assets are held domestically in the United States. The company recognized $0.5 million of revenue during the quarter ended March 31, 2024, of which 93.2% was derived domestically and 6.8% was derived from customers domiciled in foreign countries. Based on the information described above and in accordance with the applicable literature, management has concluded that we are organized and operated as one operating and reportable segment.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Recently Issued Accounting Standards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Although there are several new accounting pronouncements issued or proposed by the FASB, which have been adopted or will be adopted as applicable, management does not believe any of these accounting pronouncements has had or will have a material impact on the Company’s financial position or results of operations.</w:t>
      </w:r>
    </w:p>
    <w:p>
      <w:pPr>
        <w:spacing w:after="0" w:line="1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July 2023, the FASB issued Accounting Standards Update (“ASU”) No. 2023-03, Presentation of Financial Statements (Topic 205), Income Statement— Reporting Comprehensive Income (Topic 220), Distinguishing Liabilities from Equity (Topic 480), Equity (Topic 505), and Compensation—Stock Compensation (Topic 718) (“ASU 2023-03”). This update requires (1) disclosure and presentation of income or loss related to common stock transactions on the face of the income statement, (2) modification of the existing classification and measurement of redeemable preferred shares and redeemable equity-classified shares, and (3) modification of accounting treatment</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2. Summary of Significant Accounting Policies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for stock-based compensation. The FASB has not set an effective date on ASU 2023-03 and adoption is permitted. The Company is currently evaluating the impact of the provisions of ASU 2023-03 on its financial statement disclosures.</w:t>
      </w:r>
    </w:p>
    <w:p>
      <w:pPr>
        <w:spacing w:after="0" w:line="7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In October 2023, the FASB issued ASU No. 2023-06, Disclosure Improvements: Codification Amendments in Response to the SEC’s Disclosure Update and Simplification Initiative (“ASU 2023-06”). The amendments in this ASU are expected to clarify or improve disclosure and presentation requirements of a variety of ASC topics by aligning them with the SEC’s regulations. ASU 2023-06 will become effective for each amendment on the effective date of the SEC's corresponding disclosure rule changes. The Company is currently evaluating the impact ASU 2023-06 will have on its results of operations, financial position, or cash flows.</w:t>
      </w:r>
    </w:p>
    <w:p>
      <w:pPr>
        <w:spacing w:after="0" w:line="31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November 2023, the FASB issued ASU No. 2023-07, Segment Reporting (Topic 280): Improvements to Reportable Segment Disclosures (“ASU 2023-07”) to update reportable segment disclosure requirements, primarily through enhanced disclosures about significant segment expenses and information used to assess segment performance. ASU 2023-07 requires disclosure of significant segment expenses that are regularly provided to the CODM and included within the reported measure of a segment’s profit or loss, requires interim disclosures about a reportable segment’s profit or loss and assets that are currently required annually, requires disclosure of the position and title of the CODM, clarifies circumstances in which an entity can disclose multiple segment measures of profit or loss, and contains other disclosure requirements. The disclosures required under ASU 2023-07 are also required for public entities with a single reportable segment. ASU 2023-07 is effective for the fiscal years beginning after December 15, 2023, and for interim periods within those fiscal years beginning after December 15, 2024, with early adoption permitted. The Company does not expect the adoption of ASU 2023-07 to have a material impact on its financial position or results of operations.</w:t>
      </w:r>
    </w:p>
    <w:p>
      <w:pPr>
        <w:spacing w:after="0" w:line="3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December 2023, the FASB issued ASU No. 2023-09, Income Taxes (Topic 740): Improvements to Income Tax Disclosures (“ASU 2023-09”) that addresses requests for improved income tax disclosures from investors that use the financial statements to make capital allocation decisions. Public entities must adopt the new guidance for fiscal years beginning after December 15, 2024. The amendments in ASU 2023-09 must be applied on a retrospective basis to all prior periods presented in the financial statements and early adoption is permitted. The Company is in the process of evaluating the potential impact ASU 2023-09 will have on its results of operations, financial position, or cash flows.</w:t>
      </w:r>
    </w:p>
    <w:p>
      <w:pPr>
        <w:spacing w:after="0" w:line="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On March 21, 2024, the FASB issued ASU 2024-01 which clarifies how an entity determines whether a profits interest or similar award are within the scope of ASC Topic 718 </w:t>
      </w:r>
      <w:r>
        <w:rPr>
          <w:rFonts w:ascii="Times New Roman" w:cs="Times New Roman" w:eastAsia="Times New Roman" w:hAnsi="Times New Roman"/>
          <w:sz w:val="17"/>
          <w:szCs w:val="17"/>
          <w:i w:val="1"/>
          <w:iCs w:val="1"/>
          <w:color w:val="auto"/>
        </w:rPr>
        <w:t>Compensation - Stock Compensation</w:t>
      </w:r>
      <w:r>
        <w:rPr>
          <w:rFonts w:ascii="Times New Roman" w:cs="Times New Roman" w:eastAsia="Times New Roman" w:hAnsi="Times New Roman"/>
          <w:sz w:val="17"/>
          <w:szCs w:val="17"/>
          <w:color w:val="auto"/>
        </w:rPr>
        <w:t xml:space="preserve"> or not a share-based payment arrangement and therefore within the scope of other guidance. The Company is still in the process of evaluating this standard. The amendments of ASU 2024-01 are effective for annual periods beginning after December 15, 2024, and interim periods within those annual periods. For all other entities, the amendments are effective for annual periods beginning after December 15, 2025, and interim periods within those annual periods.</w:t>
      </w:r>
    </w:p>
    <w:p>
      <w:pPr>
        <w:spacing w:after="0" w:line="11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March 29, 2024, the FASB issued ASU 2024-02 which removes references to the Board’s concepts statements from the FASB Accounting Standards Codification. The ASU is part of the Board’s standing project to make “Codification updates for technical corrections such as conforming amendments, clarifications to guidance, simplifications to wording or the structure of guidance, and other minor improvements.” ASU 2024-02 is not expected to have a material impact on the Company.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3. Prepaids and Other Current Assets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Prepaids and other current assets consisted of the following:</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96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38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0" w:type="dxa"/>
            <w:vAlign w:val="bottom"/>
          </w:tcPr>
          <w:p>
            <w:pPr>
              <w:spacing w:after="0"/>
              <w:rPr>
                <w:sz w:val="1"/>
                <w:szCs w:val="1"/>
                <w:color w:val="auto"/>
              </w:rPr>
            </w:pPr>
          </w:p>
        </w:tc>
      </w:tr>
      <w:tr>
        <w:trPr>
          <w:trHeight w:val="206"/>
        </w:trPr>
        <w:tc>
          <w:tcPr>
            <w:tcW w:w="3960" w:type="dxa"/>
            <w:vAlign w:val="bottom"/>
            <w:vMerge w:val="continue"/>
          </w:tcPr>
          <w:p>
            <w:pPr>
              <w:spacing w:after="0"/>
              <w:rPr>
                <w:sz w:val="17"/>
                <w:szCs w:val="17"/>
                <w:color w:val="auto"/>
              </w:rPr>
            </w:pPr>
          </w:p>
        </w:tc>
        <w:tc>
          <w:tcPr>
            <w:tcW w:w="5020" w:type="dxa"/>
            <w:vAlign w:val="bottom"/>
            <w:gridSpan w:val="2"/>
          </w:tcPr>
          <w:p>
            <w:pPr>
              <w:jc w:val="right"/>
              <w:ind w:right="137"/>
              <w:spacing w:after="0"/>
              <w:rPr>
                <w:sz w:val="20"/>
                <w:szCs w:val="20"/>
                <w:color w:val="auto"/>
              </w:rPr>
            </w:pPr>
            <w:r>
              <w:rPr>
                <w:rFonts w:ascii="Times New Roman" w:cs="Times New Roman" w:eastAsia="Times New Roman" w:hAnsi="Times New Roman"/>
                <w:sz w:val="15"/>
                <w:szCs w:val="15"/>
                <w:b w:val="1"/>
                <w:bCs w:val="1"/>
                <w:color w:val="auto"/>
              </w:rPr>
              <w:t>2024</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ind w:right="597"/>
              <w:spacing w:after="0"/>
              <w:rPr>
                <w:sz w:val="20"/>
                <w:szCs w:val="20"/>
                <w:color w:val="auto"/>
              </w:rPr>
            </w:pPr>
            <w:r>
              <w:rPr>
                <w:rFonts w:ascii="Times New Roman" w:cs="Times New Roman" w:eastAsia="Times New Roman" w:hAnsi="Times New Roman"/>
                <w:sz w:val="15"/>
                <w:szCs w:val="15"/>
                <w:b w:val="1"/>
                <w:bCs w:val="1"/>
                <w:color w:val="auto"/>
              </w:rPr>
              <w:t>2023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Prepaid launch costs, current</w:t>
            </w:r>
          </w:p>
        </w:tc>
        <w:tc>
          <w:tcPr>
            <w:tcW w:w="38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1017"/>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Prepaid research and development</w:t>
            </w:r>
          </w:p>
        </w:tc>
        <w:tc>
          <w:tcPr>
            <w:tcW w:w="38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2,377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Prepaid insurance and other assets</w:t>
            </w:r>
          </w:p>
        </w:tc>
        <w:tc>
          <w:tcPr>
            <w:tcW w:w="382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4,847</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9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3820" w:type="dxa"/>
            <w:vAlign w:val="bottom"/>
          </w:tcPr>
          <w:p>
            <w:pPr>
              <w:spacing w:after="0"/>
              <w:rPr>
                <w:sz w:val="18"/>
                <w:szCs w:val="18"/>
                <w:color w:val="auto"/>
              </w:rPr>
            </w:pPr>
          </w:p>
        </w:tc>
        <w:tc>
          <w:tcPr>
            <w:tcW w:w="1200" w:type="dxa"/>
            <w:vAlign w:val="bottom"/>
            <w:tcBorders>
              <w:bottom w:val="single" w:sz="8" w:color="auto"/>
            </w:tcBorders>
          </w:tcPr>
          <w:p>
            <w:pPr>
              <w:jc w:val="right"/>
              <w:ind w:right="1017"/>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7,224</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3820" w:type="dxa"/>
            <w:vAlign w:val="bottom"/>
            <w:vMerge w:val="restart"/>
          </w:tcPr>
          <w:p>
            <w:pPr>
              <w:jc w:val="right"/>
              <w:ind w:right="1998"/>
              <w:spacing w:after="0"/>
              <w:rPr>
                <w:sz w:val="20"/>
                <w:szCs w:val="20"/>
                <w:color w:val="auto"/>
              </w:rPr>
            </w:pPr>
            <w:r>
              <w:rPr>
                <w:rFonts w:ascii="Times New Roman" w:cs="Times New Roman" w:eastAsia="Times New Roman" w:hAnsi="Times New Roman"/>
                <w:sz w:val="17"/>
                <w:szCs w:val="17"/>
                <w:color w:val="auto"/>
              </w:rPr>
              <w:t>19</w:t>
            </w:r>
          </w:p>
        </w:tc>
        <w:tc>
          <w:tcPr>
            <w:tcW w:w="1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1"/>
        </w:trPr>
        <w:tc>
          <w:tcPr>
            <w:tcW w:w="3960" w:type="dxa"/>
            <w:vAlign w:val="bottom"/>
          </w:tcPr>
          <w:p>
            <w:pPr>
              <w:spacing w:after="0"/>
              <w:rPr>
                <w:sz w:val="24"/>
                <w:szCs w:val="24"/>
                <w:color w:val="auto"/>
              </w:rPr>
            </w:pPr>
          </w:p>
        </w:tc>
        <w:tc>
          <w:tcPr>
            <w:tcW w:w="382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960" w:type="dxa"/>
            <w:vAlign w:val="bottom"/>
            <w:tcBorders>
              <w:bottom w:val="single" w:sz="8" w:color="9A9A9A"/>
            </w:tcBorders>
          </w:tcPr>
          <w:p>
            <w:pPr>
              <w:spacing w:after="0"/>
              <w:rPr>
                <w:sz w:val="9"/>
                <w:szCs w:val="9"/>
                <w:color w:val="auto"/>
              </w:rPr>
            </w:pPr>
          </w:p>
        </w:tc>
        <w:tc>
          <w:tcPr>
            <w:tcW w:w="382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3. Prepaids and Other Current Assets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0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As of March 31, 2024 and December 31, 2023, the non-current portion of prepaid launch costs recorded in other non-current assets was approximately $0.4 million and $0.4 million, respectively.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4. Property, Machinery and Equipment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Property, machinery and equipment, net consisted of the following: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78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300" w:type="dxa"/>
            <w:vAlign w:val="bottom"/>
          </w:tcPr>
          <w:p>
            <w:pPr>
              <w:spacing w:after="0"/>
              <w:rPr>
                <w:sz w:val="15"/>
                <w:szCs w:val="15"/>
                <w:color w:val="auto"/>
              </w:rPr>
            </w:pPr>
          </w:p>
        </w:tc>
        <w:tc>
          <w:tcPr>
            <w:tcW w:w="1460" w:type="dxa"/>
            <w:vAlign w:val="bottom"/>
            <w:gridSpan w:val="2"/>
          </w:tcPr>
          <w:p>
            <w:pPr>
              <w:ind w:left="200"/>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240" w:type="dxa"/>
            <w:vAlign w:val="bottom"/>
          </w:tcPr>
          <w:p>
            <w:pPr>
              <w:spacing w:after="0"/>
              <w:rPr>
                <w:sz w:val="15"/>
                <w:szCs w:val="15"/>
                <w:color w:val="auto"/>
              </w:rPr>
            </w:pPr>
          </w:p>
        </w:tc>
        <w:tc>
          <w:tcPr>
            <w:tcW w:w="1440" w:type="dxa"/>
            <w:vAlign w:val="bottom"/>
          </w:tcPr>
          <w:p>
            <w:pPr>
              <w:jc w:val="right"/>
              <w:ind w:right="296"/>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0" w:type="dxa"/>
            <w:vAlign w:val="bottom"/>
          </w:tcPr>
          <w:p>
            <w:pPr>
              <w:spacing w:after="0"/>
              <w:rPr>
                <w:sz w:val="1"/>
                <w:szCs w:val="1"/>
                <w:color w:val="auto"/>
              </w:rPr>
            </w:pPr>
          </w:p>
        </w:tc>
      </w:tr>
      <w:tr>
        <w:trPr>
          <w:trHeight w:val="206"/>
        </w:trPr>
        <w:tc>
          <w:tcPr>
            <w:tcW w:w="7780" w:type="dxa"/>
            <w:vAlign w:val="bottom"/>
            <w:tcBorders>
              <w:bottom w:val="single" w:sz="8" w:color="CCEEFF"/>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5"/>
                <w:szCs w:val="15"/>
                <w:b w:val="1"/>
                <w:bCs w:val="1"/>
                <w:color w:val="auto"/>
              </w:rPr>
              <w:t>2024</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5"/>
                <w:szCs w:val="15"/>
                <w:b w:val="1"/>
                <w:bCs w:val="1"/>
                <w:color w:val="auto"/>
              </w:rPr>
              <w:t>2023</w:t>
            </w:r>
          </w:p>
        </w:tc>
        <w:tc>
          <w:tcPr>
            <w:tcW w:w="0" w:type="dxa"/>
            <w:vAlign w:val="bottom"/>
          </w:tcPr>
          <w:p>
            <w:pPr>
              <w:spacing w:after="0"/>
              <w:rPr>
                <w:sz w:val="1"/>
                <w:szCs w:val="1"/>
                <w:color w:val="auto"/>
              </w:rPr>
            </w:pPr>
          </w:p>
        </w:tc>
      </w:tr>
      <w:tr>
        <w:trPr>
          <w:trHeight w:val="212"/>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Computer equipment</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19"/>
        </w:trPr>
        <w:tc>
          <w:tcPr>
            <w:tcW w:w="7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2,394</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Machinery and equipment</w:t>
            </w:r>
          </w:p>
        </w:tc>
        <w:tc>
          <w:tcPr>
            <w:tcW w:w="3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3,411</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3,411</w:t>
            </w:r>
          </w:p>
        </w:tc>
        <w:tc>
          <w:tcPr>
            <w:tcW w:w="0" w:type="dxa"/>
            <w:vAlign w:val="bottom"/>
          </w:tcPr>
          <w:p>
            <w:pPr>
              <w:spacing w:after="0"/>
              <w:rPr>
                <w:sz w:val="1"/>
                <w:szCs w:val="1"/>
                <w:color w:val="auto"/>
              </w:rPr>
            </w:pPr>
          </w:p>
        </w:tc>
      </w:tr>
      <w:tr>
        <w:trPr>
          <w:trHeight w:val="212"/>
        </w:trPr>
        <w:tc>
          <w:tcPr>
            <w:tcW w:w="77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Property, machinery and equipment, gross</w:t>
            </w: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5,815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5,815</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3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(2,770)</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(2,563)</w:t>
            </w:r>
          </w:p>
        </w:tc>
        <w:tc>
          <w:tcPr>
            <w:tcW w:w="0" w:type="dxa"/>
            <w:vAlign w:val="bottom"/>
          </w:tcPr>
          <w:p>
            <w:pPr>
              <w:spacing w:after="0"/>
              <w:rPr>
                <w:sz w:val="1"/>
                <w:szCs w:val="1"/>
                <w:color w:val="auto"/>
              </w:rPr>
            </w:pPr>
          </w:p>
        </w:tc>
      </w:tr>
      <w:tr>
        <w:trPr>
          <w:trHeight w:val="212"/>
        </w:trPr>
        <w:tc>
          <w:tcPr>
            <w:tcW w:w="77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Property, machinery and equipment, net</w:t>
            </w: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3,045</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3,252</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Depreciation expense related to property, machinery and equipment was $0.2 million and $0.2 million for the three months ended March 31, 2024 and 2023, respectively. Depreciation expense is recorded within operating expenses.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5. Intangible Assets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Intangible assets, net consisted of the following as of March 31, 2024:</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Weighted Average</w:t>
            </w:r>
          </w:p>
        </w:tc>
        <w:tc>
          <w:tcPr>
            <w:tcW w:w="0" w:type="dxa"/>
            <w:vAlign w:val="bottom"/>
          </w:tcPr>
          <w:p>
            <w:pPr>
              <w:spacing w:after="0"/>
              <w:rPr>
                <w:sz w:val="1"/>
                <w:szCs w:val="1"/>
                <w:color w:val="auto"/>
              </w:rPr>
            </w:pPr>
          </w:p>
        </w:tc>
      </w:tr>
      <w:tr>
        <w:trPr>
          <w:trHeight w:val="168"/>
        </w:trPr>
        <w:tc>
          <w:tcPr>
            <w:tcW w:w="380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260" w:type="dxa"/>
            <w:vAlign w:val="bottom"/>
          </w:tcPr>
          <w:p>
            <w:pPr>
              <w:spacing w:after="0"/>
              <w:rPr>
                <w:sz w:val="14"/>
                <w:szCs w:val="14"/>
                <w:color w:val="auto"/>
              </w:rPr>
            </w:pPr>
          </w:p>
        </w:tc>
        <w:tc>
          <w:tcPr>
            <w:tcW w:w="15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Gross Value</w:t>
            </w:r>
          </w:p>
        </w:tc>
        <w:tc>
          <w:tcPr>
            <w:tcW w:w="22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vMerge w:val="restart"/>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Net Value</w:t>
            </w:r>
          </w:p>
        </w:tc>
        <w:tc>
          <w:tcPr>
            <w:tcW w:w="100" w:type="dxa"/>
            <w:vAlign w:val="bottom"/>
          </w:tcPr>
          <w:p>
            <w:pPr>
              <w:spacing w:after="0"/>
              <w:rPr>
                <w:sz w:val="14"/>
                <w:szCs w:val="14"/>
                <w:color w:val="auto"/>
              </w:rPr>
            </w:pPr>
          </w:p>
        </w:tc>
        <w:tc>
          <w:tcPr>
            <w:tcW w:w="2160" w:type="dxa"/>
            <w:vAlign w:val="bottom"/>
          </w:tcPr>
          <w:p>
            <w:pPr>
              <w:jc w:val="center"/>
              <w:spacing w:after="0" w:line="167" w:lineRule="exact"/>
              <w:rPr>
                <w:sz w:val="20"/>
                <w:szCs w:val="20"/>
                <w:color w:val="auto"/>
              </w:rPr>
            </w:pPr>
            <w:r>
              <w:rPr>
                <w:rFonts w:ascii="Times New Roman" w:cs="Times New Roman" w:eastAsia="Times New Roman" w:hAnsi="Times New Roman"/>
                <w:sz w:val="17"/>
                <w:szCs w:val="17"/>
                <w:b w:val="1"/>
                <w:bCs w:val="1"/>
                <w:color w:val="auto"/>
              </w:rPr>
              <w:t>Remaining Amortization</w:t>
            </w:r>
          </w:p>
        </w:tc>
        <w:tc>
          <w:tcPr>
            <w:tcW w:w="0" w:type="dxa"/>
            <w:vAlign w:val="bottom"/>
          </w:tcPr>
          <w:p>
            <w:pPr>
              <w:spacing w:after="0"/>
              <w:rPr>
                <w:sz w:val="1"/>
                <w:szCs w:val="1"/>
                <w:color w:val="auto"/>
              </w:rPr>
            </w:pPr>
          </w:p>
        </w:tc>
      </w:tr>
      <w:tr>
        <w:trPr>
          <w:trHeight w:val="232"/>
        </w:trPr>
        <w:tc>
          <w:tcPr>
            <w:tcW w:w="38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300" w:type="dxa"/>
            <w:vAlign w:val="bottom"/>
          </w:tcPr>
          <w:p>
            <w:pPr>
              <w:spacing w:after="0"/>
              <w:rPr>
                <w:sz w:val="20"/>
                <w:szCs w:val="20"/>
                <w:color w:val="auto"/>
              </w:rPr>
            </w:pPr>
          </w:p>
        </w:tc>
        <w:tc>
          <w:tcPr>
            <w:tcW w:w="13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Period (In Years)</w:t>
            </w:r>
          </w:p>
        </w:tc>
        <w:tc>
          <w:tcPr>
            <w:tcW w:w="0" w:type="dxa"/>
            <w:vAlign w:val="bottom"/>
          </w:tcPr>
          <w:p>
            <w:pPr>
              <w:spacing w:after="0"/>
              <w:rPr>
                <w:sz w:val="1"/>
                <w:szCs w:val="1"/>
                <w:color w:val="auto"/>
              </w:rPr>
            </w:pPr>
          </w:p>
        </w:tc>
      </w:tr>
      <w:tr>
        <w:trPr>
          <w:trHeight w:val="212"/>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Patents/Intellectual Property</w:t>
            </w: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w:t>
            </w:r>
          </w:p>
        </w:tc>
        <w:tc>
          <w:tcPr>
            <w:tcW w:w="10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6.0</w:t>
            </w:r>
          </w:p>
        </w:tc>
        <w:tc>
          <w:tcPr>
            <w:tcW w:w="0" w:type="dxa"/>
            <w:vAlign w:val="bottom"/>
          </w:tcPr>
          <w:p>
            <w:pPr>
              <w:spacing w:after="0"/>
              <w:rPr>
                <w:sz w:val="1"/>
                <w:szCs w:val="1"/>
                <w:color w:val="auto"/>
              </w:rPr>
            </w:pPr>
          </w:p>
        </w:tc>
      </w:tr>
      <w:tr>
        <w:trPr>
          <w:trHeight w:val="212"/>
        </w:trPr>
        <w:tc>
          <w:tcPr>
            <w:tcW w:w="3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(193)</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347</w:t>
            </w: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Intangible assets, net consisted of the following as of December 31, 2023:</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Weighted Average</w:t>
            </w:r>
          </w:p>
        </w:tc>
        <w:tc>
          <w:tcPr>
            <w:tcW w:w="0" w:type="dxa"/>
            <w:vAlign w:val="bottom"/>
          </w:tcPr>
          <w:p>
            <w:pPr>
              <w:spacing w:after="0"/>
              <w:rPr>
                <w:sz w:val="1"/>
                <w:szCs w:val="1"/>
                <w:color w:val="auto"/>
              </w:rPr>
            </w:pPr>
          </w:p>
        </w:tc>
      </w:tr>
      <w:tr>
        <w:trPr>
          <w:trHeight w:val="168"/>
        </w:trPr>
        <w:tc>
          <w:tcPr>
            <w:tcW w:w="380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260" w:type="dxa"/>
            <w:vAlign w:val="bottom"/>
          </w:tcPr>
          <w:p>
            <w:pPr>
              <w:spacing w:after="0"/>
              <w:rPr>
                <w:sz w:val="14"/>
                <w:szCs w:val="14"/>
                <w:color w:val="auto"/>
              </w:rPr>
            </w:pPr>
          </w:p>
        </w:tc>
        <w:tc>
          <w:tcPr>
            <w:tcW w:w="15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Gross Value</w:t>
            </w:r>
          </w:p>
        </w:tc>
        <w:tc>
          <w:tcPr>
            <w:tcW w:w="22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vMerge w:val="restart"/>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Net Value</w:t>
            </w:r>
          </w:p>
        </w:tc>
        <w:tc>
          <w:tcPr>
            <w:tcW w:w="100" w:type="dxa"/>
            <w:vAlign w:val="bottom"/>
          </w:tcPr>
          <w:p>
            <w:pPr>
              <w:spacing w:after="0"/>
              <w:rPr>
                <w:sz w:val="14"/>
                <w:szCs w:val="14"/>
                <w:color w:val="auto"/>
              </w:rPr>
            </w:pPr>
          </w:p>
        </w:tc>
        <w:tc>
          <w:tcPr>
            <w:tcW w:w="2160" w:type="dxa"/>
            <w:vAlign w:val="bottom"/>
          </w:tcPr>
          <w:p>
            <w:pPr>
              <w:jc w:val="center"/>
              <w:spacing w:after="0" w:line="167" w:lineRule="exact"/>
              <w:rPr>
                <w:sz w:val="20"/>
                <w:szCs w:val="20"/>
                <w:color w:val="auto"/>
              </w:rPr>
            </w:pPr>
            <w:r>
              <w:rPr>
                <w:rFonts w:ascii="Times New Roman" w:cs="Times New Roman" w:eastAsia="Times New Roman" w:hAnsi="Times New Roman"/>
                <w:sz w:val="17"/>
                <w:szCs w:val="17"/>
                <w:b w:val="1"/>
                <w:bCs w:val="1"/>
                <w:color w:val="auto"/>
              </w:rPr>
              <w:t>Remaining Amortization</w:t>
            </w:r>
          </w:p>
        </w:tc>
        <w:tc>
          <w:tcPr>
            <w:tcW w:w="0" w:type="dxa"/>
            <w:vAlign w:val="bottom"/>
          </w:tcPr>
          <w:p>
            <w:pPr>
              <w:spacing w:after="0"/>
              <w:rPr>
                <w:sz w:val="1"/>
                <w:szCs w:val="1"/>
                <w:color w:val="auto"/>
              </w:rPr>
            </w:pPr>
          </w:p>
        </w:tc>
      </w:tr>
      <w:tr>
        <w:trPr>
          <w:trHeight w:val="232"/>
        </w:trPr>
        <w:tc>
          <w:tcPr>
            <w:tcW w:w="38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300" w:type="dxa"/>
            <w:vAlign w:val="bottom"/>
          </w:tcPr>
          <w:p>
            <w:pPr>
              <w:spacing w:after="0"/>
              <w:rPr>
                <w:sz w:val="20"/>
                <w:szCs w:val="20"/>
                <w:color w:val="auto"/>
              </w:rPr>
            </w:pPr>
          </w:p>
        </w:tc>
        <w:tc>
          <w:tcPr>
            <w:tcW w:w="13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Period (In Years)</w:t>
            </w:r>
          </w:p>
        </w:tc>
        <w:tc>
          <w:tcPr>
            <w:tcW w:w="0" w:type="dxa"/>
            <w:vAlign w:val="bottom"/>
          </w:tcPr>
          <w:p>
            <w:pPr>
              <w:spacing w:after="0"/>
              <w:rPr>
                <w:sz w:val="1"/>
                <w:szCs w:val="1"/>
                <w:color w:val="auto"/>
              </w:rPr>
            </w:pPr>
          </w:p>
        </w:tc>
      </w:tr>
      <w:tr>
        <w:trPr>
          <w:trHeight w:val="212"/>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Patents/Intellectual Property</w:t>
            </w: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w:t>
            </w:r>
          </w:p>
        </w:tc>
        <w:tc>
          <w:tcPr>
            <w:tcW w:w="10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6.3</w:t>
            </w:r>
          </w:p>
        </w:tc>
        <w:tc>
          <w:tcPr>
            <w:tcW w:w="0" w:type="dxa"/>
            <w:vAlign w:val="bottom"/>
          </w:tcPr>
          <w:p>
            <w:pPr>
              <w:spacing w:after="0"/>
              <w:rPr>
                <w:sz w:val="1"/>
                <w:szCs w:val="1"/>
                <w:color w:val="auto"/>
              </w:rPr>
            </w:pPr>
          </w:p>
        </w:tc>
      </w:tr>
      <w:tr>
        <w:trPr>
          <w:trHeight w:val="212"/>
        </w:trPr>
        <w:tc>
          <w:tcPr>
            <w:tcW w:w="3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519</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341</w:t>
            </w: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Amortization expense related to intangible assets was $15 thousand and $13 thousand for the three months ended March 31, 2024 and 2023, respectively.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March 31, 2024, the future estimated amortization expense related to intangible assets is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44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6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2024</w:t>
            </w:r>
          </w:p>
        </w:tc>
        <w:tc>
          <w:tcPr>
            <w:tcW w:w="6860" w:type="dxa"/>
            <w:vAlign w:val="bottom"/>
            <w:gridSpan w:val="2"/>
            <w:shd w:val="clear" w:color="auto" w:fill="CCEEFF"/>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0" w:type="dxa"/>
            <w:vAlign w:val="bottom"/>
          </w:tcPr>
          <w:p>
            <w:pPr>
              <w:spacing w:after="0"/>
              <w:rPr>
                <w:sz w:val="1"/>
                <w:szCs w:val="1"/>
                <w:color w:val="auto"/>
              </w:rPr>
            </w:pPr>
          </w:p>
        </w:tc>
      </w:tr>
      <w:tr>
        <w:trPr>
          <w:trHeight w:val="219"/>
        </w:trPr>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6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0" w:type="dxa"/>
            <w:vAlign w:val="bottom"/>
          </w:tcPr>
          <w:p>
            <w:pPr>
              <w:spacing w:after="0"/>
              <w:rPr>
                <w:sz w:val="1"/>
                <w:szCs w:val="1"/>
                <w:color w:val="auto"/>
              </w:rPr>
            </w:pPr>
          </w:p>
        </w:tc>
      </w:tr>
      <w:tr>
        <w:trPr>
          <w:trHeight w:val="219"/>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6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0" w:type="dxa"/>
            <w:vAlign w:val="bottom"/>
          </w:tcPr>
          <w:p>
            <w:pPr>
              <w:spacing w:after="0"/>
              <w:rPr>
                <w:sz w:val="1"/>
                <w:szCs w:val="1"/>
                <w:color w:val="auto"/>
              </w:rPr>
            </w:pPr>
          </w:p>
        </w:tc>
      </w:tr>
      <w:tr>
        <w:trPr>
          <w:trHeight w:val="219"/>
        </w:trPr>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6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0" w:type="dxa"/>
            <w:vAlign w:val="bottom"/>
          </w:tcPr>
          <w:p>
            <w:pPr>
              <w:spacing w:after="0"/>
              <w:rPr>
                <w:sz w:val="1"/>
                <w:szCs w:val="1"/>
                <w:color w:val="auto"/>
              </w:rPr>
            </w:pPr>
          </w:p>
        </w:tc>
      </w:tr>
      <w:tr>
        <w:trPr>
          <w:trHeight w:val="219"/>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6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0" w:type="dxa"/>
            <w:vAlign w:val="bottom"/>
          </w:tcPr>
          <w:p>
            <w:pPr>
              <w:spacing w:after="0"/>
              <w:rPr>
                <w:sz w:val="1"/>
                <w:szCs w:val="1"/>
                <w:color w:val="auto"/>
              </w:rPr>
            </w:pPr>
          </w:p>
        </w:tc>
      </w:tr>
      <w:tr>
        <w:trPr>
          <w:trHeight w:val="219"/>
        </w:trPr>
        <w:tc>
          <w:tcPr>
            <w:tcW w:w="3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61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0" w:type="dxa"/>
            <w:vAlign w:val="bottom"/>
          </w:tcPr>
          <w:p>
            <w:pPr>
              <w:spacing w:after="0"/>
              <w:rPr>
                <w:sz w:val="1"/>
                <w:szCs w:val="1"/>
                <w:color w:val="auto"/>
              </w:rPr>
            </w:pPr>
          </w:p>
        </w:tc>
      </w:tr>
      <w:tr>
        <w:trPr>
          <w:trHeight w:val="237"/>
        </w:trPr>
        <w:tc>
          <w:tcPr>
            <w:tcW w:w="3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6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6120" w:type="dxa"/>
            <w:vAlign w:val="bottom"/>
            <w:tcBorders>
              <w:top w:val="single" w:sz="8" w:color="CCEEFF"/>
              <w:bottom w:val="single" w:sz="8" w:color="CCEEFF"/>
            </w:tcBorders>
            <w:vMerge w:val="restart"/>
          </w:tcPr>
          <w:p>
            <w:pPr>
              <w:jc w:val="right"/>
              <w:ind w:right="3774"/>
              <w:spacing w:after="0"/>
              <w:rPr>
                <w:sz w:val="20"/>
                <w:szCs w:val="20"/>
                <w:color w:val="auto"/>
              </w:rPr>
            </w:pPr>
            <w:r>
              <w:rPr>
                <w:rFonts w:ascii="Times New Roman" w:cs="Times New Roman" w:eastAsia="Times New Roman" w:hAnsi="Times New Roman"/>
                <w:sz w:val="17"/>
                <w:szCs w:val="17"/>
                <w:color w:val="auto"/>
              </w:rPr>
              <w:t>20</w:t>
            </w: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8"/>
        </w:trPr>
        <w:tc>
          <w:tcPr>
            <w:tcW w:w="3440" w:type="dxa"/>
            <w:vAlign w:val="bottom"/>
          </w:tcPr>
          <w:p>
            <w:pPr>
              <w:spacing w:after="0"/>
              <w:rPr>
                <w:sz w:val="24"/>
                <w:szCs w:val="24"/>
                <w:color w:val="auto"/>
              </w:rPr>
            </w:pPr>
          </w:p>
        </w:tc>
        <w:tc>
          <w:tcPr>
            <w:tcW w:w="612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440" w:type="dxa"/>
            <w:vAlign w:val="bottom"/>
            <w:tcBorders>
              <w:bottom w:val="single" w:sz="8" w:color="9A9A9A"/>
            </w:tcBorders>
          </w:tcPr>
          <w:p>
            <w:pPr>
              <w:spacing w:after="0"/>
              <w:rPr>
                <w:sz w:val="9"/>
                <w:szCs w:val="9"/>
                <w:color w:val="auto"/>
              </w:rPr>
            </w:pPr>
          </w:p>
        </w:tc>
        <w:tc>
          <w:tcPr>
            <w:tcW w:w="612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0" w:name="page21"/>
    <w:bookmarkEnd w:id="20"/>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6. Leases</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leases office space under non-cancellable operating leases. In January 2021, the Company commenced a lease in San Jose, California. The lease expires in February 2028. The Company is obligated to pay approximately $10.5 million over the term of the lease.</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00" w:type="dxa"/>
            <w:vAlign w:val="bottom"/>
          </w:tcPr>
          <w:p>
            <w:pPr>
              <w:spacing w:after="0"/>
              <w:rPr>
                <w:sz w:val="20"/>
                <w:szCs w:val="20"/>
                <w:color w:val="auto"/>
              </w:rPr>
            </w:pPr>
            <w:r>
              <w:rPr>
                <w:rFonts w:ascii="Times New Roman" w:cs="Times New Roman" w:eastAsia="Times New Roman" w:hAnsi="Times New Roman"/>
                <w:sz w:val="17"/>
                <w:szCs w:val="17"/>
                <w:color w:val="auto"/>
              </w:rPr>
              <w:t>The components of operating lease expense were as follows:</w:t>
            </w:r>
          </w:p>
        </w:tc>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386"/>
        </w:trPr>
        <w:tc>
          <w:tcPr>
            <w:tcW w:w="77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4"/>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r>
      <w:tr>
        <w:trPr>
          <w:trHeight w:val="212"/>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2"/>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cost</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w:t>
            </w:r>
          </w:p>
        </w:tc>
      </w:tr>
      <w:tr>
        <w:trPr>
          <w:trHeight w:val="219"/>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Variable lease expense</w:t>
            </w: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w:t>
            </w:r>
          </w:p>
        </w:tc>
      </w:tr>
      <w:tr>
        <w:trPr>
          <w:trHeight w:val="237"/>
        </w:trPr>
        <w:tc>
          <w:tcPr>
            <w:tcW w:w="7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lease expense</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Variable lease expense consists of the Company’s proportionate share of operating expenses, property taxes, and insurance.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March 31, 2024, the weighted-average remaining lease term was 3.9 years and the weighted-average discount rate was 5.6%.</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80" w:type="dxa"/>
            <w:vAlign w:val="bottom"/>
          </w:tcPr>
          <w:p>
            <w:pPr>
              <w:spacing w:after="0"/>
              <w:rPr>
                <w:sz w:val="20"/>
                <w:szCs w:val="20"/>
                <w:color w:val="auto"/>
              </w:rPr>
            </w:pPr>
            <w:r>
              <w:rPr>
                <w:rFonts w:ascii="Times New Roman" w:cs="Times New Roman" w:eastAsia="Times New Roman" w:hAnsi="Times New Roman"/>
                <w:sz w:val="17"/>
                <w:szCs w:val="17"/>
                <w:color w:val="auto"/>
              </w:rPr>
              <w:t>As of March 31, 2024, the maturities of the Company’s operating lease liabilities were as follows:</w:t>
            </w:r>
          </w:p>
        </w:tc>
        <w:tc>
          <w:tcPr>
            <w:tcW w:w="1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3"/>
        </w:trPr>
        <w:tc>
          <w:tcPr>
            <w:tcW w:w="778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2024</w:t>
            </w:r>
          </w:p>
        </w:tc>
        <w:tc>
          <w:tcPr>
            <w:tcW w:w="1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1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1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7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lease payments</w:t>
            </w:r>
          </w:p>
        </w:tc>
        <w:tc>
          <w:tcPr>
            <w:tcW w:w="1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Imputed interest</w:t>
            </w:r>
          </w:p>
        </w:tc>
        <w:tc>
          <w:tcPr>
            <w:tcW w:w="1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(691)</w:t>
            </w:r>
          </w:p>
        </w:tc>
        <w:tc>
          <w:tcPr>
            <w:tcW w:w="0" w:type="dxa"/>
            <w:vAlign w:val="bottom"/>
          </w:tcPr>
          <w:p>
            <w:pPr>
              <w:spacing w:after="0"/>
              <w:rPr>
                <w:sz w:val="1"/>
                <w:szCs w:val="1"/>
                <w:color w:val="auto"/>
              </w:rPr>
            </w:pPr>
          </w:p>
        </w:tc>
      </w:tr>
      <w:tr>
        <w:trPr>
          <w:trHeight w:val="212"/>
        </w:trPr>
        <w:tc>
          <w:tcPr>
            <w:tcW w:w="77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Present value of lease liabilities</w:t>
            </w:r>
          </w:p>
        </w:tc>
        <w:tc>
          <w:tcPr>
            <w:tcW w:w="1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5,821</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Note 7. Accrued Liabilities</w:t>
            </w:r>
          </w:p>
        </w:tc>
        <w:tc>
          <w:tcPr>
            <w:tcW w:w="1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5"/>
        </w:trPr>
        <w:tc>
          <w:tcPr>
            <w:tcW w:w="778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7780" w:type="dxa"/>
            <w:vAlign w:val="bottom"/>
          </w:tcPr>
          <w:p>
            <w:pPr>
              <w:spacing w:after="0"/>
              <w:rPr>
                <w:sz w:val="20"/>
                <w:szCs w:val="20"/>
                <w:color w:val="auto"/>
              </w:rPr>
            </w:pPr>
            <w:r>
              <w:rPr>
                <w:rFonts w:ascii="Times New Roman" w:cs="Times New Roman" w:eastAsia="Times New Roman" w:hAnsi="Times New Roman"/>
                <w:sz w:val="17"/>
                <w:szCs w:val="17"/>
                <w:color w:val="auto"/>
              </w:rPr>
              <w:t>Accrued expenses consisted of the following:</w:t>
            </w: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778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0" w:type="dxa"/>
            <w:vAlign w:val="bottom"/>
          </w:tcPr>
          <w:p>
            <w:pPr>
              <w:spacing w:after="0"/>
              <w:rPr>
                <w:sz w:val="1"/>
                <w:szCs w:val="1"/>
                <w:color w:val="auto"/>
              </w:rPr>
            </w:pPr>
          </w:p>
        </w:tc>
      </w:tr>
      <w:tr>
        <w:trPr>
          <w:trHeight w:val="206"/>
        </w:trPr>
        <w:tc>
          <w:tcPr>
            <w:tcW w:w="7780" w:type="dxa"/>
            <w:vAlign w:val="bottom"/>
            <w:tcBorders>
              <w:bottom w:val="single" w:sz="8" w:color="CCEEFF"/>
            </w:tcBorders>
            <w:vMerge w:val="continue"/>
          </w:tcPr>
          <w:p>
            <w:pPr>
              <w:spacing w:after="0"/>
              <w:rPr>
                <w:sz w:val="17"/>
                <w:szCs w:val="17"/>
                <w:color w:val="auto"/>
              </w:rPr>
            </w:pPr>
          </w:p>
        </w:tc>
        <w:tc>
          <w:tcPr>
            <w:tcW w:w="120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5"/>
                <w:szCs w:val="15"/>
                <w:b w:val="1"/>
                <w:bCs w:val="1"/>
                <w:color w:val="auto"/>
              </w:rPr>
              <w:t>2024</w:t>
            </w:r>
          </w:p>
        </w:tc>
        <w:tc>
          <w:tcPr>
            <w:tcW w:w="4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5"/>
                <w:szCs w:val="15"/>
                <w:b w:val="1"/>
                <w:bCs w:val="1"/>
                <w:color w:val="auto"/>
              </w:rPr>
              <w:t>2023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Legal and other professional services</w:t>
            </w:r>
          </w:p>
        </w:tc>
        <w:tc>
          <w:tcPr>
            <w:tcW w:w="1200" w:type="dxa"/>
            <w:vAlign w:val="bottom"/>
            <w:shd w:val="clear" w:color="auto" w:fill="CCEEFF"/>
          </w:tcPr>
          <w:p>
            <w:pPr>
              <w:jc w:val="right"/>
              <w:ind w:right="1018"/>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3,679</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Compensation expense</w:t>
            </w:r>
          </w:p>
        </w:tc>
        <w:tc>
          <w:tcPr>
            <w:tcW w:w="1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 projects</w:t>
            </w:r>
          </w:p>
        </w:tc>
        <w:tc>
          <w:tcPr>
            <w:tcW w:w="12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accrued liabilities</w:t>
            </w:r>
          </w:p>
        </w:tc>
        <w:tc>
          <w:tcPr>
            <w:tcW w:w="12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431</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1200" w:type="dxa"/>
            <w:vAlign w:val="bottom"/>
            <w:tcBorders>
              <w:bottom w:val="single" w:sz="8" w:color="auto"/>
            </w:tcBorders>
            <w:shd w:val="clear" w:color="auto" w:fill="CCEEFF"/>
          </w:tcPr>
          <w:p>
            <w:pPr>
              <w:jc w:val="right"/>
              <w:ind w:right="1018"/>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4,458</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8. Loan Payable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Term Loan</w:t>
      </w:r>
    </w:p>
    <w:p>
      <w:pPr>
        <w:spacing w:after="0" w:line="1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February 22, 2021, the Company entered into a Term Loan and Security Agreement (the “Term Loan”) which provided the Company with up to $40.0 million in borrowing capacity at an annual interest rate of 12%. The company borrowed $25.0 million of the Term Loan at inception of the agreement on March 1, 2021. The remaining $15.0 million of borrowing capacity is no longer available as the Company did not achieve certain milestones by the June 30, 2021 deadline. The repayment terms of the Term Loan provide for interest-only payments from March 1, 2021 through February 28, 2022.</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8. Loan Payable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Under the original terms, the principal amount was due and payable on March 1, 2022. However, during January 2022 the Company exercised its option to pay back the principal amount of the Term Loan over two years beginning on March 1, 2022 and ending on February 28, 2024.</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allocated the proceeds from the Term Loan agreement to the note and warrants issued in conjunction with the Term Loan comprising the financing agreement based on the relative fair value of the individual securities on the February 22, 2021 closing date of the agreements. The discount attributable to the note, an aggregate of $15.8 million, primarily related to the value of the warrant liability with immaterial issuance costs, is amortized using the effective interest method over the term of the note, originally maturing on March 1, 2022, but now being repaid over two years, recorded as interest expense. Because the discount on the note exceeds 63% of its initial face value, and because the discount is amortized over the period from issuance to maturity, the calculated effective interest rate up until January 2022 was 126.0%.</w:t>
      </w:r>
    </w:p>
    <w:p>
      <w:pPr>
        <w:spacing w:after="0" w:line="10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As a result of the exercised extended repayment schedule, the unamortized discount and issuance costs were recast over the updated term of the loan and resulted in a recalculated effective interest rate of 28.2%. Interest expense amortization was $45.7 thousand and $0.5 million, for the three months ended March 31, 2024 and 2023, respectively.</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the three months ended March 31, 2024, the Company repaid the remaining principal balance of the Term Loan.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9. Stockholders' Equity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Common Stock and Preferred Stock</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Effective August 22, 2023, the Company’s stockholders approved a 1-for-50 reverse stock split of the Company’s Class A common stock. As a result of the reverse stock split, every 50 shares of Class A common stock issued and outstanding on August 22, 2023, were automatically combined into one share of Class A common stock. Any fractional shares resulting from the reverse stock split were rounded up to the next nearest whole share of Class A common stock.</w:t>
      </w:r>
    </w:p>
    <w:p>
      <w:pPr>
        <w:spacing w:after="0" w:line="10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To effectuate the reverse stock split, the Company filed a certificate of amendment to the Second Amended and Restated Certificate of Incorporation. As a result of the reverse stock split, there was no change to par value and the total number of authorized shares of Class A common stock.</w:t>
      </w:r>
    </w:p>
    <w:p>
      <w:pPr>
        <w:spacing w:after="0" w:line="7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Pursuant to the terms of the Second Amended and Restated Certificate of Incorporation, as amended, the Company is authorized and has available a total of 274,312,500 shares of stock, consisting of (i) 250,000,000 shares of Class A common stock, par value $0.00001 per share, (ii) 4,312,500 shares of Class B common stock, par value $0.00001 per share, and (iii) 20,000,000 shares of preferred stock, par value $0.00001 per share.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March 2024 Securities Purchase Agreement</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March 4, 2024, the Company entered into a Securities Purchase Agreement, with an investor, pursuant to which the Company issued and sold to the investor in a registered direct offering (the “March Offering”), (i) an aggregate of 1,320,000 shares of the Company’s Class A common stock at a purchase price of $0.87 per share, and (ii) pre-funded warrants (the “March Pre-Funded Warrants”) to purchase an aggregate of 3,304,280 shares of the Company’s Class A common stock and (iii) warrants to purchase 4,624,280 shares of Class A Stock (“March Warrants”).</w:t>
      </w:r>
    </w:p>
    <w:p>
      <w:pPr>
        <w:spacing w:after="0" w:line="9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purchase price of each March Pre-Funded Warrant was equal to the price per share of Class A common stock being sold in the March Offering minus $0.00001. The March Pre-Funded Warrants have an exercise price of $0.00001 per share and are exercisable any time after the issuance, and will not expire until exercised. The March Warrants have an exercise price per share of Class A common stock equal to $0.74 per share and will expire five years from the date of issuance. The offering closed on March 7, 2024.</w:t>
      </w:r>
    </w:p>
    <w:p>
      <w:pPr>
        <w:spacing w:after="0" w:line="10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received aggregate gross proceeds from the March Offering of approximately $4.0 million, before deducting estimated issuance costs of $0.5 million. Net proceeds of $3.5 million from the March Offering was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9. Stockholders' Equity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recorded to additional paid-in-capital. Both the March Pre-Funded Warrants and the March Warrants meet the requirements for equity classification.</w:t>
      </w:r>
    </w:p>
    <w:p>
      <w:pPr>
        <w:spacing w:after="0" w:line="1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estimated the fair value of the March Pre-Funded Warrants based on the fair value of the Company’s Class A common stock from the issuance date, less the $0.00001 exercise price. The Company estimated the fair value of the March Warrants using the Black-Scholes valuation model. The significant inputs into the Black-Scholes valuation model at the initial recognition date are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Warrant term (years)</w:t>
            </w:r>
          </w:p>
        </w:tc>
        <w:tc>
          <w:tcPr>
            <w:tcW w:w="5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r>
      <w:tr>
        <w:trPr>
          <w:trHeight w:val="219"/>
        </w:trPr>
        <w:tc>
          <w:tcPr>
            <w:tcW w:w="6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5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97.50 %</w:t>
            </w:r>
          </w:p>
        </w:tc>
      </w:tr>
      <w:tr>
        <w:trPr>
          <w:trHeight w:val="21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rate</w:t>
            </w:r>
          </w:p>
        </w:tc>
        <w:tc>
          <w:tcPr>
            <w:tcW w:w="5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4.07 %</w:t>
            </w:r>
          </w:p>
        </w:tc>
      </w:tr>
      <w:tr>
        <w:trPr>
          <w:trHeight w:val="223"/>
        </w:trPr>
        <w:tc>
          <w:tcPr>
            <w:tcW w:w="6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5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r>
    </w:tbl>
    <w:p>
      <w:pPr>
        <w:spacing w:after="0" w:line="19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connection with the March Offering, the Company also agreed to amend the January Warrants to purchase up to an aggregate of 3,687,000 shares of Class A common stock at an exercise price of $0.96 per share (the “January Modified Warrants”). Prior to amendment, the January Modified Warrants have a termination date of January 17, 2029. Upon shareholder approved amendment, the January Modified Warrants will have a reduced exercise price of $0.74 per share and a termination date of June 28, 2029.</w:t>
      </w:r>
    </w:p>
    <w:p>
      <w:pPr>
        <w:spacing w:after="0" w:line="1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estimated the fair value of the January Modified Warrants immediately before and after modification using the Black-Scholes valuation model and determined an incremental increase in fair value of approximately $0.1 million. In accordance with ASC Topic 815 guidance on equity classified warrant modifications, the incremental change in fair value of the January Modified Warrants was accounted for as an additional equity issuance cost for the January Offering, which was recorded to additional paid-in-capital. The significant inputs into the Black-Scholes valuation model before and after the modification date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440" w:type="dxa"/>
            <w:vAlign w:val="bottom"/>
            <w:shd w:val="clear" w:color="auto" w:fill="CCEEFF"/>
          </w:tcPr>
          <w:p>
            <w:pPr>
              <w:spacing w:after="0"/>
              <w:rPr>
                <w:sz w:val="19"/>
                <w:szCs w:val="19"/>
                <w:color w:val="auto"/>
              </w:rPr>
            </w:pPr>
          </w:p>
        </w:tc>
        <w:tc>
          <w:tcPr>
            <w:tcW w:w="4880" w:type="dxa"/>
            <w:vAlign w:val="bottom"/>
            <w:shd w:val="clear" w:color="auto" w:fill="CCEEFF"/>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Pre Modification</w:t>
            </w:r>
          </w:p>
        </w:tc>
        <w:tc>
          <w:tcPr>
            <w:tcW w:w="192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Post Modification</w:t>
            </w:r>
          </w:p>
        </w:tc>
      </w:tr>
      <w:tr>
        <w:trPr>
          <w:trHeight w:val="219"/>
        </w:trPr>
        <w:tc>
          <w:tcPr>
            <w:tcW w:w="4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Warrant term (years)</w:t>
            </w:r>
          </w:p>
        </w:tc>
        <w:tc>
          <w:tcPr>
            <w:tcW w:w="48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4.87</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w:t>
            </w:r>
          </w:p>
        </w:tc>
      </w:tr>
      <w:tr>
        <w:trPr>
          <w:trHeight w:val="21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48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95.00 %</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95.00 %</w:t>
            </w:r>
          </w:p>
        </w:tc>
      </w:tr>
      <w:tr>
        <w:trPr>
          <w:trHeight w:val="219"/>
        </w:trPr>
        <w:tc>
          <w:tcPr>
            <w:tcW w:w="4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Risk-free rate</w:t>
            </w:r>
          </w:p>
        </w:tc>
        <w:tc>
          <w:tcPr>
            <w:tcW w:w="48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4.22 %</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4.21 %</w:t>
            </w:r>
          </w:p>
        </w:tc>
      </w:tr>
      <w:tr>
        <w:trPr>
          <w:trHeight w:val="21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48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 %</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r>
    </w:tbl>
    <w:p>
      <w:pPr>
        <w:spacing w:after="0" w:line="20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Subsequent to the March Offering, during the three months ended March 31, 2024, the Company issued 3,304,280 shares of Class A common stock as a result of all of the March Pre-Funded Warrants being exercised and the Company received an immaterial amount of cash proceeds.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January 2024 Securities Purchase Agreement</w:t>
      </w:r>
    </w:p>
    <w:p>
      <w:pPr>
        <w:spacing w:after="0" w:line="1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January 12, 2024, the Company entered into a Securities Purchase Agreement, with an investor, pursuant to which the Company issued and sold to the investor in a registered direct offering (the “January Offering”), (i) an aggregate of 900,000 shares of the Company’s Class A common stock at a purchase price of $1.09 per share, (ii) pre-funded warrants (the “January Pre-Funded Warrants”) to purchase an aggregate of 2,787,000 shares of the Company’s Class A common stock and (iii) warrants to purchase 3,687,000 shares of Class A common stock (the “January Warrants”).</w:t>
      </w:r>
    </w:p>
    <w:p>
      <w:pPr>
        <w:spacing w:after="0" w:line="10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purchase price of each January Pre-Funded Warrant was equal to the price per share of Class A common stock being sold in the January Offering minus $0.00001. The January Pre-Funded Warrants have an exercise price of $0.00001 per share and are exercisable any time after the issuance, and will not expire until exercised. The January Warrants have an exercise price per share of Class A common stock equal to $0.96 per share and will expire five years from the date of issuance. The offering closed on January 17, 2024.</w:t>
      </w:r>
    </w:p>
    <w:p>
      <w:pPr>
        <w:spacing w:after="0" w:line="10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received aggregate gross proceeds from the January Offering of approximately $4.0 million, before deducting estimated issuance costs of $0.4 million. Net proceeds of $3.6 million from the January Offering was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9. Stockholders' Equity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recorded to additional paid-in-capital. Both the January Pre-Funded Warrants and the January Warrants meet the requirements for equity classification.</w:t>
      </w:r>
    </w:p>
    <w:p>
      <w:pPr>
        <w:spacing w:after="0" w:line="1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estimated the fair value of the January Pre-Funded Warrants based on the fair value of the Company’s Class A common stock on the issuance date, less the $0.00001 exercise price. The Company estimated the fair value of the January Warrants using the Black-Scholes valuation model. The significant inputs into the Black-Scholes valuation model at the initial recognition date are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Warrant term (years)</w:t>
            </w:r>
          </w:p>
        </w:tc>
        <w:tc>
          <w:tcPr>
            <w:tcW w:w="5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r>
      <w:tr>
        <w:trPr>
          <w:trHeight w:val="219"/>
        </w:trPr>
        <w:tc>
          <w:tcPr>
            <w:tcW w:w="6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5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97.50 %</w:t>
            </w:r>
          </w:p>
        </w:tc>
      </w:tr>
      <w:tr>
        <w:trPr>
          <w:trHeight w:val="21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rate</w:t>
            </w:r>
          </w:p>
        </w:tc>
        <w:tc>
          <w:tcPr>
            <w:tcW w:w="5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4.02 %</w:t>
            </w:r>
          </w:p>
        </w:tc>
      </w:tr>
      <w:tr>
        <w:trPr>
          <w:trHeight w:val="223"/>
        </w:trPr>
        <w:tc>
          <w:tcPr>
            <w:tcW w:w="6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5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r>
    </w:tbl>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connection with the January Offering, the Company also agreed, subject to certain conditions and procedures, to amend each of the warrants issued in November 2023 to purchase up to an aggregate of 5,808,538 shares of Class A common stock at an exercise price of $3.86 per share (the “November Modified Warrants”). Prior to amendment, the November Modified Warrants had a termination date of November 9, 2028. The shareholder approval for the amendment of November Modified Warrants was not received triggering the Minimum Price as defined by the Nasdaq Rule 5635 (d). Based on the rule, November Modified Warrants will have a reduced exercise price of $0.54 per share and a termination date of May 9, 2029.</w:t>
      </w:r>
    </w:p>
    <w:p>
      <w:pPr>
        <w:spacing w:after="0" w:line="1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estimated the fair value of the November Modified Warrants immediately before and after modification using the Black-Scholes valuation model and determined an incremental increase in fair value of approximately $1.2 million. In accordance with ASC Topic 815 guidance on equity classified warrant modifications, the incremental change in fair value of the November Modified Warrants was accounted for as an additional equity issuance cost for the January Offering, which was recorded to additional paid-in-capital. The significant inputs into the Black-Scholes valuation model before and after the modification date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440" w:type="dxa"/>
            <w:vAlign w:val="bottom"/>
            <w:shd w:val="clear" w:color="auto" w:fill="CCEEFF"/>
          </w:tcPr>
          <w:p>
            <w:pPr>
              <w:spacing w:after="0"/>
              <w:rPr>
                <w:sz w:val="19"/>
                <w:szCs w:val="19"/>
                <w:color w:val="auto"/>
              </w:rPr>
            </w:pPr>
          </w:p>
        </w:tc>
        <w:tc>
          <w:tcPr>
            <w:tcW w:w="4880" w:type="dxa"/>
            <w:vAlign w:val="bottom"/>
            <w:shd w:val="clear" w:color="auto" w:fill="CCEEFF"/>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Pre Modification</w:t>
            </w:r>
          </w:p>
        </w:tc>
        <w:tc>
          <w:tcPr>
            <w:tcW w:w="192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Post Modification</w:t>
            </w:r>
          </w:p>
        </w:tc>
      </w:tr>
      <w:tr>
        <w:trPr>
          <w:trHeight w:val="219"/>
        </w:trPr>
        <w:tc>
          <w:tcPr>
            <w:tcW w:w="4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Warrant term (years)</w:t>
            </w:r>
          </w:p>
        </w:tc>
        <w:tc>
          <w:tcPr>
            <w:tcW w:w="48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4.83</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w:t>
            </w:r>
          </w:p>
        </w:tc>
      </w:tr>
      <w:tr>
        <w:trPr>
          <w:trHeight w:val="21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48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97.50 %</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97.50 %</w:t>
            </w:r>
          </w:p>
        </w:tc>
      </w:tr>
      <w:tr>
        <w:trPr>
          <w:trHeight w:val="219"/>
        </w:trPr>
        <w:tc>
          <w:tcPr>
            <w:tcW w:w="4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Risk-free rate</w:t>
            </w:r>
          </w:p>
        </w:tc>
        <w:tc>
          <w:tcPr>
            <w:tcW w:w="48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3.85 %</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3.84 %</w:t>
            </w:r>
          </w:p>
        </w:tc>
      </w:tr>
      <w:tr>
        <w:trPr>
          <w:trHeight w:val="21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48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 %</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r>
    </w:tbl>
    <w:p>
      <w:pPr>
        <w:spacing w:after="0" w:line="20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Subsequent to the January Offering, during the three months ended March 31, 2024, the Company issued 2,787,000 shares of Class A common stock as a result of all of the January Pre-Funded Warrants being exercised and the Company received an immaterial amount of cash proceeds.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Co-Founder Divestment and Stock Repurchase Agreements</w:t>
      </w:r>
    </w:p>
    <w:p>
      <w:pPr>
        <w:spacing w:after="0" w:line="1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accordance with the National Security Agreement (“NSA”) and pursuant to stock repurchase agreements entered into with the Company, the Co-Founders sold 100% of their respective equity interests in the Company on June 30, 2021. The Company paid an aggregate of $40.0 million to the Co-Founders following the Business Combination, and an additional payment of an aggregate of $10.0 million was payable after cumulative business combination or capital raising transactions resulted in cash proceeds to the Company of no less than $250.0 million.</w:t>
      </w:r>
    </w:p>
    <w:p>
      <w:pPr>
        <w:spacing w:after="0" w:line="10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As a result of the February Offering on February 27, 2023, the Company raised $10.0 million of gross cash proceeds through the sale of securities which, together with the $247.3 million raised in the Business Combination and other capital raising activities, triggered the $10.0 million obligation under the stock repurchase agreements. In March 2023, the Company paid the Co-Founders $10.0 million to retire the liability.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Public and Private Warrants</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As of March 31, 2024, the Company had Public and Private Warrants outstanding to purchase 172,500 shares and 225,450 shares of Class A common stock, respectively, related to the Business Combination. The warrants entitle the registered holder to purchase stock at a price of $575.00 per share, subject to adjustment, at any time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9. Stockholders' Equity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commencing on August 12, 2021. The Public and Private Warrants expire on the fifth anniversary of the Business Combination, or earlier upon redemption or liquidation.</w:t>
      </w:r>
    </w:p>
    <w:p>
      <w:pPr>
        <w:spacing w:after="0" w:line="7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Private Warrants assumed in connection with the Business Combination are accounted for as a derivative liability and a decrease of the estimated fair value of the warrants of $0 and $0.1 million for the three months ended March 31, 2024 and 2023, respectively, was recorded in other income (expense) within the condensed consolidated statements of operations. The Public Warrants and the legacy outstanding Private Warrants were recorded as equity within the condensed consolidated statements of stockholders’ equity.</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Contingent Sponsor Earnout Shares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As a result of the Business Combination, the Company modified the terms of 28,750 shares of Class A common stock held by SRAC’s sponsor (the “Sponsor Earnout Shares”), such that all such shares will be forfeited if the share price of Class A common stock does not reach a volume-weighted average closing sale price of $625.00, two thirds of such shares will be forfeited if the share price of Class A common stock does not reach a volume-weighted average closing sale price of $750.00, and one third of such shares will be forfeited if the share price of Class A common stock does not reach a volume-weighted average closing sale price of $875.00, in each case, prior to the fifth anniversary of the Business Combination. Certain events which change the number of outstanding shares of Class A common stock, such as a split, combination, or recapitalization, among other potential events, will equitably adjust the target vesting prices above. The Sponsor Earnout Shares may not be transferred without the Company’s consent until the shares vest.</w:t>
      </w:r>
    </w:p>
    <w:p>
      <w:pPr>
        <w:spacing w:after="0" w:line="1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Sponsor Earnout Shares are recorded within equity. Due to the contingently forfeitable nature of the shares, the Sponsor Earnout Shares are excluded from basic EPS calculations but are considered potentially dilutive shares for the purposes of diluted EPS (refer to Note 11).</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10. Stock-based Compensation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Legacy Stock Plans</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May 2018, the Board of Directors of Momentus Inc. approved the 2018 Stock Plan (the “Initial Plan”) that allowed for granting of incentive and non-qualified stock options and restricted stock awards to employees, directors, and consultants. The Initial Plan was terminated in November 2018. Awards outstanding under the Initial Plan continue to be governed by the terms of the Initial Plan.</w:t>
      </w:r>
    </w:p>
    <w:p>
      <w:pPr>
        <w:spacing w:after="0" w:line="10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February and March 2020, the Board of Directors of Momentus Inc. approved the Amended and Restated 2018 Stock Plan (the “2018 Plan”). No additional grants have been made since 2020 and no new grants will be made from the 2018 Plan, however, the options issued and outstanding under the plan continue to be governed by the terms of the 2018 Plan. Forfeitures from the legacy plans become available under the 2021 Equity Incentive Plan, described below.</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2021 Equity Incentive Plan</w:t>
      </w:r>
    </w:p>
    <w:p>
      <w:pPr>
        <w:spacing w:after="0" w:line="14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2021, the Company adopted the 2021 Equity Incentive Plan (the “2021 Plan”), under which 119,658 shares of Class A common stock were initially reserved for issuance. The 2021 Plan allows for the issuance of incentive stock options, non-qualified stock options (“NSOs”), restricted stock awards (“RSAs”), stock appreciation rights (“SARs”), restricted stock units (“RSUs”), and performance awards. The Board of Directors determines the period over which grants become exercisable. The 2021 Plan became effective immediately following the Closing. The 2021 Plan has an evergreen provision which allows for shares available for issuance under the plan to be increased on the first day of each fiscal year beginning with the 2022 fiscal year and ending on (and including) the first day of the 2031 fiscal year, in each case, in an amount equal to the lesser of (i) three percent (3.0%) of the outstanding shares on the last day of the immediately preceding fiscal year and (ii) such number of Shares determined by the Board of Directors. During the three months ended March 31, 2024, the shares available for grant under the 2021 Plan increased by 248,508 and 830 due to the evergreen provision and forfeitures from both the Initial Plan and the 2018 Plan, respectively. As of March 31, 2024, there were 317,938 shares remaining available for grant. Grant activity under the 2021 Plan is described below.</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10. Stock-based Compensation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2021 Employee Stock Purchase Plan</w:t>
      </w:r>
    </w:p>
    <w:p>
      <w:pPr>
        <w:spacing w:after="0" w:line="14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connection with the Closing, the Company adopted the Employee Stock Purchase Plan (the “2021 ESPP Plan”), under which 31,909 shares of Class A common stock were initially reserved for issuance. The Plan provides a means by which eligible employees of the Company may be given an opportunity to purchase shares of Class A common stock at a discount as permitted under the Internal Revenue Code of 1986, as amended. The 2021 ESPP Plan has an evergreen provision which allows for shares available for issuance under the plan to be increased on the first day of each fiscal year beginning with the 2022 fiscal year and ending on (and including) the first day of the 2031 fiscal year, in each case, in an amount equal to the lesser of (i) half a percent (0.5%) of the outstanding shares on the last day of the calendar month prior to the date of such automatic increase and (ii) 31,909 shares. The 2021 ESPP Plan became effective immediately following the Closing. During the three months ended March 31, 2024, the shares available for issuance under the 2021 ESPP Plan increased by 828 due to the evergreen provision. During the three months ended March 31, 2024, there were 0 shares issued under the 2021 ESPP Plan. The Company has an outstanding liability pertaining to the ESPP of $23.4 thousand as of March 31, 2024, included in accrued expenses, for employee contributions to the 2021 ESPP Plan, pending issuance at the end of the offering period. As of March 31, 2024, there were 83,373 shares remaining available for issuance.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2022 Inducement Equity Plan</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February 2022, the Company adopted the 2022 Inducement Equity Plan (the “2022 Plan”), under which 80,000 shares of Class A common stock were initially reserved for issuance. The 2022 Plan allows for the issuance of NSOs, RSAs, SARs, RSUs, and stock bonus awards, subject to certain eligibility requirements. The Board of Directors determines the period over which grants become exercisable and grants generally vest over a four-year period.</w:t>
      </w:r>
    </w:p>
    <w:p>
      <w:pPr>
        <w:spacing w:after="0" w:line="8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7"/>
          <w:szCs w:val="17"/>
          <w:color w:val="auto"/>
        </w:rPr>
        <w:t>On March 22, 2023, the Company adopted the first amendment to the 2022 Plan to increase the number of shares of Class A common stock available for issuance under the 2022 Plan from 80,000 shares of Class A common stock to 140,000 shares of Class A common stock. All other terms of the 2022 Plan remained the same.</w:t>
      </w:r>
    </w:p>
    <w:p>
      <w:pPr>
        <w:spacing w:after="0" w:line="30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On May 8, 2023, the Company adopted the second amendment to the 2022 Plan to increase the number of shares of Class A common stock available for issuance under the 2022 Plan from 140,000 shares of Class A common stock to 160,000 shares of Class A common stock. All other terms of the 2022 Plan remained the same.</w:t>
      </w:r>
    </w:p>
    <w:p>
      <w:pPr>
        <w:spacing w:after="0" w:line="10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As of March 31, 2024, only RSU grants have been made under the 2022 Plan and there were 89,832 shares remaining available for issuance. Grant activity under the 2022 Plan is described below.</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Options Activity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the summary of options activity, under the 2018 Plan and the 2021 Plans, for the three months ended March 31, 2024:</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Weighted- Average</w:t>
            </w: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Weighted- Average</w:t>
            </w:r>
          </w:p>
        </w:tc>
        <w:tc>
          <w:tcPr>
            <w:tcW w:w="1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Aggregate Intrinsic</w:t>
            </w:r>
          </w:p>
        </w:tc>
        <w:tc>
          <w:tcPr>
            <w:tcW w:w="0" w:type="dxa"/>
            <w:vAlign w:val="bottom"/>
          </w:tcPr>
          <w:p>
            <w:pPr>
              <w:spacing w:after="0"/>
              <w:rPr>
                <w:sz w:val="1"/>
                <w:szCs w:val="1"/>
                <w:color w:val="auto"/>
              </w:rPr>
            </w:pPr>
          </w:p>
        </w:tc>
      </w:tr>
      <w:tr>
        <w:trPr>
          <w:trHeight w:val="168"/>
        </w:trPr>
        <w:tc>
          <w:tcPr>
            <w:tcW w:w="4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 except share-based data)</w:t>
            </w:r>
          </w:p>
        </w:tc>
        <w:tc>
          <w:tcPr>
            <w:tcW w:w="1600" w:type="dxa"/>
            <w:vAlign w:val="bottom"/>
            <w:vMerge w:val="restart"/>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Total Options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center"/>
              <w:ind w:right="220"/>
              <w:spacing w:after="0" w:line="167" w:lineRule="exact"/>
              <w:rPr>
                <w:sz w:val="20"/>
                <w:szCs w:val="20"/>
                <w:color w:val="auto"/>
              </w:rPr>
            </w:pPr>
            <w:r>
              <w:rPr>
                <w:rFonts w:ascii="Times New Roman" w:cs="Times New Roman" w:eastAsia="Times New Roman" w:hAnsi="Times New Roman"/>
                <w:sz w:val="17"/>
                <w:szCs w:val="17"/>
                <w:b w:val="1"/>
                <w:bCs w:val="1"/>
                <w:color w:val="auto"/>
              </w:rPr>
              <w:t>Exercise Price Per</w:t>
            </w:r>
          </w:p>
        </w:tc>
        <w:tc>
          <w:tcPr>
            <w:tcW w:w="1940" w:type="dxa"/>
            <w:vAlign w:val="bottom"/>
            <w:gridSpan w:val="2"/>
          </w:tcPr>
          <w:p>
            <w:pPr>
              <w:jc w:val="center"/>
              <w:ind w:right="80"/>
              <w:spacing w:after="0" w:line="167" w:lineRule="exact"/>
              <w:rPr>
                <w:sz w:val="20"/>
                <w:szCs w:val="20"/>
                <w:color w:val="auto"/>
              </w:rPr>
            </w:pPr>
            <w:r>
              <w:rPr>
                <w:rFonts w:ascii="Times New Roman" w:cs="Times New Roman" w:eastAsia="Times New Roman" w:hAnsi="Times New Roman"/>
                <w:sz w:val="17"/>
                <w:szCs w:val="17"/>
                <w:b w:val="1"/>
                <w:bCs w:val="1"/>
                <w:color w:val="auto"/>
              </w:rPr>
              <w:t>Remaining Contractual</w:t>
            </w:r>
          </w:p>
        </w:tc>
        <w:tc>
          <w:tcPr>
            <w:tcW w:w="1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380" w:type="dxa"/>
            <w:vAlign w:val="bottom"/>
            <w:vMerge w:val="continue"/>
          </w:tcPr>
          <w:p>
            <w:pPr>
              <w:spacing w:after="0"/>
              <w:rPr>
                <w:sz w:val="20"/>
                <w:szCs w:val="20"/>
                <w:color w:val="auto"/>
              </w:rPr>
            </w:pPr>
          </w:p>
        </w:tc>
        <w:tc>
          <w:tcPr>
            <w:tcW w:w="16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Share</w:t>
            </w:r>
          </w:p>
        </w:tc>
        <w:tc>
          <w:tcPr>
            <w:tcW w:w="19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Term (In Years)</w:t>
            </w:r>
          </w:p>
        </w:tc>
        <w:tc>
          <w:tcPr>
            <w:tcW w:w="340" w:type="dxa"/>
            <w:vAlign w:val="bottom"/>
          </w:tcPr>
          <w:p>
            <w:pPr>
              <w:spacing w:after="0"/>
              <w:rPr>
                <w:sz w:val="20"/>
                <w:szCs w:val="20"/>
                <w:color w:val="auto"/>
              </w:rPr>
            </w:pPr>
          </w:p>
        </w:tc>
        <w:tc>
          <w:tcPr>
            <w:tcW w:w="122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Value</w:t>
            </w:r>
          </w:p>
        </w:tc>
        <w:tc>
          <w:tcPr>
            <w:tcW w:w="0" w:type="dxa"/>
            <w:vAlign w:val="bottom"/>
          </w:tcPr>
          <w:p>
            <w:pPr>
              <w:spacing w:after="0"/>
              <w:rPr>
                <w:sz w:val="1"/>
                <w:szCs w:val="1"/>
                <w:color w:val="auto"/>
              </w:rPr>
            </w:pPr>
          </w:p>
        </w:tc>
      </w:tr>
      <w:tr>
        <w:trPr>
          <w:trHeight w:val="212"/>
        </w:trPr>
        <w:tc>
          <w:tcPr>
            <w:tcW w:w="4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as of December 31, 2023</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23,912</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68.39</w:t>
            </w:r>
          </w:p>
        </w:tc>
        <w:tc>
          <w:tcPr>
            <w:tcW w:w="10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Forfeitures</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(830)</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100" w:type="dxa"/>
            <w:vAlign w:val="bottom"/>
            <w:tcBorders>
              <w:bottom w:val="single" w:sz="8" w:color="CCEEFF"/>
            </w:tcBorders>
          </w:tcPr>
          <w:p>
            <w:pPr>
              <w:spacing w:after="0"/>
              <w:rPr>
                <w:sz w:val="19"/>
                <w:szCs w:val="19"/>
                <w:color w:val="auto"/>
              </w:rPr>
            </w:pPr>
          </w:p>
        </w:tc>
        <w:tc>
          <w:tcPr>
            <w:tcW w:w="18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as of March 31, 2024</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23,082</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70.77</w:t>
            </w:r>
          </w:p>
        </w:tc>
        <w:tc>
          <w:tcPr>
            <w:tcW w:w="10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6.4</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38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color w:val="auto"/>
              </w:rPr>
              <w:t>Exercisable as of March 31, 2024</w:t>
            </w:r>
          </w:p>
        </w:tc>
        <w:tc>
          <w:tcPr>
            <w:tcW w:w="160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19,213</w:t>
            </w:r>
          </w:p>
        </w:tc>
        <w:tc>
          <w:tcPr>
            <w:tcW w:w="20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59.48</w:t>
            </w:r>
          </w:p>
        </w:tc>
        <w:tc>
          <w:tcPr>
            <w:tcW w:w="100" w:type="dxa"/>
            <w:vAlign w:val="bottom"/>
          </w:tcPr>
          <w:p>
            <w:pPr>
              <w:spacing w:after="0"/>
              <w:rPr>
                <w:sz w:val="16"/>
                <w:szCs w:val="16"/>
                <w:color w:val="auto"/>
              </w:rPr>
            </w:pPr>
          </w:p>
        </w:tc>
        <w:tc>
          <w:tcPr>
            <w:tcW w:w="1860" w:type="dxa"/>
            <w:vAlign w:val="bottom"/>
          </w:tcPr>
          <w:p>
            <w:pPr>
              <w:jc w:val="center"/>
              <w:spacing w:after="0" w:line="191" w:lineRule="exact"/>
              <w:rPr>
                <w:sz w:val="20"/>
                <w:szCs w:val="20"/>
                <w:color w:val="auto"/>
              </w:rPr>
            </w:pPr>
            <w:r>
              <w:rPr>
                <w:rFonts w:ascii="Times New Roman" w:cs="Times New Roman" w:eastAsia="Times New Roman" w:hAnsi="Times New Roman"/>
                <w:sz w:val="17"/>
                <w:szCs w:val="17"/>
                <w:color w:val="auto"/>
              </w:rPr>
              <w:t>6.1</w:t>
            </w:r>
          </w:p>
        </w:tc>
        <w:tc>
          <w:tcPr>
            <w:tcW w:w="80" w:type="dxa"/>
            <w:vAlign w:val="bottom"/>
          </w:tcPr>
          <w:p>
            <w:pPr>
              <w:spacing w:after="0"/>
              <w:rPr>
                <w:sz w:val="16"/>
                <w:szCs w:val="16"/>
                <w:color w:val="auto"/>
              </w:rPr>
            </w:pPr>
          </w:p>
        </w:tc>
        <w:tc>
          <w:tcPr>
            <w:tcW w:w="340" w:type="dxa"/>
            <w:vAlign w:val="bottom"/>
          </w:tcPr>
          <w:p>
            <w:pPr>
              <w:jc w:val="right"/>
              <w:ind w:right="15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Vested and expected to vest as of March 31, 2024</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23,082</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70.77</w:t>
            </w:r>
          </w:p>
        </w:tc>
        <w:tc>
          <w:tcPr>
            <w:tcW w:w="10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6.4</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As of March 31, 2024, there was a total of $0.3 million in unrecognized compensation cost related to unvested options, which is expected to be recognized over a weighted-average period of 0.9 years.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total intrinsic value of options exercised during the three months ended March 31, 2024 and 2023 was $0 and $0.2 million, respectively.</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10. Stock-based Compensation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Restricted Stock Unit and Restricted Stock Award Activity</w:t>
      </w:r>
    </w:p>
    <w:p>
      <w:pPr>
        <w:spacing w:after="0" w:line="1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following table sets forth the summary of RSU and RSA activity, under the Initial Plan, the 2018 Plan, the 2021 Plan, and the 2022 Plan, for the three months ended March 31, 2024. RSAs were an immaterial portion of activity for the period: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60" w:type="dxa"/>
            <w:vAlign w:val="bottom"/>
          </w:tcPr>
          <w:p>
            <w:pPr>
              <w:spacing w:after="0"/>
              <w:rPr>
                <w:sz w:val="17"/>
                <w:szCs w:val="17"/>
                <w:color w:val="auto"/>
              </w:rPr>
            </w:pPr>
          </w:p>
        </w:tc>
        <w:tc>
          <w:tcPr>
            <w:tcW w:w="1680" w:type="dxa"/>
            <w:vAlign w:val="bottom"/>
            <w:vMerge w:val="restart"/>
          </w:tcPr>
          <w:p>
            <w:pPr>
              <w:ind w:left="60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40" w:type="dxa"/>
            <w:vAlign w:val="bottom"/>
          </w:tcPr>
          <w:p>
            <w:pPr>
              <w:spacing w:after="0"/>
              <w:rPr>
                <w:sz w:val="17"/>
                <w:szCs w:val="17"/>
                <w:color w:val="auto"/>
              </w:rPr>
            </w:pPr>
          </w:p>
        </w:tc>
        <w:tc>
          <w:tcPr>
            <w:tcW w:w="2380" w:type="dxa"/>
            <w:vAlign w:val="bottom"/>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Weighted Average Grant Date</w:t>
            </w:r>
          </w:p>
        </w:tc>
        <w:tc>
          <w:tcPr>
            <w:tcW w:w="0" w:type="dxa"/>
            <w:vAlign w:val="bottom"/>
          </w:tcPr>
          <w:p>
            <w:pPr>
              <w:spacing w:after="0"/>
              <w:rPr>
                <w:sz w:val="1"/>
                <w:szCs w:val="1"/>
                <w:color w:val="auto"/>
              </w:rPr>
            </w:pPr>
          </w:p>
        </w:tc>
      </w:tr>
      <w:tr>
        <w:trPr>
          <w:trHeight w:val="232"/>
        </w:trPr>
        <w:tc>
          <w:tcPr>
            <w:tcW w:w="696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Fair Value (i.e. Share Price)</w:t>
            </w:r>
          </w:p>
        </w:tc>
        <w:tc>
          <w:tcPr>
            <w:tcW w:w="0" w:type="dxa"/>
            <w:vAlign w:val="bottom"/>
          </w:tcPr>
          <w:p>
            <w:pPr>
              <w:spacing w:after="0"/>
              <w:rPr>
                <w:sz w:val="1"/>
                <w:szCs w:val="1"/>
                <w:color w:val="auto"/>
              </w:rPr>
            </w:pPr>
          </w:p>
        </w:tc>
      </w:tr>
      <w:tr>
        <w:trPr>
          <w:trHeight w:val="212"/>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as of December 31, 2023</w:t>
            </w:r>
          </w:p>
        </w:tc>
        <w:tc>
          <w:tcPr>
            <w:tcW w:w="168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219,720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3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86.78</w:t>
            </w:r>
          </w:p>
        </w:tc>
        <w:tc>
          <w:tcPr>
            <w:tcW w:w="0" w:type="dxa"/>
            <w:vAlign w:val="bottom"/>
          </w:tcPr>
          <w:p>
            <w:pPr>
              <w:spacing w:after="0"/>
              <w:rPr>
                <w:sz w:val="1"/>
                <w:szCs w:val="1"/>
                <w:color w:val="auto"/>
              </w:rPr>
            </w:pPr>
          </w:p>
        </w:tc>
      </w:tr>
      <w:tr>
        <w:trPr>
          <w:trHeight w:val="219"/>
        </w:trPr>
        <w:tc>
          <w:tcPr>
            <w:tcW w:w="69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Vested</w:t>
            </w:r>
          </w:p>
        </w:tc>
        <w:tc>
          <w:tcPr>
            <w:tcW w:w="168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(36,570)</w:t>
            </w:r>
          </w:p>
        </w:tc>
        <w:tc>
          <w:tcPr>
            <w:tcW w:w="1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67.15</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Forfeited</w:t>
            </w:r>
          </w:p>
        </w:tc>
        <w:tc>
          <w:tcPr>
            <w:tcW w:w="168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(45,822)</w:t>
            </w:r>
          </w:p>
        </w:tc>
        <w:tc>
          <w:tcPr>
            <w:tcW w:w="140" w:type="dxa"/>
            <w:vAlign w:val="bottom"/>
            <w:tcBorders>
              <w:bottom w:val="single" w:sz="8" w:color="auto"/>
            </w:tcBorders>
            <w:shd w:val="clear" w:color="auto" w:fill="CCEEFF"/>
          </w:tcPr>
          <w:p>
            <w:pPr>
              <w:spacing w:after="0"/>
              <w:rPr>
                <w:sz w:val="19"/>
                <w:szCs w:val="19"/>
                <w:color w:val="auto"/>
              </w:rPr>
            </w:pPr>
          </w:p>
        </w:tc>
        <w:tc>
          <w:tcPr>
            <w:tcW w:w="2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59.58</w:t>
            </w:r>
          </w:p>
        </w:tc>
        <w:tc>
          <w:tcPr>
            <w:tcW w:w="0" w:type="dxa"/>
            <w:vAlign w:val="bottom"/>
          </w:tcPr>
          <w:p>
            <w:pPr>
              <w:spacing w:after="0"/>
              <w:rPr>
                <w:sz w:val="1"/>
                <w:szCs w:val="1"/>
                <w:color w:val="auto"/>
              </w:rPr>
            </w:pPr>
          </w:p>
        </w:tc>
      </w:tr>
      <w:tr>
        <w:trPr>
          <w:trHeight w:val="212"/>
        </w:trPr>
        <w:tc>
          <w:tcPr>
            <w:tcW w:w="6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Outstanding as of March 31, 2024</w:t>
            </w:r>
          </w:p>
        </w:tc>
        <w:tc>
          <w:tcPr>
            <w:tcW w:w="168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7"/>
                <w:szCs w:val="17"/>
                <w:color w:val="auto"/>
              </w:rPr>
              <w:t>137,328</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101.09</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As of March 31, 2024, there was a total of $12.2 million in unrecognized compensation cost related to unvested RSUs, which is expected to be recognized over a weighted-average period of 1.2 years. Outstanding unvested and expected to vest RSUs had an intrinsic value of $0.1 million.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the stock-based compensation under the Initial Plan, the 2018 Plan, the 2021 Plan, and the 2022 Plan by expense type: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38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4"/>
          </w:tcPr>
          <w:p>
            <w:pPr>
              <w:jc w:val="right"/>
              <w:ind w:right="576"/>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tc>
        <w:tc>
          <w:tcPr>
            <w:tcW w:w="0" w:type="dxa"/>
            <w:vAlign w:val="bottom"/>
          </w:tcPr>
          <w:p>
            <w:pPr>
              <w:spacing w:after="0"/>
              <w:rPr>
                <w:sz w:val="1"/>
                <w:szCs w:val="1"/>
                <w:color w:val="auto"/>
              </w:rPr>
            </w:pPr>
          </w:p>
        </w:tc>
      </w:tr>
      <w:tr>
        <w:trPr>
          <w:trHeight w:val="202"/>
        </w:trPr>
        <w:tc>
          <w:tcPr>
            <w:tcW w:w="7800" w:type="dxa"/>
            <w:vAlign w:val="bottom"/>
            <w:tcBorders>
              <w:bottom w:val="single" w:sz="8" w:color="CCEEFF"/>
            </w:tcBorders>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98"/>
              <w:spacing w:after="0"/>
              <w:rPr>
                <w:sz w:val="20"/>
                <w:szCs w:val="20"/>
                <w:color w:val="auto"/>
              </w:rPr>
            </w:pPr>
            <w:r>
              <w:rPr>
                <w:rFonts w:ascii="Times New Roman" w:cs="Times New Roman" w:eastAsia="Times New Roman" w:hAnsi="Times New Roman"/>
                <w:sz w:val="15"/>
                <w:szCs w:val="15"/>
                <w:b w:val="1"/>
                <w:bCs w:val="1"/>
                <w:color w:val="auto"/>
              </w:rPr>
              <w:t>2024</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5"/>
                <w:szCs w:val="15"/>
                <w:b w:val="1"/>
                <w:bCs w:val="1"/>
                <w:color w:val="auto"/>
              </w:rPr>
              <w:t>2023</w:t>
            </w:r>
          </w:p>
        </w:tc>
        <w:tc>
          <w:tcPr>
            <w:tcW w:w="0" w:type="dxa"/>
            <w:vAlign w:val="bottom"/>
          </w:tcPr>
          <w:p>
            <w:pPr>
              <w:spacing w:after="0"/>
              <w:rPr>
                <w:sz w:val="1"/>
                <w:szCs w:val="1"/>
                <w:color w:val="auto"/>
              </w:rPr>
            </w:pPr>
          </w:p>
        </w:tc>
      </w:tr>
      <w:tr>
        <w:trPr>
          <w:trHeight w:val="21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w:t>
            </w:r>
          </w:p>
        </w:tc>
        <w:tc>
          <w:tcPr>
            <w:tcW w:w="0" w:type="dxa"/>
            <w:vAlign w:val="bottom"/>
          </w:tcPr>
          <w:p>
            <w:pPr>
              <w:spacing w:after="0"/>
              <w:rPr>
                <w:sz w:val="1"/>
                <w:szCs w:val="1"/>
                <w:color w:val="auto"/>
              </w:rPr>
            </w:pPr>
          </w:p>
        </w:tc>
      </w:tr>
      <w:tr>
        <w:trPr>
          <w:trHeight w:val="21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1,516</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1,244</w:t>
            </w:r>
          </w:p>
        </w:tc>
        <w:tc>
          <w:tcPr>
            <w:tcW w:w="0" w:type="dxa"/>
            <w:vAlign w:val="bottom"/>
          </w:tcPr>
          <w:p>
            <w:pPr>
              <w:spacing w:after="0"/>
              <w:rPr>
                <w:sz w:val="1"/>
                <w:szCs w:val="1"/>
                <w:color w:val="auto"/>
              </w:rPr>
            </w:pPr>
          </w:p>
        </w:tc>
      </w:tr>
      <w:tr>
        <w:trPr>
          <w:trHeight w:val="237"/>
        </w:trPr>
        <w:tc>
          <w:tcPr>
            <w:tcW w:w="7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1,443</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1,720</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the stock-based compensation under the Initial Plan, the 2018 Plan, the 2021 Plan, and the 2022 Plan by award type: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38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4"/>
          </w:tcPr>
          <w:p>
            <w:pPr>
              <w:jc w:val="right"/>
              <w:ind w:right="576"/>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tc>
        <w:tc>
          <w:tcPr>
            <w:tcW w:w="0" w:type="dxa"/>
            <w:vAlign w:val="bottom"/>
          </w:tcPr>
          <w:p>
            <w:pPr>
              <w:spacing w:after="0"/>
              <w:rPr>
                <w:sz w:val="1"/>
                <w:szCs w:val="1"/>
                <w:color w:val="auto"/>
              </w:rPr>
            </w:pPr>
          </w:p>
        </w:tc>
      </w:tr>
      <w:tr>
        <w:trPr>
          <w:trHeight w:val="202"/>
        </w:trPr>
        <w:tc>
          <w:tcPr>
            <w:tcW w:w="7800" w:type="dxa"/>
            <w:vAlign w:val="bottom"/>
            <w:tcBorders>
              <w:bottom w:val="single" w:sz="8" w:color="CCEEFF"/>
            </w:tcBorders>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5"/>
                <w:szCs w:val="15"/>
                <w:b w:val="1"/>
                <w:bCs w:val="1"/>
                <w:color w:val="auto"/>
              </w:rPr>
              <w:t>2024</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5"/>
                <w:szCs w:val="15"/>
                <w:b w:val="1"/>
                <w:bCs w:val="1"/>
                <w:color w:val="auto"/>
              </w:rPr>
              <w:t>2023</w:t>
            </w:r>
          </w:p>
        </w:tc>
        <w:tc>
          <w:tcPr>
            <w:tcW w:w="0" w:type="dxa"/>
            <w:vAlign w:val="bottom"/>
          </w:tcPr>
          <w:p>
            <w:pPr>
              <w:spacing w:after="0"/>
              <w:rPr>
                <w:sz w:val="1"/>
                <w:szCs w:val="1"/>
                <w:color w:val="auto"/>
              </w:rPr>
            </w:pPr>
          </w:p>
        </w:tc>
      </w:tr>
      <w:tr>
        <w:trPr>
          <w:trHeight w:val="21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Options</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0" w:type="dxa"/>
            <w:vAlign w:val="bottom"/>
          </w:tcPr>
          <w:p>
            <w:pPr>
              <w:spacing w:after="0"/>
              <w:rPr>
                <w:sz w:val="1"/>
                <w:szCs w:val="1"/>
                <w:color w:val="auto"/>
              </w:rPr>
            </w:pP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RSUs &amp; RSAs</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1,601</w:t>
            </w: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ESPP</w:t>
            </w: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12"/>
        </w:trPr>
        <w:tc>
          <w:tcPr>
            <w:tcW w:w="7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380" w:type="dxa"/>
            <w:vAlign w:val="bottom"/>
            <w:tcBorders>
              <w:top w:val="single" w:sz="8" w:color="auto"/>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1,443</w:t>
            </w:r>
          </w:p>
        </w:tc>
        <w:tc>
          <w:tcPr>
            <w:tcW w:w="8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1,720</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Issuance of Common Stock to Non-employees</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During the three months ended March 31, 2023, the Company issued 2,700 shares of the Company’s Class A common stock to a third party consulting firm in exchange for public relations services. The shares were not issued under the equity incentive plans described above. Under the agreement, the shares are contingently forfeitable in the event of early termination by the Company. The shares had an issuance date fair value of $0.1 million to be recorded as consulting expense over the six-month term of the agreement. Related consulting expense of $0.1 million was recognized over the six month term of the agreement. The Company issued no shares to non-employees in the current year.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11. Earnings Per Share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Loss Per Share</w:t>
      </w:r>
    </w:p>
    <w:p>
      <w:pPr>
        <w:spacing w:after="0" w:line="14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 xml:space="preserve">Net loss per share is provided in accordance with ASC Sub-Topic 260-10, </w:t>
      </w:r>
      <w:r>
        <w:rPr>
          <w:rFonts w:ascii="Times New Roman" w:cs="Times New Roman" w:eastAsia="Times New Roman" w:hAnsi="Times New Roman"/>
          <w:sz w:val="17"/>
          <w:szCs w:val="17"/>
          <w:i w:val="1"/>
          <w:iCs w:val="1"/>
          <w:color w:val="auto"/>
        </w:rPr>
        <w:t>Earnings Per Share</w:t>
      </w:r>
      <w:r>
        <w:rPr>
          <w:rFonts w:ascii="Times New Roman" w:cs="Times New Roman" w:eastAsia="Times New Roman" w:hAnsi="Times New Roman"/>
          <w:sz w:val="17"/>
          <w:szCs w:val="17"/>
          <w:color w:val="auto"/>
        </w:rPr>
        <w:t>. Basic earnings per share is computed by dividing net loss for the period by the weighted-average number of common shares outstanding during the period. Diluted earnings per share gives effect to all dilutive potential common shares outstanding during the period. It is computed by dividing undistributed earnings allocated to common stockholders for the period by the weighted average number of common shares outstanding during the period, plus the dilutive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11. Earnings Per Share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effect of outstanding preferred shares, options and unvested stock units, and warrants outstanding pursuant to the treasury stock method.</w:t>
      </w:r>
    </w:p>
    <w:p>
      <w:pPr>
        <w:spacing w:after="0" w:line="1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As the Company incurred a net loss for the three months ended March 31, 2024 and 2023, the inclusion of certain options, unvested stock units, warrants, and contingent Sponsor Earnout Shares in the calculation of diluted earnings per share would be anti-dilutive and, accordingly, were excluded from the diluted loss per share calculation.</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80" w:type="dxa"/>
            <w:vAlign w:val="bottom"/>
          </w:tcPr>
          <w:p>
            <w:pPr>
              <w:spacing w:after="0"/>
              <w:rPr>
                <w:sz w:val="20"/>
                <w:szCs w:val="20"/>
                <w:color w:val="auto"/>
              </w:rPr>
            </w:pPr>
            <w:r>
              <w:rPr>
                <w:rFonts w:ascii="Times New Roman" w:cs="Times New Roman" w:eastAsia="Times New Roman" w:hAnsi="Times New Roman"/>
                <w:sz w:val="17"/>
                <w:szCs w:val="17"/>
                <w:color w:val="auto"/>
              </w:rPr>
              <w:t>The following table summarizes potential common shares that were excluded as their effect is anti-dilutive:</w:t>
            </w: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386"/>
        </w:trPr>
        <w:tc>
          <w:tcPr>
            <w:tcW w:w="7680" w:type="dxa"/>
            <w:vAlign w:val="bottom"/>
            <w:tcBorders>
              <w:bottom w:val="single" w:sz="8" w:color="CCEEFF"/>
            </w:tcBorders>
          </w:tcPr>
          <w:p>
            <w:pPr>
              <w:spacing w:after="0"/>
              <w:rPr>
                <w:sz w:val="24"/>
                <w:szCs w:val="24"/>
                <w:color w:val="auto"/>
              </w:rPr>
            </w:pPr>
          </w:p>
        </w:tc>
        <w:tc>
          <w:tcPr>
            <w:tcW w:w="3540" w:type="dxa"/>
            <w:vAlign w:val="bottom"/>
            <w:tcBorders>
              <w:bottom w:val="single" w:sz="8" w:color="auto"/>
            </w:tcBorders>
            <w:gridSpan w:val="3"/>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r>
      <w:tr>
        <w:trPr>
          <w:trHeight w:val="212"/>
        </w:trPr>
        <w:tc>
          <w:tcPr>
            <w:tcW w:w="7680" w:type="dxa"/>
            <w:vAlign w:val="bottom"/>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2"/>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Options and unvested stock units outstanding</w:t>
            </w: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276,544</w:t>
            </w: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164,804</w:t>
            </w:r>
          </w:p>
        </w:tc>
      </w:tr>
      <w:tr>
        <w:trPr>
          <w:trHeight w:val="21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Warrants outstanding</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14,517,768</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629,271</w:t>
            </w:r>
          </w:p>
        </w:tc>
      </w:tr>
      <w:tr>
        <w:trPr>
          <w:trHeight w:val="219"/>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Contingent Sponsor Earnout Shares</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28,750</w:t>
            </w:r>
          </w:p>
        </w:tc>
        <w:tc>
          <w:tcPr>
            <w:tcW w:w="10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28,750</w:t>
            </w:r>
          </w:p>
        </w:tc>
      </w:tr>
      <w:tr>
        <w:trPr>
          <w:trHeight w:val="237"/>
        </w:trPr>
        <w:tc>
          <w:tcPr>
            <w:tcW w:w="7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14,823,062</w:t>
            </w:r>
          </w:p>
        </w:tc>
        <w:tc>
          <w:tcPr>
            <w:tcW w:w="1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822,825</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12. Commitments and Contingencies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Purchase Obligations</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Momentus enters into purchase obligations in the normal course of business. These obligations include purchase orders and agreements to purchase goods or services that are enforceable, legally binding, and have significant terms and minimum purchases stipulated. As of March 31, 2024, the Company’s future unconditional purchase obligations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5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6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9"/>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2024</w:t>
            </w:r>
          </w:p>
        </w:tc>
        <w:tc>
          <w:tcPr>
            <w:tcW w:w="68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3,097</w:t>
            </w:r>
          </w:p>
        </w:tc>
      </w:tr>
      <w:tr>
        <w:trPr>
          <w:trHeight w:val="219"/>
        </w:trPr>
        <w:tc>
          <w:tcPr>
            <w:tcW w:w="9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6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2,975</w:t>
            </w:r>
          </w:p>
        </w:tc>
      </w:tr>
      <w:tr>
        <w:trPr>
          <w:trHeight w:val="212"/>
        </w:trPr>
        <w:tc>
          <w:tcPr>
            <w:tcW w:w="9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68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6,072</w:t>
            </w: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Legal Proceedings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Securities Class Actions</w:t>
      </w:r>
    </w:p>
    <w:p>
      <w:pPr>
        <w:spacing w:after="0" w:line="1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 xml:space="preserve">On July 15, 2021, a purported stockholder of SRAC filed a putative class action complaint against SRAC, SRC-NI Holdings, LLC ("Sponsor"), Brian Kabot (SRAC CEO), James Norris (SRAC CFO), Momentus, and the Company's co-founder and former CEO, Mikhail Kokorich, in the United States District Court for the Central District of California, in a case captioned </w:t>
      </w:r>
      <w:r>
        <w:rPr>
          <w:rFonts w:ascii="Times New Roman" w:cs="Times New Roman" w:eastAsia="Times New Roman" w:hAnsi="Times New Roman"/>
          <w:sz w:val="17"/>
          <w:szCs w:val="17"/>
          <w:i w:val="1"/>
          <w:iCs w:val="1"/>
          <w:color w:val="auto"/>
        </w:rPr>
        <w:t>Jensen v. Stable Road Acquisition Corp., et al.</w:t>
      </w:r>
      <w:r>
        <w:rPr>
          <w:rFonts w:ascii="Times New Roman" w:cs="Times New Roman" w:eastAsia="Times New Roman" w:hAnsi="Times New Roman"/>
          <w:sz w:val="17"/>
          <w:szCs w:val="17"/>
          <w:color w:val="auto"/>
        </w:rPr>
        <w:t>, No. 2:21-cv-05744 (the "</w:t>
      </w:r>
      <w:r>
        <w:rPr>
          <w:rFonts w:ascii="Times New Roman" w:cs="Times New Roman" w:eastAsia="Times New Roman" w:hAnsi="Times New Roman"/>
          <w:sz w:val="17"/>
          <w:szCs w:val="17"/>
          <w:i w:val="1"/>
          <w:iCs w:val="1"/>
          <w:color w:val="auto"/>
        </w:rPr>
        <w:t>Jensen</w:t>
      </w:r>
      <w:r>
        <w:rPr>
          <w:rFonts w:ascii="Times New Roman" w:cs="Times New Roman" w:eastAsia="Times New Roman" w:hAnsi="Times New Roman"/>
          <w:sz w:val="17"/>
          <w:szCs w:val="17"/>
          <w:color w:val="auto"/>
        </w:rPr>
        <w:t xml:space="preserve"> class action"). The complaint alleges that the defendants omitted certain material information in their public statements and disclosures regarding the Business Combination, in violation of the securities laws, and seeks damages on behalf of a putative class of stockholders who purchased SRAC stock between October 7, 2020 and July 13, 2021. Subsequent complaints captioned </w:t>
      </w:r>
      <w:r>
        <w:rPr>
          <w:rFonts w:ascii="Times New Roman" w:cs="Times New Roman" w:eastAsia="Times New Roman" w:hAnsi="Times New Roman"/>
          <w:sz w:val="17"/>
          <w:szCs w:val="17"/>
          <w:i w:val="1"/>
          <w:iCs w:val="1"/>
          <w:color w:val="auto"/>
        </w:rPr>
        <w:t>Hall v. Stable Road Acquisition Corp., et al.</w:t>
      </w:r>
      <w:r>
        <w:rPr>
          <w:rFonts w:ascii="Times New Roman" w:cs="Times New Roman" w:eastAsia="Times New Roman" w:hAnsi="Times New Roman"/>
          <w:sz w:val="17"/>
          <w:szCs w:val="17"/>
          <w:color w:val="auto"/>
        </w:rPr>
        <w:t xml:space="preserve">, No. 2:21-cv-05943 and </w:t>
      </w:r>
      <w:r>
        <w:rPr>
          <w:rFonts w:ascii="Times New Roman" w:cs="Times New Roman" w:eastAsia="Times New Roman" w:hAnsi="Times New Roman"/>
          <w:sz w:val="17"/>
          <w:szCs w:val="17"/>
          <w:i w:val="1"/>
          <w:iCs w:val="1"/>
          <w:color w:val="auto"/>
        </w:rPr>
        <w:t>Depoy v. Stable Road Acquisition Corp., et al.</w:t>
      </w:r>
      <w:r>
        <w:rPr>
          <w:rFonts w:ascii="Times New Roman" w:cs="Times New Roman" w:eastAsia="Times New Roman" w:hAnsi="Times New Roman"/>
          <w:sz w:val="17"/>
          <w:szCs w:val="17"/>
          <w:color w:val="auto"/>
        </w:rPr>
        <w:t>, No. 2:21-cv-06287 were consolidated in the first filed matter (collectively, referred to as the "Securities Class Actions"). An amended complaint was filed on November 12, 2021. The Company disputes the allegations in the Securities Class Actions.</w:t>
      </w:r>
    </w:p>
    <w:p>
      <w:pPr>
        <w:spacing w:after="0" w:line="9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On February 10, 2023, the lead plaintiff in the Securities Class Actions and the Company reached an agreement in principle to settle the Securities Class Actions. Under the terms of the agreement in principle, the lead plaintiff, on behalf of a class of all persons that purchased or otherwise acquired Company stock between October 7, 2020 and July 13, 2021, inclusive, would release the Company from all claims asserted or that could have been asserted in the Securities Class Actions and dismiss such claims with prejudice, in exchange for payment of $8.5 million by the Company (at least $4.0 million of which was funded by insurance proceeds).</w:t>
      </w:r>
    </w:p>
    <w:p>
      <w:pPr>
        <w:spacing w:after="0" w:line="31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On April 10, 2023, the parties filed a Notice of Settlement with the Court, and on August 18, 2023, the parties executed a Settlement Agreement. On August 30, 2023 the lead plaintiff filed a Motion for Preliminary Approval of Class Action Settlement, and the Court entered an Order Preliminarily Approving Settlement and Providing for Notice on September 21, 2023. Pursuant to that Order, on October 5, 2023, the Company paid $1.0 million into the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12. Commitments and Contingencies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settlement escrow account. On November 16, 2023, following the Court’s order granting lead plaintiff’s motion to enforce the settlement agreement and despite the Company’s attempts to negotiate an extension of time to satisfy its payment obligations, the Company paid an additional $3.5 million into the settlement escrow account. Insurance carriers made additional payments totaling $4.0 million into the settlement escrow account.</w:t>
      </w:r>
    </w:p>
    <w:p>
      <w:pPr>
        <w:spacing w:after="0" w:line="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On April 23, 2024, the Court entered an order and judgment finally approving the settlement of the Securities Class Actions. A group of plaintiffs asserting the Delaware Class Actions (see below) objected to the scope of the release in the settlement, and the Court overruled the objection. Those objectors may or may not appeal the Court’s decision to overrule their objections and approve the settlement. The Company does not know the timing of when such an appeal, if filed, would be heard. If the objectors do not appeal the approval of the settlement, or if their appeal is ultimately rejected by the Court of Appeal, then the settlement will resolve all claims in the Securities Class Actions against the Company (except as to any shareholders that may elect to opt-out of the class). The Company and the other defendants have denied and continue to deny each and all of the claims alleged in the Securities Class Actions, and the proposed settlement contains no admission of liability, wrongdoing or responsibility by any of the defendants. In the event that a court, on appeal or otherwise, overturns the approval of the settlement, the Company will continue to vigorously defend against the claims asserted in the Securities Class Actions.</w:t>
      </w:r>
    </w:p>
    <w:p>
      <w:pPr>
        <w:spacing w:after="0" w:line="11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As a result of the agreement to settle the Securities Class Action, the Company recorded a litigation settlement contingency of $8.5 million. The Company additionally recorded an insurance receivable of $4.0 million for the insurance proceeds expected from its insurers related to the settlement. The net amount of $4.5 million was recognized in litigation settlement, net during the year ended December 31, 2022. As of March 31, 2024, the contingent liability in relation to Securities Class Action has been paid in full.</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CFIUS Review</w:t>
      </w:r>
    </w:p>
    <w:p>
      <w:pPr>
        <w:spacing w:after="0" w:line="13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In February 2021, the Company and Mikhail Kokorich submitted a joint notice to the Committee on Foreign Investment in the United States (“CFIUS”) for review of the historical acquisition of interests in the Company by Mr. Kokorich, his wife, and entities that they control in response to concerns of the U.S. Department of Defense regarding the Company’s foreign ownership and control. On June 8, 2021, the U.S. Departments of Defense and the Treasury, on behalf of CFIUS, Mr. Kokorich, on behalf of himself and Nortrone Finance S.A. (an entity controlled by Mr. Kokorich), Lev Khasis and Olga Khasis, each in their respective individual capacities and on behalf of Brainyspace LLC (an entity controlled by Olga Khasis) entered into the National Security Agreement (“NSA”).</w:t>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accordance with the NSA and pursuant to stock repurchase agreements entered into with the Company, effective as of June 8, 2021, each of Mr. Kokorich, Nortrone Finance S.A. and Brainyspace LLC (collectively “the Co-Founders”) agreed to sell 100% of their respective equity interests in the Company on June 30, 2021. The Company paid an aggregate of $40 million to the Co-Founders following the Business Combination, and an additional payment of an aggregate of $10 million was payable within 10 business days after cumulative business combination or capital raising transactions (whether in the form of debt or equity) resulted in cash proceeds to the Company of no less than $250 million.</w:t>
      </w:r>
    </w:p>
    <w:p>
      <w:pPr>
        <w:spacing w:after="0" w:line="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February 27, 2023 the Company raised aggregate gross proceeds of $10.0 million through the sale of securities (see Note 9 for additional information), which together with the Business Combination and other capital raising activities triggered the $10.0 million liability to the Co-Founders in accordance with the terms of the stock repurchase agreements. The amount had previously been recorded as an estimated liability with a corresponding offset to additional paid-in capital within the consolidated statements of stockholders’ equity as of December 31, 2022. CFIUS terminated the NSA in January 2024 at the request of the Company, and the Company is no longer subject to the provisions of the NSA.</w:t>
      </w:r>
    </w:p>
    <w:p>
      <w:pPr>
        <w:spacing w:after="0" w:line="11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incurred legal expenses related to these matters of approximately $0.1 million and $0.1 million for the three months ended March 31, 2024 and 2023, respectively.</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Shareholder Section 220 Litigation</w:t>
      </w:r>
    </w:p>
    <w:p>
      <w:pPr>
        <w:spacing w:after="0" w:line="14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June 16, 2022, Plaintiff and the Company’s shareholder James Burk filed a verified complaint against the Company in the Delaware Court of Chancery, Case. No. 2022-0519, to inspect the books and records of the Company pursuant to Section 220 of the Delaware General Corporation Law. Plaintiff seeks production of books and records relating to the management of the Company and its disclosures to potential investors in connection with the Business Combination. On March 14, 2023, the Court granted the parties stipulation of dismissal with prejudice,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12. Commitments and Contingencies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480"/>
        <w:spacing w:after="0" w:line="419" w:lineRule="auto"/>
        <w:rPr>
          <w:sz w:val="20"/>
          <w:szCs w:val="20"/>
          <w:color w:val="auto"/>
        </w:rPr>
      </w:pPr>
      <w:r>
        <w:rPr>
          <w:rFonts w:ascii="Times New Roman" w:cs="Times New Roman" w:eastAsia="Times New Roman" w:hAnsi="Times New Roman"/>
          <w:sz w:val="17"/>
          <w:szCs w:val="17"/>
          <w:color w:val="auto"/>
        </w:rPr>
        <w:t xml:space="preserve">and the matter was closed. The Company from time to time responds to books and records requests properly submitted pursuant to applicable Delaware law. </w:t>
      </w:r>
      <w:r>
        <w:rPr>
          <w:rFonts w:ascii="Times New Roman" w:cs="Times New Roman" w:eastAsia="Times New Roman" w:hAnsi="Times New Roman"/>
          <w:sz w:val="17"/>
          <w:szCs w:val="17"/>
          <w:i w:val="1"/>
          <w:iCs w:val="1"/>
          <w:color w:val="auto"/>
        </w:rPr>
        <w:t>Shareholder Derivative Litigation</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On June 20, 2022, a shareholder derivative action was filed by Brian Lindsey, on behalf of the Company, in the U.S. District Court for the Central District of California, Case No. 2:22-cv-04212, against the Company (as a nominal defendant), SRAC, Brian Kabot, Juan Manuel Quiroga, James Norris, James Hofmockel, Mikhail Kokorich, Dawn Harms, Fred Kennedy, Chris Hadfield, Mitchel B. Kugler, Victorino Mercado, Kimberly A. Reed, Linda J. Reiners, and John C. Rood. This derivative action alleges the same core allegations as stated in the securities class action litigation. Defendants dispute the allegations as stated in this derivative action. On September 27, 2022, Plaintiff filed his Notice of Voluntary Dismissal without Prejudice seeking to dismiss the case. Because Plaintiff’s dismissal of this derivative action was voluntary and without prejudice, this plaintiff and/or other shareholders may seek to re-file the claims asserted in this matter at a later date. As noted below, Brian Lindsey re-filed a shareholder derivative action in Delaware Chancery Court on June 30, 2023.</w:t>
      </w:r>
    </w:p>
    <w:p>
      <w:pPr>
        <w:spacing w:after="0" w:line="1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January 25, 2023, a shareholder derivative action was filed by Melissa Hanna, on behalf of the Company, in the U.S. District Court for the Northern District of California, Case No. 5:23-cv-00374, against the Company (as a nominal defendant), SRAC, Brian Kabot, Juan Manuel Quiroga, James Norris, James Hofmockel, Mikhail Kokorich, Dawn Harms, Fred Kennedy, Chris Hadfield, Mitchel B. Kugler, Victorino Mercado, Kimberly A. Reed, Linda J. Reiners, and John C. Rood (the “Derivative Action II”). The Derivative Action II alleges the same core allegations as stated in the Securities Class Actions, and also claims that the Company ignored and/or refused a prior demand made by Ms. Hanna on the Company’s Board of Directors. The Company intends to vigorously defend the litigation.</w:t>
      </w:r>
    </w:p>
    <w:p>
      <w:pPr>
        <w:spacing w:after="0" w:line="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On April 25, 2023, a shareholder derivative action was filed by Justin Rivlin, purportedly on behalf of the Company, in the U.S. District Court for the District of California, Case No. 2:23-cv-03120, against the Company (as a nominal defendant), Brian Kabot, James Norris, Marc Lehmann, James Hofmockel, and Ann Kono. The Rivlin derivative action alleges the same core allegations as stated in the Securities Class Actions. The Company has filed a motion to dismiss the complaint on the grounds that the claims are time-barred and that the plaintiff was not excused from making a demand on the Company before filing the lawsuit. The Company intends to vigorously defend the litigation. On August 4, 2023, the plaintiff in the Rivlin action responded to the Company’s motion to dismiss by filing an amended complaint adding new claims and new defendants, including existing Board members Chris Hadfield, Mitchel B. Kugler, Kimberly A. Reed, Linda J. Reiners and John C. Rood.</w:t>
      </w:r>
    </w:p>
    <w:p>
      <w:pPr>
        <w:spacing w:after="0" w:line="1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June 30, 2023, a shareholder derivative action was filed by Brian Lindsey, purportedly on behalf of the Company in the Court of Chancery for the State of Delaware (Case No. 2023-0674), against the Company (as a nominal defendant), Juan Manuel Quiroga, James Norris, James Hofmockel, Stable Road Acquisition Corp., SRC-NI Holdings, LLC, Mikhail Kokorich, Brian Kabot, Dawn Harms, Fred Kennedy, Chris Hadfield, Mitchel B. Kugler, Victorino Mercado, Kimberly A. Reed, Linda J. Reiners and John C. Rood. The Lindsey derivative action alleges the same core allegations as stated in the Securities Class Actions. The Company intends to vigorously defend the litigation.</w:t>
      </w:r>
    </w:p>
    <w:p>
      <w:pPr>
        <w:spacing w:after="0" w:line="11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As described in greater detail in Note 14, on August 26, 2024, an unopposed motion for the preliminary approval of settlement was filed after the Company reached an agreement in principle for a proposed settlement of the above described shareholder derivative litigation. On September 16, 2024, an order preliminarily approving the proposed settlement, subject to further consideration at a November 21, 2024, settlement hearing, was entered in the U.S. District Court for the Northern District of California.</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SAFE Note Litigation</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July 20, 2022, The Larian Living Trust ("TLLT") filed an action against the Company in New Castle County Superior Court, Delaware, in the Complex Commercial Litigation Division, Case No. N22C-07-133 EMD CCLD. TLLT pleads claims for fraudulent inducement and breach of contract arising from two investment contracts pursuant to which TLLT alleges it invested $4.0 million in the Company. TLLT alleges that a "liquidity event" occurred when the Company closed the Business Combination, such that it was entitled to the greater of its $4.0 million investment or its “Conversion Amount” of the Company’s shares, which was a total of 14,500 shares of the Company’s stock. TLLT further alleges that the Company refused to provide it the conversion amount of shares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12. Commitments and Contingencies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until April 2022, at which point the value of its shares had dropped significantly from their peak value in August of 2021, in excess of $7.6 million. TLLT seeks damages in excess of $7.6 million, in addition to interests and its attorney's fees and costs. On March 16, 2023, the Company’s motion to dismiss TLLT’s claims was denied and the parties will move forward with discovery. On July 13, 2023, the Company filed a motion for partial summary judgment. The hearing on the Company’s motion for partial summary judgment was set for November 8, 2023, TLLT filed an Answering Brief on September 15, 2023, and the Company filed a Reply Brief on October 16, 2023. On January 31, 2024, the Superior Court denied the Company’s motion for partial summary judgment. The Company disputes the allegations in the complaint and intends to vigorously defend the litigation.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Founder Litigation</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June 8, 2021, former co-founders and shareholders of the Company, Mikhail Kokorich and Lev Khasis signed the NSA alongside stock repurchase agreements, whereby they agreed to divest their interests in the Company in exchange for a cash payments and other considerations. As part of the NSA and stock repurchase agreements, Messrs. Kokorich and Khasis agreed to a broad waiver and release of all claims (broadly defined) against the Company. The Company has maintained that this release is effective as to various advancement and indemnification claims either individual may have against the Company.</w:t>
      </w:r>
    </w:p>
    <w:p>
      <w:pPr>
        <w:spacing w:after="0" w:line="1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Both Messrs. Kokorich and Khasis have, through counsel, disagreed with the Company’s position. For example, Mr. Kokorich is named as a defendant in the securities class action pending against the Company and other defendants, although he has not been served nor appeared in those matters. In addition, Mr. Kokorich is the sole defendant in a civil litigation action filed against him by the Securities and Exchange Commission, which remains pending in the US District Court for the District of Columbia, Case No. 1:21-cv-01869. Mr. Kokorich has demanded indemnification and advancement from the Company for his fees and costs incurred in these actions, which claims are disputed by the Company.</w:t>
      </w:r>
    </w:p>
    <w:p>
      <w:pPr>
        <w:spacing w:after="0" w:line="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 continues to maintain that Mr. Kokorich’s release in the NSA and stock repurchase agreements is effective as to his claims for advancement and indemnification in these litigation matters. On August 16, 2022, Mr. Kokorich filed a verified complaint against the Company in the Delaware Court of Chancery (Case. No. 2022-0722) seeking indemnification and advancement from the Company. Following the Company filing a motion to dismiss this action, on November 14, 2022, Mr. Kokorich filed an amended complaint. Additional motions to dismiss and replies were filed and considered at a hearing on February 2, 2023. The Delaware Court of Chancery granted the Company’s motion to dismiss the Kokorich indemnification claim action on May 15, 2023.On June 13, 2023, Kokorich filed a notice of appeal. On July 28, 2023, Kokorich filed Appellant’s Brief. The Company filed Appellee’s Answering Brief on August 28, 2023, and Kokorich filed a Reply Brief on September 15, 2023. The oral argument on Kokorich’s appeal was scheduled for November 15, 2023. On November 30, 2023, the Delaware Supreme Court affirmed the judgement of the Delaware Court of Chancery.</w:t>
      </w:r>
    </w:p>
    <w:p>
      <w:pPr>
        <w:spacing w:after="0" w:line="1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On March 24, 2023, Mr. Khasis filed a verified complaint against the Company in the Delaware Court of Chancery (Case. No. 2023-0361) seeking indemnification and advancement of expenses from the Company. On April 17, 2023, the Company filed a motion to dismiss. On May 16, 2023. Mr. Khasis filed an amended complaint. On May 23, 2023, Momentus filed a motion to dismiss the amended complaint. Separately, Khasis has requested an expedited trial in his claim for advancement of fees. On June 23, 2023, the Court of Chancery ordered that Khasis indemnification litigation will not be stayed pending the appeal of the Kokorich claim. Moreover, the Court of Chancery further ordered the parties to prepare a scheduling order to the Court which includes all relevant deadlines to argue the Company’s motion to dismiss and Khasis’ expedited motion for advancement concurrently. The parties are currently negotiating concerning an acceptable schedule. On October 17, 2023, the parties reached an agreement to stay the proceeding until January 1, 2024. On October 18, 2023, the Company paid Mr. Khasis $0.1 million related to Mr. Khasis’ legal expenses. The Company disputes the allegations in the complaint and intends to vigorously defend the litigation.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Delaware Class Actions</w:t>
      </w:r>
    </w:p>
    <w:p>
      <w:pPr>
        <w:spacing w:after="0" w:line="14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November 10, 2022, purported stockholders filed a putative class action complaint against Brian Kabot, James Hofmockel, Ann Kono, Marc Lehmann, James Norris, Juan Manuel Quiroga, SRC-NI Holdings, LLC, Edward K. Freedman, Mikhail Kokorich, Dawn Harms, Fred Kennedy, and John C. Rood in the Court of Chancery of the State of Delaware, in a case captioned Shirley, et al. v. Kabot et al., 2022-1023-PAF (the “Shirley Action”). The complaint alleges that the defendants made certain material misrepresentations, and omitted certain material</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12. Commitments and Contingencies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information, in their public statements and disclosures regarding the Proposed Transaction, in violation of the securities laws, and seeks damages on behalf of a putative class of stockholders who purchased SRAC stock on or before August 9, 2021.</w:t>
      </w:r>
    </w:p>
    <w:p>
      <w:pPr>
        <w:spacing w:after="0" w:line="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March 16, 2023, purported stockholders of the Company filed a putative class action complaint against certain current and former directors and officers of the Company in the Delaware Court of Chancery, in a case captioned Lora v. Kabot, et al., Case No. 2023-0322 (the “Lora Action”). Like the Shirley complaint, the complaint alleges that the defendants made certain material misrepresentations, and omitted certain material information, in their public statements and disclosures regarding the Business Combination in violation of the securities laws, and seeks damages on behalf of a putative class of stockholders who purchased SRAC stock on or before August 9, 2021.</w:t>
      </w:r>
    </w:p>
    <w:p>
      <w:pPr>
        <w:spacing w:after="0" w:line="1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March 17, 2023, purported stockholders of the Company filed a putative class action complaint against certain current and former directors and officers of the Company in the Delaware Court of Chancery, in a case captioned Burk v. Kabot, et al., Case No. 2023-0334 (the “Burk Action”). Like the Lora and Shirley complaints, the Burk complaint alleges that the defendants made certain material misrepresentations, and omitted certain material information, in their public statements and disclosures regarding the Business Combination in violation of the securities laws, and seeks damages on behalf of a putative class of stockholders who purchased SRAC stock on or before August 9, 2021.</w:t>
      </w:r>
    </w:p>
    <w:p>
      <w:pPr>
        <w:spacing w:after="0" w:line="11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May 26, 2023, plaintiffs filed a stipulation and proposed order for consolidation and appointment of co-lead plaintiffs and co-lead plaintiffs’ counsel designating the complaint filed in the Lora Action as the operative complaint. On June 30, 2023, the defendants each filed a motion to dismiss the complaint. On October 26, 2023, plaintiffs filed their answering briefs in opposition to the motions to dismiss, and the defendants’ reply briefs are due to be filed on or before December 14, 2023, and a hearing on the motions to dismiss was held for February 1, 2024.</w:t>
      </w:r>
    </w:p>
    <w:p>
      <w:pPr>
        <w:spacing w:after="0" w:line="9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Shirley Action, the Lora Action, and the Burk Action have been consolidated under the caption, In re Momentus, Inc. Stockholders Litigation, C.A. No. 2022-1023-PAF (Del Ch. Nov. 10, 2022). These putative class actions do not name the Company as a defendant. Regardless, the SRAC directors and officers, together with current and former directors and officers of the Company, have demanded indemnification and advancement from the Company, under the terms of the merger agreement and the exhibits thereto, the Delaware corporate code, the Company’s bylaws, and their individual indemnification agreements. The Company may be liable for the fees and costs incurred by the defendants and has an obligation to advance such fees during the pendency of the litigation. The Company understands that the defendants dispute the allegations in the complaint and intend to vigorously defend against any such litigation.</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Threatened Claims</w:t>
      </w:r>
    </w:p>
    <w:p>
      <w:pPr>
        <w:spacing w:after="0" w:line="1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On October 23, 2023, Stephen J. Purcell, on behalf of the law firm Purcell &amp; Lefkowitz LLP, threatened to file a legal proceeding to receive attorney’s fees in the amount of $80,000 related to a stockholder litigation demand letter submitted to Momentus, dated July 20, 2021 on behalf of Joel Zalvin, a purported stockholder of Momentus. The stockholder litigation demand letter asserted that the vote to increase the number of shares of Class A common stock of Momentus at the special meeting of stockholders on August 11, 2021 was conducted in violation of Delaware law. On March 14, 2023, the Delaware Court of Chancery granted the Company’s request pursuant to 8 Del. C. §205, or Section 205 of the Delaware General Corporation Law (the “Petition”) in order to validate and declare effective the Second Amended and Restated Certificate of Incorporation of the Company and validate and declare effective the shares of the Company’s Class A common stock issued in reliance on such provisions of the Second Amended and Restated Certificate of Incorporation of the Company as of the date of the original issuance of such shares. Further on March 14, 2023, the Court of Chancery entered an order under 8 Del. C. §205 (i) declaring the Second Amended and Restated Certificate of Incorporation of the Company, including the filing and effectiveness thereof, as validated and effective retroactive to the date of its filing with the Office of the Secretary of State of the State of Delaware on August 12, 2021, and (ii) ordering that the Company’s Class A common stock (and the issuance of the Class A common stock) described in the Petition and any other securities issued in reliance of the validity of the Second Amended and Restated Certificate of Incorporation of the Company are validated and declared effective, each as of the original issuance dates. Momentus did not take action in response to the July 20, 2021 demand letter, but rather filed the Petition over one year later, following a decision by the Delaware Chancery Court that created uncertainty as to the validity of the Company’s Second Amended and Restated Certificate of</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12. Commitments and Contingencies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Incorporation. Accordingly, Momentus believes that the threatened claim is without merit and intends to vigorously defend any such claim if brought.</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Prior to the close of the Business Combination, Alex Ciccotelli, represented by Rigrodsky Law, sent SRAC a disclosure demand letter dated November 9, 2020, and Jeffrey Justice II, represented by Grabar Law Office, sent SRAC a disclosure demand letter dated August 3, 2021. Mr. Ciccotelli then filed a civil action against SRAC. After receiving various shareholder disclosure demands, SRAC voluntarily issued certain pre-closing supplemental disclosures, without admission, as stated in its August 5, 2021 Form 8-K filing. The Ciccotelli action was thereafter dismissed as moot. On March 20, 2023, Rigrodsky Law threatened to file a fee petition seeking an award of fees and expenses if the Company does not agree to pay a mootness fee, and more recently, in October 2023, reiterated the demand on behalf of Messrs. Ciccotelli and Justice for payment of mootness fees. The Company maintains that, while certain amendments were made by SRAC to pre-closing disclosures, none of the disclosures made was material and the Company disputes that the claims for fees have merit.</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Litigation and Related Matters</w:t>
      </w:r>
    </w:p>
    <w:p>
      <w:pPr>
        <w:spacing w:after="0" w:line="15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These and other litigation matters may be time-consuming, divert management’s attention and resources, cause the Company to incur significant defense and settlement costs or liability, even if we believe the claims asserted against us are without merit. We intend to vigorously defend against all such claims. Because of the potential risks, expenses and uncertainties of litigation, as well as claims for indemnity from various of the parties concerned, we may from time to time settle disputes, even where we believe that we have meritorious claims or defenses. Because litigation is inherently unpredictable, further compounded by various claims for indemnity which may or may not be fully insured, we cannot assure that the results of these actions, either individually or in the aggregate, will not have a material adverse effect on our operating results and financial condition.</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From time to time, the Company may be a party to litigation and subject to claims incident to the ordinary course of business or in connection with the matters discussed above. Although the results of litigation and claims cannot be predicted with certainty, the Company currently believes that the final outcome of these matters will not have a material adverse effect on its business. Regardless of the outcome, litigation can have an adverse impact on the Company because of judgment, defense and settlement costs, diversion of management resources and other factors. At each reporting period, the Company evaluates whether or not a potential loss amount or a potential range of loss is probable and reasonably estimable under ASC Sub-Topic 450-20. Legal fees are expensed as incurred.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13. Income Taxes</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Company’s effective tax rate for the three months ended March 31, 2024 and 2023 respectively, was zero percent. The effective tax rate may vary significantly from period to period and can be influenced by many factors. These factors include, but are not limited to, changes to the statutory rates in the jurisdictions where the Company has operations and changes in the valuation of deferred tax assets and liabilities. The difference between the effective tax rate and the federal statutory rate of 21% primarily relates to certain nondeductible items, state and local income taxes, the absence of current income tax, and a full valuation allowance for deferred tax assets.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14. Subsequent Events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Related Party Promissory Notes</w:t>
      </w:r>
    </w:p>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On June 21, 2024, the Company issued six promissory notes for an aggregate amount of $500,000 to participating directors and an officer of the Company. The proceeds from the notes were used to pay for employee retention payments, working capital, and general corporate expenses. Each note issued bore an annual interest rate of 5.12% equal to the minimum applicable federal rate published by the Internal Revenue Service for June 2024. Each note held a maturity date of September 30, 2024 and was secured by the Company’s assets. Principal and interest payments were due by the maturity date and the notes would have become immediately due upon the occurrence of certain customary event of default, including failure to pay amounts owing when due and/or certain events involving a discontinuation of our business or certain types of proceedings involving insolvency, bankruptcy, receivership and the like. On September 12, 2024, the six promissory notes were repaid in full to the participating directors and officer of the Company.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Convertible Promissory Note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14. Subsequent Events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0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July 12, 2024, the Company and Space Infrastructure Ventures (“SIV”) entered into a secured convertible promissory note (the “Convertible Note”) pursuant to which the Company borrowed $2.3 million as of September 26, 2024. The Convertible Note bears an annual interest rate of 15%. Principal on the Convertible Note is to be re-paid in four equal payments on a quarterly basis, commencing on December 1, 2024, and maturing on September 1, 2025, at which time all accrued interest is due.</w:t>
      </w:r>
    </w:p>
    <w:p>
      <w:pPr>
        <w:spacing w:after="0" w:line="9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Amounts borrowed under the Convertible Note are secured by a lien on substantially all of the assets of the Company. In lieu of cash payments of accrued interest, SIV, in its sole discretion, may elect to receive shares of Class A common stock at a conversion price of $0.53 per share (the “Conversion Price”). On the maturity date, subject to the satisfaction of applicable legal and regulatory conditions, all outstanding obligations under the Convertible Note automatically convert into Class A common stock at the Conversion Price.</w:t>
      </w:r>
    </w:p>
    <w:p>
      <w:pPr>
        <w:spacing w:after="0" w:line="10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Convertible Note requires SIV’s consent to take certain actions, such as increasing compensation, purchasing assets, extending financing, making capital expenditures, repaying debts outside the ordinary course of business or investing in any entity or enterprise.</w:t>
      </w:r>
    </w:p>
    <w:p>
      <w:pPr>
        <w:spacing w:after="0" w:line="8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Convertible Note can be prepaid in full at any time, subject to a prepayment penalty fee of 10%. The Convertible Note will accelerate and become immediately due upon the occurrence of certain customary events of default, including failure to pay amounts owing when due and/or certain events involving a discontinuation of our business or certain types of proceedings involving insolvency, bankruptcy, receivership and the like, or a change of control of Momentus.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Indemnification Claims</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On July 31, 2024, certain former employees of the Company obtained a legal judgment in the amount of $526 thousand inclusive of interest and expenses related to claims for the advancement and reimbursement of certain legal expenses of the former employees. The Company paid the former employees $526 thousand inclusive of interest and expenses related to claims for the advancement and reimbursement of certain legal expenses of the former employees in September 2024.</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Venture-Class Acquisition of Dedicated Rideshare Contract</w:t>
      </w:r>
    </w:p>
    <w:p>
      <w:pPr>
        <w:spacing w:after="0" w:line="14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On August 22, 2024, NASA selected the Company to participate as a launch provider in the Venture-Class Acquisition of Dedicated Rideshare (“VADR”) contract. The VADR program is anticipated to allow NASA to deliver Class D, CubeSats, and higher risk-tolerant payloads to a variety of orbits. The Company executed the VADR contract with NASA on August 19, 2024.</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Settlement of Derivative Litigation</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On August 26, 2024, an unopposed motion for the preliminary approval of settlement was filed after the Company reached an agreement in principle for a proposed settlement of certain shareholder derivative litigation. The proposed settlement, as set forth more fully in the Stipulation and Agreement of Settlement filed with the court, requires the Company to adopt certain corporate governance reforms. The reforms must be maintained for a minimum period of four years.</w:t>
      </w:r>
    </w:p>
    <w:p>
      <w:pPr>
        <w:spacing w:after="0" w:line="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September 16, 2024, the U.S. District Court for the Northern District of California issued an order primarily approving the settlement and providing for notice of the settlement to stockholders of the Company in the matters captioned Hanna v. Kabot, et al., Case No. 5:23-cv-00374 (N.D. Cal.); Rivlen v. Kabot, et al., Case No. 2:23-cv-03120 (C.D. Cal.); Lindsey v. Quiroga, et al., Case No. 20230674 (Del. Ch.); and the litigation demand made by Momentus stockholder, Kamal Qureshi (collectively, the “Derivative Matters”). The proposed settlement calls for the Company to adopt certain corporate governance reforms and pay lead plaintiffs’ attorney’s fees, litigation expenses, and lead plaintiff service awards.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order set a final approval hearing for November 21, 2024.</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September 2024 Securities Purchase Agreement</w:t>
      </w:r>
    </w:p>
    <w:p>
      <w:pPr>
        <w:spacing w:after="0" w:line="14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On September 15, 2024, the Company entered into a Securities Purchase Agreement with an investor, pursuant to which the Company issued and sold to an investor in a private placement transaction (the “September Offering”), (i) pre-funded warrants to purchase 5,000,000 shares of the Company’s Class A common stock at a purchase price of</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14. Subsequent Events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0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$0.55 per share (the “September Pre-Funded Warrants”), (ii) Class A warrants to purchase 10,000,000 shares of Class A common stock (the “Class A Warrants”), and (iii) Class B warrants to purchase 5,000,000 shares of Class A common stock (the “Class B Warrants” and, collectively with the Class A Warrants, the “September Warrants”).</w:t>
      </w:r>
    </w:p>
    <w:p>
      <w:pPr>
        <w:spacing w:after="0" w:line="8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received aggregate gross proceeds of approximately $2.75 million, before deducting estimated placement agent commissions and expenses. The offering closed on September 17, 2024.</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September Pre-Funded Warrants have an exercise price of $0.00001 per share and are exercisable any time after issuance and will not expire until exercised.</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September Warrants have an exercise price per share of Class A common stock equal to $0.575 per share. The Class A Warrants will expire on March 17, 2030, and the Class B Warrants will expire on March 17, 2026. The exercise price and the number of shares of Class A common stock issuable upon exercise of the September Warrants is subject to appropriate adjustments in the event of certain stock dividends and distributions, stock splits, stock combinations, reclassifications or similar events affecting the Class A common stock. The investor may not exercise the September Warrants until 6 months after the original issuance date of the September Warrants.</w:t>
      </w:r>
    </w:p>
    <w:p>
      <w:pPr>
        <w:spacing w:after="0" w:line="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connection with the September Offering, the Company entered into a Placement Agency Agreement on September 15, 2024, with the agency which assisted with the transaction. The Company paid a cash placement agent commission equal to 7.0% of gross proceeds from the September Offering and issued warrants (the “Placement Agent Warrants”) to purchase 500,000 shares of Class A common stock at an exercise price of $0.6325, exercisable immediately, as compensation for services. One half of the Placement Agent Warrants have a term of 18 months from the date of issuance and the other half have a term of five years from the date of issuance.</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i w:val="1"/>
          <w:iCs w:val="1"/>
          <w:color w:val="auto"/>
        </w:rPr>
        <w:t>The following discussion and analysis provides information which our management believes is relevant to an assessment and understanding of our results of operations and financial condition. This discussion and analysis should be read together with our audited and unaudited financial statements and related notes appearing elsewhere in this Quarterly Report on Form 10-Q (this “Form 10-Q”) and our Annual Report on Form 10-K filed with the SEC on June 6, 2024. This discussion and analysis should also be read together with our financial information for the period ended as of March 31, 2024. In addition to historical financial information, this discussion and analysis contains forward-looking statements that reflect our plans, estimates, and beliefs that involve risks, uncertainties and assumptions. As a result of many factors, such as those set forth under the “Risk Factors” under Part II, Item 1A: "Risk Factors," in this Form 10-Q and under Part I, Item 1A in our Annual Report on Form 10-K filed with the SEC on June 6, 2024, and “Cautionary Statement Regarding Forward-Looking Statements” elsewhere in this Form 10-Q, our actual results may differ materially from those anticipated in these forward-looking statements.</w:t>
      </w:r>
    </w:p>
    <w:p>
      <w:pPr>
        <w:spacing w:after="0" w:line="1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i w:val="1"/>
          <w:iCs w:val="1"/>
          <w:color w:val="auto"/>
        </w:rPr>
        <w:t>Certain figures, such as interest rates and other percentages, included in this section have been rounded for ease of presentation. Percentage figures included in this section have not in all cases been calculated on the basis of such rounded figures but on the basis of such amounts prior to rounding. For this reason, percentage amounts in this section may vary slightly from those obtained by performing the same calculations using the figures in our financial statements or in the associated text. Certain other amounts that appear in this section may similarly vary slightly due to rounding.</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4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Momentus offers or plans to offer satellites, satellite buses, satellite technologies including solar arrays, and transportation and infrastructure services to help enable the commercialization of space for commercial companies and to support the missions of U.S. and friendly governments missions. Satellite operators are our target commercial customers. Momentus is also seeking business in support of U.S. Government missions for Departments and Agencies like NASA and the Department of Defense.</w:t>
      </w:r>
    </w:p>
    <w:p>
      <w:pPr>
        <w:spacing w:after="0" w:line="10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Products and services that we plan to provide include provision of satellites, satellite buses, satellite technologies including solar arrays, integration of payload instruments, “last mile” satellite transportation, payload-hosting, on-orbit satellite refueling, on-orbit inspection, on-orbit satellite maintenance, de-orbiting, debris removal, and other satellite-to-satellite service offerings.</w:t>
      </w:r>
    </w:p>
    <w:p>
      <w:pPr>
        <w:spacing w:after="0" w:line="10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Our transportation service offering focuses on delivering our customers’ satellites to precision orbits of their choosing. To accomplish this, we partner with leading launch service providers, such as SpaceX to “ride share” our customers' satellites from Earth to space on a midsized or large rocket. Customer satellites can also be carried aboard small launch vehicles for dedicated missions. Our OSVs would then provide “last mile” transportation services from the rocket’s drop-off orbit to a custom orbit of the satellite operator’s choosing. We believe this “hub-and-spoke” model has the potential to expand our customers’ deployment options relative to what they would be able to achieve with ride share launch alone, while reducing their costs relative to what they could achieve with a dedicated small launch vehicle. Over time, we plan to begin introducing additional services beyond transportation and hosted payloads.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Since Momentus’ founding in 2017, we have been working to develop, test and enhance our vehicles and supporting technologies, particularly our water plasma propulsion technology.</w:t>
      </w:r>
    </w:p>
    <w:p>
      <w:pPr>
        <w:spacing w:after="0" w:line="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services are made possible by the space industry’s rapid technological developments over the past two decades, driven predominantly by significant decreases in launch costs, as well as the advent of smaller, lower-cost satellites. The convergence of these trends has resulted in substantial growth in the commercial space market, rooted in higher accessibility for companies entering the new space economy that aim to offer communication, earth observation and data collection services, and other satellite services.</w:t>
      </w:r>
    </w:p>
    <w:p>
      <w:pPr>
        <w:spacing w:after="0" w:line="10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anticipate potential considerable growth over the coming years in the space transportation segment as companies continue to seek versatile and low-cost ways to deliver single satellites to specific orbits or deploy their satellite constellations. We anticipate that the need for small satellite transportation to low-earth orbit will continue to drive overall demand growth for space transportation services in the short-term as technology advancements continue to make space more accessible to new market entrants, although new applications beyond low-earth orbit are also emerging. We also believe that over the next decade, new space-based businesses may emerge, for example the generation of solar energy in space, space manufacturing or space data processing. The advent of these new business models could substantially increase demand for space transportation and other space infrastructure services.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3051F2"/>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Beyond transportation, we anticipate that growth of the satellite constellations market may drive demand for our satellites, satellites buses, and technologies like solar arrays, hosted payload, on-orbit satellite refueling, on-orbit inspection, on-orbit satellite maintenance, de-orbiting, debris removal, and other satellite-to-satellite service offerings, if we are successful in executing on our business plan, including fully developing and validating our technology in space. Satellite constellations have relatively low lifespans and, in our view, will require maintenance, de-orbiting, and other general servicing with higher frequency.</w:t>
      </w:r>
    </w:p>
    <w:p>
      <w:pPr>
        <w:spacing w:after="0" w:line="9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Momentus has developed the M-1000 satellite bus that the Company is offering to both commercial and U.S. government customers. The market for satellite buses in this class is substantial and growing. The M-1000 satellite bus is based on the Vigoride OSV and has substantial commonality.</w:t>
      </w:r>
    </w:p>
    <w:p>
      <w:pPr>
        <w:spacing w:after="0" w:line="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Momentus has launched four missions to date, deployed 17 customer satellites, and provided hosted payload services. Three of these missions involved operation of the Vigoride OSV in orbit. During these three Vigoride missions, the system and technology were tested repeatedly. Improvements based on lessons learned during these missions were rapidly incorporated. As a result of these three missions, the Vigoride OSV has been successfully demonstrated in space and accumulated significant flight heritage.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Components of Results of Operations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Service Revenue</w:t>
      </w:r>
    </w:p>
    <w:p>
      <w:pPr>
        <w:spacing w:after="0" w:line="15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enter into contracts for ‘last-mile’ satellite and cargo delivery, payload hosting and in-orbit servicing options with customers that are primarily in the aerospace industry. The Company recognizes revenue (along with any other fees that have been paid) upon the earlier of the satisfaction of our performance obligation or when the customer cancels the contract. The Company also enters into contracts to perform analysis and provide engineering services to U.S. Government organizations.</w:t>
      </w:r>
    </w:p>
    <w:p>
      <w:pPr>
        <w:spacing w:after="0" w:line="3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general, our customers have the right to cancel their contracts with the understanding that they will forgo their deposits. If a customer cancels a contract before it is required to pay non-refundable deposits, we may not receive revenue from these orders, except for an initial deposit which is paid at the time the contract is signed.</w:t>
      </w:r>
    </w:p>
    <w:p>
      <w:pPr>
        <w:spacing w:after="0" w:line="8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During the quarter ended March 31, 2024, the Company recognized $0.5 million of revenue, primarily from the completion of performance obligations on engineering services performed for U.S. government as well as some forfeited customer deposits upon contract expiration and engineering project services.</w:t>
      </w:r>
    </w:p>
    <w:p>
      <w:pPr>
        <w:spacing w:after="0" w:line="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As of March 31, 2024, we have signed contracts with customers and have collected approximately $1.1 million in customer deposits, $0.6 million of which are recorded as non-current contract liabilities in our condensed consolidated balance sheets.</w:t>
      </w:r>
    </w:p>
    <w:p>
      <w:pPr>
        <w:spacing w:after="0" w:line="8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estimates variable consideration at the most likely amount, which is included in the transaction price to the extent it is probable that a significant reversal of cumulative revenue recognized will not occur. While the Company’s standard contracts do not contain refund or recourse provisions that enable its customers to recover any non-refundable fees that have been paid, the Company may issue full or partial refunds to customers on a case-by-case basis as necessary to preserve and foster future business relationships and customer goodwill. Contracts to provide engineering services to U.S. Government organizations generally have milestone payments subject to the variable consideration constraint. When a milestone is achieved, the Company updates its estimate of the transaction price to include the milestone payment and records a cumulative catch-up in revenue.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Revenue</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Cost of revenue consists primarily of expenses associated with third-party launch costs. Development of the orbital service vehicles is part of the Company’s technology roadmap. Therefore, to date, the cost of these orbital service vehicles has been expensed as research and development costs as materials and services are received. The current design and technology allow for a single use of the orbital service vehicle.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Research and development expenditures consist primarily of the cost of the following activities for developing existing and future technologies for our satellites, satellite technologies, and our Orbital Service Vehicles. Research and development activities include basic research, applied research, design, development, and related test program</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3051F2"/>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activities. Costs incurred for developing our technologies primarily include equipment, material, and labor hours (both internal and subcontractors). The Company also records launch costs related to the testing of its Vigoride vehicles as research and development costs.</w:t>
      </w:r>
    </w:p>
    <w:p>
      <w:pPr>
        <w:spacing w:after="0" w:line="74" w:lineRule="exact"/>
        <w:rPr>
          <w:sz w:val="20"/>
          <w:szCs w:val="20"/>
          <w:color w:val="auto"/>
        </w:rPr>
      </w:pPr>
    </w:p>
    <w:p>
      <w:pPr>
        <w:ind w:right="2220"/>
        <w:spacing w:after="0" w:line="427" w:lineRule="auto"/>
        <w:rPr>
          <w:sz w:val="20"/>
          <w:szCs w:val="20"/>
          <w:color w:val="auto"/>
        </w:rPr>
      </w:pPr>
      <w:r>
        <w:rPr>
          <w:rFonts w:ascii="Times New Roman" w:cs="Times New Roman" w:eastAsia="Times New Roman" w:hAnsi="Times New Roman"/>
          <w:sz w:val="17"/>
          <w:szCs w:val="17"/>
          <w:color w:val="auto"/>
        </w:rPr>
        <w:t xml:space="preserve">As of March 31, 2024, we have expensed all research and development costs associated with developing and building our vehicles. </w:t>
      </w:r>
      <w:r>
        <w:rPr>
          <w:rFonts w:ascii="Times New Roman" w:cs="Times New Roman" w:eastAsia="Times New Roman" w:hAnsi="Times New Roman"/>
          <w:sz w:val="17"/>
          <w:szCs w:val="17"/>
          <w:b w:val="1"/>
          <w:bCs w:val="1"/>
          <w:i w:val="1"/>
          <w:iCs w:val="1"/>
          <w:color w:val="auto"/>
        </w:rPr>
        <w:t>Selling, General and Administrative</w:t>
      </w:r>
    </w:p>
    <w:p>
      <w:pPr>
        <w:spacing w:after="0" w:line="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Selling, general and administrative expenses consist of human capital related expenses for employees involved in general corporate functions, including executive management and administration, accounting, finance, tax, legal, information technology, security, sales, marketing, and human resources; depreciation expense and rent relating to facilities, and equipment; professional fees; and other general corporate costs. Headcount-related expenses primarily include salaries, bonuses, equity compensation expense and benefits.</w:t>
      </w:r>
    </w:p>
    <w:p>
      <w:pPr>
        <w:spacing w:after="0" w:line="9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also incur additional expenses as a result of operating as a public company, including expenses necessary to comply with the rules and regulations applicable to companies listed on a national securities exchange and related to compliance and reporting obligations pursuant to the rules and regulations of the SEC.</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 in Fair Value of Warrant Liability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Changes in the fair value of warrants consists of changes in the estimated fair value of our warrant liability.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Income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Interest income consists of interest earned by the Company on investment holdings in interest bearing bank accounts.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Interest expense includes interest incurred by the Company related to our loan payables as well as the amortization of warrant discount and debt issuance costs.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Other income (expense) primarily relates to non-recurring fees incurred in conjunction with the Term Loan financing, SEC settlement cost, and other immaterial items.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 Provision</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are subject to income taxes in the United States. Our income tax provision consists of an estimate of federal and state income taxes based on enacted federal and state tax rates, as adjusted for allowable credits, deductions, uncertain tax positions, changes in the valuation of our deferred tax assets and liabilities, and changes in tax laws.</w:t>
      </w:r>
    </w:p>
    <w:p>
      <w:pPr>
        <w:spacing w:after="0" w:line="10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effective tax rate may vary significantly from period to period and can be influenced by many factors. These factors include, but are not limited to, changes to the statutory rates in the jurisdictions where the Company has operations and changes in the valuation of deferred tax assets and liabilities. The difference between the effective tax rate and the federal statutory rate of 21% primarily relates to certain nondeductible items, state and local income taxes and a full valuation allowance for deferred tax assets.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4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following tables set forth our results of operations for the periods presented. The period-to-period comparisons of financial results are not necessarily indicative of future results.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95"/>
        </w:trPr>
        <w:tc>
          <w:tcPr>
            <w:tcW w:w="4200" w:type="dxa"/>
            <w:vAlign w:val="bottom"/>
            <w:gridSpan w:val="2"/>
          </w:tcPr>
          <w:p>
            <w:pPr>
              <w:spacing w:after="0"/>
              <w:rPr>
                <w:sz w:val="20"/>
                <w:szCs w:val="20"/>
                <w:color w:val="auto"/>
              </w:rPr>
            </w:pPr>
            <w:r>
              <w:rPr>
                <w:rFonts w:ascii="Times New Roman" w:cs="Times New Roman" w:eastAsia="Times New Roman" w:hAnsi="Times New Roman"/>
                <w:sz w:val="17"/>
                <w:szCs w:val="17"/>
                <w:color w:val="3051F2"/>
              </w:rPr>
              <w:t>Table of Contents</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0"/>
        </w:trPr>
        <w:tc>
          <w:tcPr>
            <w:tcW w:w="1220" w:type="dxa"/>
            <w:vAlign w:val="bottom"/>
            <w:shd w:val="clear" w:color="auto" w:fill="3051F2"/>
          </w:tcPr>
          <w:p>
            <w:pPr>
              <w:spacing w:after="0" w:line="20" w:lineRule="exact"/>
              <w:rPr>
                <w:sz w:val="1"/>
                <w:szCs w:val="1"/>
                <w:color w:val="auto"/>
              </w:rPr>
            </w:pPr>
          </w:p>
        </w:tc>
        <w:tc>
          <w:tcPr>
            <w:tcW w:w="462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780"/>
        </w:trPr>
        <w:tc>
          <w:tcPr>
            <w:tcW w:w="6500" w:type="dxa"/>
            <w:vAlign w:val="bottom"/>
            <w:gridSpan w:val="6"/>
          </w:tcPr>
          <w:p>
            <w:pPr>
              <w:spacing w:after="0"/>
              <w:rPr>
                <w:sz w:val="20"/>
                <w:szCs w:val="20"/>
                <w:color w:val="auto"/>
              </w:rPr>
            </w:pPr>
            <w:r>
              <w:rPr>
                <w:rFonts w:ascii="Times New Roman" w:cs="Times New Roman" w:eastAsia="Times New Roman" w:hAnsi="Times New Roman"/>
                <w:sz w:val="17"/>
                <w:szCs w:val="17"/>
                <w:b w:val="1"/>
                <w:bCs w:val="1"/>
                <w:color w:val="auto"/>
              </w:rPr>
              <w:t>Comparison of Financial Results for the Three Months Ended March 31, 2024 and 2023</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66"/>
        </w:trPr>
        <w:tc>
          <w:tcPr>
            <w:tcW w:w="12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00" w:type="dxa"/>
            <w:vAlign w:val="bottom"/>
            <w:gridSpan w:val="5"/>
          </w:tcPr>
          <w:p>
            <w:pPr>
              <w:ind w:left="54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33"/>
        </w:trPr>
        <w:tc>
          <w:tcPr>
            <w:tcW w:w="12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r>
      <w:tr>
        <w:trPr>
          <w:trHeight w:val="244"/>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380" w:type="dxa"/>
            <w:vAlign w:val="bottom"/>
          </w:tcPr>
          <w:p>
            <w:pPr>
              <w:spacing w:after="0"/>
              <w:rPr>
                <w:sz w:val="21"/>
                <w:szCs w:val="21"/>
                <w:color w:val="auto"/>
              </w:rPr>
            </w:pPr>
          </w:p>
        </w:tc>
        <w:tc>
          <w:tcPr>
            <w:tcW w:w="1260" w:type="dxa"/>
            <w:vAlign w:val="bottom"/>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80" w:type="dxa"/>
            <w:vAlign w:val="bottom"/>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82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38"/>
        </w:trPr>
        <w:tc>
          <w:tcPr>
            <w:tcW w:w="42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 revenue</w:t>
            </w:r>
          </w:p>
        </w:tc>
        <w:tc>
          <w:tcPr>
            <w:tcW w:w="380" w:type="dxa"/>
            <w:vAlign w:val="bottom"/>
            <w:tcBorders>
              <w:top w:val="single" w:sz="8" w:color="auto"/>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w:t>
            </w:r>
          </w:p>
        </w:tc>
        <w:tc>
          <w:tcPr>
            <w:tcW w:w="100" w:type="dxa"/>
            <w:vAlign w:val="bottom"/>
            <w:tcBorders>
              <w:top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491</w:t>
            </w:r>
          </w:p>
        </w:tc>
        <w:tc>
          <w:tcPr>
            <w:tcW w:w="100" w:type="dxa"/>
            <w:vAlign w:val="bottom"/>
            <w:tcBorders>
              <w:top w:val="single" w:sz="8" w:color="CCEEFF"/>
            </w:tcBorders>
            <w:shd w:val="clear" w:color="auto" w:fill="CCEEFF"/>
          </w:tcPr>
          <w:p>
            <w:pPr>
              <w:spacing w:after="0"/>
              <w:rPr>
                <w:sz w:val="20"/>
                <w:szCs w:val="20"/>
                <w:color w:val="auto"/>
              </w:rPr>
            </w:pP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2232 %</w:t>
            </w:r>
          </w:p>
        </w:tc>
      </w:tr>
      <w:tr>
        <w:trPr>
          <w:trHeight w:val="232"/>
        </w:trPr>
        <w:tc>
          <w:tcPr>
            <w:tcW w:w="42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Gross profit</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491</w:t>
            </w:r>
          </w:p>
        </w:tc>
        <w:tc>
          <w:tcPr>
            <w:tcW w:w="1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2232 %</w:t>
            </w:r>
          </w:p>
        </w:tc>
      </w:tr>
      <w:tr>
        <w:trPr>
          <w:trHeight w:val="213"/>
        </w:trPr>
        <w:tc>
          <w:tcPr>
            <w:tcW w:w="4200" w:type="dxa"/>
            <w:vAlign w:val="bottom"/>
            <w:gridSpan w:val="2"/>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r>
      <w:tr>
        <w:trPr>
          <w:trHeight w:val="239"/>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251"/>
        </w:trPr>
        <w:tc>
          <w:tcPr>
            <w:tcW w:w="4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2,676</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10,119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(7,443)</w:t>
            </w:r>
          </w:p>
        </w:tc>
        <w:tc>
          <w:tcPr>
            <w:tcW w:w="10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(74 %)</w:t>
            </w:r>
          </w:p>
        </w:tc>
      </w:tr>
      <w:tr>
        <w:trPr>
          <w:trHeight w:val="239"/>
        </w:trPr>
        <w:tc>
          <w:tcPr>
            <w:tcW w:w="42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6,164</w:t>
            </w:r>
          </w:p>
        </w:tc>
        <w:tc>
          <w:tcPr>
            <w:tcW w:w="10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10,270</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(4,106)</w:t>
            </w:r>
          </w:p>
        </w:tc>
        <w:tc>
          <w:tcPr>
            <w:tcW w:w="100" w:type="dxa"/>
            <w:vAlign w:val="bottom"/>
            <w:tcBorders>
              <w:bottom w:val="single" w:sz="8" w:color="CCEEFF"/>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(40 %)</w:t>
            </w:r>
          </w:p>
        </w:tc>
      </w:tr>
      <w:tr>
        <w:trPr>
          <w:trHeight w:val="238"/>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8,840</w:t>
            </w:r>
          </w:p>
        </w:tc>
        <w:tc>
          <w:tcPr>
            <w:tcW w:w="100" w:type="dxa"/>
            <w:vAlign w:val="bottom"/>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20,389</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(11,549)</w:t>
            </w:r>
          </w:p>
        </w:tc>
        <w:tc>
          <w:tcPr>
            <w:tcW w:w="100" w:type="dxa"/>
            <w:vAlign w:val="bottom"/>
            <w:shd w:val="clear" w:color="auto" w:fill="CCEEFF"/>
          </w:tcPr>
          <w:p>
            <w:pPr>
              <w:spacing w:after="0"/>
              <w:rPr>
                <w:sz w:val="20"/>
                <w:szCs w:val="20"/>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(57 %)</w:t>
            </w:r>
          </w:p>
        </w:tc>
      </w:tr>
      <w:tr>
        <w:trPr>
          <w:trHeight w:val="238"/>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Loss from operations</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(8,327)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(20,367)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12,040</w:t>
            </w:r>
          </w:p>
        </w:tc>
        <w:tc>
          <w:tcPr>
            <w:tcW w:w="1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(59 %)</w:t>
            </w:r>
          </w:p>
        </w:tc>
      </w:tr>
      <w:tr>
        <w:trPr>
          <w:trHeight w:val="213"/>
        </w:trPr>
        <w:tc>
          <w:tcPr>
            <w:tcW w:w="4200" w:type="dxa"/>
            <w:vAlign w:val="bottom"/>
            <w:gridSpan w:val="2"/>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r>
      <w:tr>
        <w:trPr>
          <w:trHeight w:val="239"/>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251"/>
        </w:trPr>
        <w:tc>
          <w:tcPr>
            <w:tcW w:w="4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Change in fair value of warrant liability</w:t>
            </w:r>
          </w:p>
        </w:tc>
        <w:tc>
          <w:tcPr>
            <w:tcW w:w="38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10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39"/>
        </w:trPr>
        <w:tc>
          <w:tcPr>
            <w:tcW w:w="42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Interest income</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(537)</w:t>
            </w:r>
          </w:p>
        </w:tc>
        <w:tc>
          <w:tcPr>
            <w:tcW w:w="1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(97 %)</w:t>
            </w:r>
          </w:p>
        </w:tc>
      </w:tr>
      <w:tr>
        <w:trPr>
          <w:trHeight w:val="251"/>
        </w:trPr>
        <w:tc>
          <w:tcPr>
            <w:tcW w:w="4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expense</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863</w:t>
            </w:r>
          </w:p>
        </w:tc>
        <w:tc>
          <w:tcPr>
            <w:tcW w:w="10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(94 %)</w:t>
            </w:r>
          </w:p>
        </w:tc>
      </w:tr>
      <w:tr>
        <w:trPr>
          <w:trHeight w:val="239"/>
        </w:trPr>
        <w:tc>
          <w:tcPr>
            <w:tcW w:w="42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7"/>
                <w:szCs w:val="17"/>
                <w:color w:val="auto"/>
              </w:rPr>
              <w:t>Other income</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0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tcBorders>
              <w:bottom w:val="single" w:sz="8" w:color="CCEEFF"/>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179 %</w:t>
            </w:r>
          </w:p>
        </w:tc>
      </w:tr>
      <w:tr>
        <w:trPr>
          <w:trHeight w:val="238"/>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other income (expense), net</w:t>
            </w: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w:t>
            </w:r>
          </w:p>
        </w:tc>
        <w:tc>
          <w:tcPr>
            <w:tcW w:w="100" w:type="dxa"/>
            <w:vAlign w:val="bottom"/>
            <w:shd w:val="clear" w:color="auto" w:fill="CCEEFF"/>
          </w:tcPr>
          <w:p>
            <w:pPr>
              <w:spacing w:after="0"/>
              <w:rPr>
                <w:sz w:val="20"/>
                <w:szCs w:val="20"/>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(103 %)</w:t>
            </w:r>
          </w:p>
        </w:tc>
      </w:tr>
      <w:tr>
        <w:trPr>
          <w:trHeight w:val="244"/>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(8,313)</w:t>
            </w:r>
          </w:p>
        </w:tc>
        <w:tc>
          <w:tcPr>
            <w:tcW w:w="100" w:type="dxa"/>
            <w:vAlign w:val="bottom"/>
          </w:tcPr>
          <w:p>
            <w:pPr>
              <w:spacing w:after="0"/>
              <w:rPr>
                <w:sz w:val="21"/>
                <w:szCs w:val="21"/>
                <w:color w:val="auto"/>
              </w:rPr>
            </w:pPr>
          </w:p>
        </w:tc>
        <w:tc>
          <w:tcPr>
            <w:tcW w:w="5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(20,825)</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12,512</w:t>
            </w:r>
          </w:p>
        </w:tc>
        <w:tc>
          <w:tcPr>
            <w:tcW w:w="100" w:type="dxa"/>
            <w:vAlign w:val="bottom"/>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(60 %)</w:t>
            </w:r>
          </w:p>
        </w:tc>
      </w:tr>
      <w:tr>
        <w:trPr>
          <w:trHeight w:val="20"/>
        </w:trPr>
        <w:tc>
          <w:tcPr>
            <w:tcW w:w="12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Service revenue</w:t>
      </w:r>
    </w:p>
    <w:p>
      <w:pPr>
        <w:spacing w:after="0" w:line="146" w:lineRule="exact"/>
        <w:rPr>
          <w:sz w:val="20"/>
          <w:szCs w:val="20"/>
          <w:color w:val="auto"/>
        </w:rPr>
      </w:pPr>
    </w:p>
    <w:p>
      <w:pPr>
        <w:jc w:val="both"/>
        <w:spacing w:after="0" w:line="334" w:lineRule="auto"/>
        <w:rPr>
          <w:sz w:val="20"/>
          <w:szCs w:val="20"/>
          <w:color w:val="auto"/>
        </w:rPr>
      </w:pPr>
      <w:r>
        <w:rPr>
          <w:rFonts w:ascii="Times New Roman" w:cs="Times New Roman" w:eastAsia="Times New Roman" w:hAnsi="Times New Roman"/>
          <w:sz w:val="17"/>
          <w:szCs w:val="17"/>
          <w:color w:val="auto"/>
        </w:rPr>
        <w:t>The revenue recognized during the three months ended March 31, 2024 was primarily driven by engineering services performed for Space Development Agency milestone two resulting in revenue recognition as well as $0.5 million of engineering services for the Space Development Agency.</w:t>
      </w:r>
    </w:p>
    <w:p>
      <w:pPr>
        <w:spacing w:after="0" w:line="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revenue recognized during the three months ended March 31, 2023 was composed of $22,000 due to forfeited customer deposits upon contract termination for late payment.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expenses</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Research and development expenses decreased from $10.1 million in the three months ended March 31, 2023 to $2.7 million in the three months ended March 31, 2024. The decrease was primarily due to (i) a $3.1 million reduction in payroll costs due to decreased headcount and related decreases in signing bonuses (ii) a $2.1 million reduction on subcontractor cost, (iii) a $1.1 million reduction in spending on materials and components, (iv) decreases in launch costs of $0.5 million associated with impairment of our Space X and ABL deposits, and amortization of the Vigoride 5 and Vigoride 6 missions, (v) a $0.4 million reduction in allocated information technology and facilities expenses, and (vi) a $0.2 million decrease in other overhead costs.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Selling, general and administrative expenses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Selling, general and administrative expenses decreased from $10.3 million in the three months ended March 31, 2023 to $6.2 million in the three months ended March 31, 2024. The decrease is primarily due to (i) a $1.5 million decrease in non-legal professional fees as the Company’s activity related to the NSA and SEC topics discussed in Note 12 shifted from legal proceedings to compliance, (ii) a $1.0 million decrease in non-stock based compensation payroll due to prior year one-time bonuses and executive departures temporarily replaced by consultants, (iii) a $1.0 million decrease in other legal services expenses, and (iv) a $0.3 million decrease in other general corporate office expenses (including insurance costs), partially offset by a $0.3 million increase in stock-based compensation.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 in fair value of warrant liability</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For the three months ended March 31, 2023, the decrease in the calculated fair value of the Company’s currently outstanding warrants, which were assumed from the Business Combination, was primarily driven by the observable market price of the publicly listed warrants to purchase the Company’s stock under comparable terms. See Note 9 for additional information.</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3051F2"/>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income</w:t>
      </w:r>
    </w:p>
    <w:p>
      <w:pPr>
        <w:spacing w:after="0" w:line="1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Interest income decreased from $0.6 million for three months ended March 31, 2023 to $18.2 thousand for the three months ended March 31, 2024 as the Company invested more in money market funds in response to rising interest rates.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Interest expense decreased from $0.9 million of cash and amortization interest for the three months ended March 31, 2023 to $0.1 million of cash and amortization interest for the three months ended March 31, 2024 due to the application of the effective interest method which results in less cash and amortization interest as the Term Loan approaches maturity. See Note 8 for additional information.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w:t>
      </w:r>
    </w:p>
    <w:p>
      <w:pPr>
        <w:spacing w:after="0" w:line="19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Other income increased from $19.3 thousand for the three months ended March 31, 2023 to $0.1 million three months ended March 31, 2024. The increase was related to the release of interest accrued in relation to the loan during 2023.</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Going Concern</w:t>
      </w:r>
    </w:p>
    <w:p>
      <w:pPr>
        <w:spacing w:after="0" w:line="1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Company’s ability to continue as a going concern is dependent on the Company’s ability to successfully raise capital to fund its business operations and execute on its business plan. To date, the Company has not generated sufficient revenues to provide cash flows that enable the Company to finance its operations internally and the Company’s financial position and operating results raise substantial doubt about the Company’s ability to continue as a going concern. This is reflected by the Company’s incurred net losses of $8.3 million for the three months ended March 31, 2024 and had an accumulated deficit of $381.4 million as of March 31, 2024. Additionally, the Company used net cash of $5.3 million to fund its operating activities for the three months ended March 31, 2024, and had cash and cash equivalents of $1.7 million as of March 31, 2024.</w:t>
      </w:r>
    </w:p>
    <w:p>
      <w:pPr>
        <w:spacing w:after="0" w:line="10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connection with the preparation of the consolidated interim financial statements for the three months ended March 31, 2024, management conducted an evaluation and concluded that there were conditions and events, considered in the aggregate, which raised substantial doubt as to the Company’s ability to continue as a going concern within twelve months after the date of the issuance of such financial statements. The Company believes that its current level of cash and cash equivalents are not sufficient to fund commercial scale production and sale of its services and products. These conditions raise substantial doubt regarding its ability to continue as a going concern for a period of at least one year from the date of issuance of these consolidated interim financial statements. In order to proceed with the Company’s business plan and operating strategy, the Company will need to raise substantial additional capital to fund its operations. Until such time, if ever, the Company can generate revenues sufficient to achieve profitability, the Company expects to finance its operations through equity or debt financings, which may not be available to the Company on the timing needed or on terms that the Company deems to be favorable. In an effort to alleviate these conditions, the Company continues to seek and evaluate opportunities to access additional capital through all available means.</w:t>
      </w:r>
    </w:p>
    <w:p>
      <w:pPr>
        <w:spacing w:after="0" w:line="11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As a result of these uncertainties, and notwithstanding management’s plans and efforts to date, there is substantial doubt about the Company’s ability to continue as a going concern. If the Company is unable to raise substantial additional capital in the near term, the Company's operations and business plan will need to be scaled back or halted altogether. Additionally, if the Company is able to raise additional capital but that capital is insufficient to provide a bridge to full commercial production at a profit, the Company's operations could be severely curtailed or cease entirely and the Company may not realize any significant value from its assets.</w:t>
      </w:r>
    </w:p>
    <w:p>
      <w:pPr>
        <w:spacing w:after="0" w:line="30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accompanying consolidated interim financial statements have been prepared on a going concern basis of accounting. The accompanying consolidated interim financial statements do not reflect any adjustments that might result if the Company is unable to continue as a going concern.</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3051F2"/>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60" w:type="dxa"/>
            <w:vAlign w:val="bottom"/>
            <w:gridSpan w:val="4"/>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tc>
        <w:tc>
          <w:tcPr>
            <w:tcW w:w="0" w:type="dxa"/>
            <w:vAlign w:val="bottom"/>
          </w:tcPr>
          <w:p>
            <w:pPr>
              <w:spacing w:after="0"/>
              <w:rPr>
                <w:sz w:val="1"/>
                <w:szCs w:val="1"/>
                <w:color w:val="auto"/>
              </w:rPr>
            </w:pPr>
          </w:p>
        </w:tc>
      </w:tr>
      <w:tr>
        <w:trPr>
          <w:trHeight w:val="31"/>
        </w:trPr>
        <w:tc>
          <w:tcPr>
            <w:tcW w:w="7800" w:type="dxa"/>
            <w:vAlign w:val="bottom"/>
            <w:vMerge w:val="restart"/>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7800" w:type="dxa"/>
            <w:vAlign w:val="bottom"/>
            <w:tcBorders>
              <w:bottom w:val="single" w:sz="8" w:color="CCEEFF"/>
            </w:tcBorders>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03"/>
              <w:spacing w:after="0"/>
              <w:rPr>
                <w:sz w:val="20"/>
                <w:szCs w:val="20"/>
                <w:color w:val="auto"/>
              </w:rPr>
            </w:pPr>
            <w:r>
              <w:rPr>
                <w:rFonts w:ascii="Times New Roman" w:cs="Times New Roman" w:eastAsia="Times New Roman" w:hAnsi="Times New Roman"/>
                <w:sz w:val="15"/>
                <w:szCs w:val="15"/>
                <w:b w:val="1"/>
                <w:bCs w:val="1"/>
                <w:color w:val="auto"/>
              </w:rPr>
              <w:t>2024</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03"/>
              <w:spacing w:after="0"/>
              <w:rPr>
                <w:sz w:val="20"/>
                <w:szCs w:val="20"/>
                <w:color w:val="auto"/>
              </w:rPr>
            </w:pPr>
            <w:r>
              <w:rPr>
                <w:rFonts w:ascii="Times New Roman" w:cs="Times New Roman" w:eastAsia="Times New Roman" w:hAnsi="Times New Roman"/>
                <w:sz w:val="15"/>
                <w:szCs w:val="15"/>
                <w:b w:val="1"/>
                <w:bCs w:val="1"/>
                <w:color w:val="auto"/>
              </w:rPr>
              <w:t>2023</w:t>
            </w:r>
          </w:p>
        </w:tc>
        <w:tc>
          <w:tcPr>
            <w:tcW w:w="0" w:type="dxa"/>
            <w:vAlign w:val="bottom"/>
          </w:tcPr>
          <w:p>
            <w:pPr>
              <w:spacing w:after="0"/>
              <w:rPr>
                <w:sz w:val="1"/>
                <w:szCs w:val="1"/>
                <w:color w:val="auto"/>
              </w:rPr>
            </w:pPr>
          </w:p>
        </w:tc>
      </w:tr>
      <w:tr>
        <w:trPr>
          <w:trHeight w:val="199"/>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cash (used in) provided by:</w:t>
            </w:r>
          </w:p>
        </w:tc>
        <w:tc>
          <w:tcPr>
            <w:tcW w:w="3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8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Operating activities</w:t>
            </w:r>
          </w:p>
        </w:tc>
        <w:tc>
          <w:tcPr>
            <w:tcW w:w="38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(5,253)</w:t>
            </w:r>
          </w:p>
        </w:tc>
        <w:tc>
          <w:tcPr>
            <w:tcW w:w="80" w:type="dxa"/>
            <w:vAlign w:val="bottom"/>
          </w:tcPr>
          <w:p>
            <w:pPr>
              <w:spacing w:after="0"/>
              <w:rPr>
                <w:sz w:val="17"/>
                <w:szCs w:val="17"/>
                <w:color w:val="auto"/>
              </w:rPr>
            </w:pPr>
          </w:p>
        </w:tc>
        <w:tc>
          <w:tcPr>
            <w:tcW w:w="400" w:type="dxa"/>
            <w:vAlign w:val="bottom"/>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(18,696)</w:t>
            </w:r>
          </w:p>
        </w:tc>
        <w:tc>
          <w:tcPr>
            <w:tcW w:w="0" w:type="dxa"/>
            <w:vAlign w:val="bottom"/>
          </w:tcPr>
          <w:p>
            <w:pPr>
              <w:spacing w:after="0"/>
              <w:rPr>
                <w:sz w:val="1"/>
                <w:szCs w:val="1"/>
                <w:color w:val="auto"/>
              </w:rPr>
            </w:pPr>
          </w:p>
        </w:tc>
      </w:tr>
      <w:tr>
        <w:trPr>
          <w:trHeight w:val="31"/>
        </w:trPr>
        <w:tc>
          <w:tcPr>
            <w:tcW w:w="7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78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Investing activities</w:t>
            </w:r>
          </w:p>
        </w:tc>
        <w:tc>
          <w:tcPr>
            <w:tcW w:w="3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w:t>
            </w:r>
          </w:p>
        </w:tc>
        <w:tc>
          <w:tcPr>
            <w:tcW w:w="0" w:type="dxa"/>
            <w:vAlign w:val="bottom"/>
          </w:tcPr>
          <w:p>
            <w:pPr>
              <w:spacing w:after="0"/>
              <w:rPr>
                <w:sz w:val="1"/>
                <w:szCs w:val="1"/>
                <w:color w:val="auto"/>
              </w:rPr>
            </w:pPr>
          </w:p>
        </w:tc>
      </w:tr>
      <w:tr>
        <w:trPr>
          <w:trHeight w:val="201"/>
        </w:trPr>
        <w:tc>
          <w:tcPr>
            <w:tcW w:w="78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Financing activities</w:t>
            </w: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4,849</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(3,793)</w:t>
            </w:r>
          </w:p>
        </w:tc>
        <w:tc>
          <w:tcPr>
            <w:tcW w:w="0" w:type="dxa"/>
            <w:vAlign w:val="bottom"/>
          </w:tcPr>
          <w:p>
            <w:pPr>
              <w:spacing w:after="0"/>
              <w:rPr>
                <w:sz w:val="1"/>
                <w:szCs w:val="1"/>
                <w:color w:val="auto"/>
              </w:rPr>
            </w:pPr>
          </w:p>
        </w:tc>
      </w:tr>
      <w:tr>
        <w:trPr>
          <w:trHeight w:val="31"/>
        </w:trPr>
        <w:tc>
          <w:tcPr>
            <w:tcW w:w="78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Net change in cash, cash equivalents, and restricted cash</w:t>
            </w:r>
          </w:p>
        </w:tc>
        <w:tc>
          <w:tcPr>
            <w:tcW w:w="380" w:type="dxa"/>
            <w:vAlign w:val="bottom"/>
            <w:tcBorders>
              <w:bottom w:val="single" w:sz="8" w:color="CCEEFF"/>
            </w:tcBorders>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(443)</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(22,541)</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Activities</w:t>
      </w:r>
    </w:p>
    <w:p>
      <w:pPr>
        <w:spacing w:after="0" w:line="1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Net cash used in operating activities for the three months ended March 31, 2024 was $5.3 million, driven primarily by headcount costs, research and development activities, legal expenses, and professional fees, as well as net cash changes in operating assets and liabilities.</w:t>
      </w:r>
    </w:p>
    <w:p>
      <w:pPr>
        <w:spacing w:after="0" w:line="8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Headcount related payroll costs, excluding stock-based compensation of $1.4 million, were $2.9 million. Professional fees of $1.9 million included $1.4 million in legal fees and $8.9 thousand of costs related to the SEC and NSA topics discussed in Note 12. Office overheads and other general corporate expenses were $1.7 million, which includes insurance costs of $0.5 million. Research and Development activity expenses, including materials, components, and subcontractor costs were $0.5 million. These cash outflows were partially offset by gross profit of $0.5 million primarily related to the fulfillment of performance obligations for Vigoride 5 and Vigoride 6 customers during the three months ended March 31, 2024. Additionally, the Company had a change in operating assets and liabilities of $1.1 million during the three months ended March 31, 2024.</w:t>
      </w:r>
    </w:p>
    <w:p>
      <w:pPr>
        <w:spacing w:after="0" w:line="1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Net cash used in operating activities for the three months ended March 31, 2023 was $18.7 million, driven primarily by headcount costs, research and development activities, legal expenses, and professional fees, as well as net cash changes in operating assets and liabilities. Headcount related payroll costs, excluding accrued bonus of $0.9 million and stock-based compensation of $1.7 million, were $5.5 million. Research and development activity expenses, including materials, components, and subcontractor costs were $3.6 million. Professional fees of $4.9 million included $0.6 million of costs related to the SEC and NSA topics discussed in Note 12 and legal fees of $2.4 million. Office overheads, other general corporate expenses, and cash interest were $2.5 million which includes insurance costs of $0.8 million. The Company incurred launch costs of $0.5 million during the three months ended March 31, 2023, that were amortized in connection with its first launch. The Company additionally had change in cash from changes in operating assets and liabilities of $1.6 million.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Investing Activities</w:t>
      </w:r>
    </w:p>
    <w:p>
      <w:pPr>
        <w:spacing w:after="0" w:line="1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Net cash used in investing activities was $39.5 thousand and $0.1 million for the three months ended March 31, 2024 and 2023, respectively, which consisted of purchases of machinery and equipment, and intangible assets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Financing Activities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Net cash provided by financing activities was $4.8 million for the three months ended March 31, 2024, primarily due to gross proceeds of approximately $8.0 million received from the January Offering and March Offering, partially offset by principal repayments of $2.3 million under the Term Loan and $0.8 million in issuance costs related to common stock and related warrants.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Net cash used in financing activities was $3.8 million for the three months ended March 31, 2023, primarily due to principal repayment under the Term Loan.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Funding Requirements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expect our cash consumption to continue in connection with our ongoing activities.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Specifically, our operating expenses will continue as we:</w:t>
      </w:r>
    </w:p>
    <w:p>
      <w:pPr>
        <w:spacing w:after="0" w:line="96" w:lineRule="exact"/>
        <w:rPr>
          <w:sz w:val="20"/>
          <w:szCs w:val="20"/>
          <w:color w:val="auto"/>
        </w:rPr>
      </w:pPr>
    </w:p>
    <w:p>
      <w:pPr>
        <w:ind w:left="620" w:hanging="307"/>
        <w:spacing w:after="0"/>
        <w:tabs>
          <w:tab w:leader="none" w:pos="620"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continue to refine and operate our corporate infrastructure, people, processes and systems;</w:t>
      </w:r>
    </w:p>
    <w:p>
      <w:pPr>
        <w:spacing w:after="0" w:line="80" w:lineRule="exact"/>
        <w:rPr>
          <w:rFonts w:ascii="Arial" w:cs="Arial" w:eastAsia="Arial" w:hAnsi="Arial"/>
          <w:sz w:val="21"/>
          <w:szCs w:val="21"/>
          <w:color w:val="auto"/>
        </w:rPr>
      </w:pPr>
    </w:p>
    <w:p>
      <w:pPr>
        <w:ind w:left="620" w:hanging="307"/>
        <w:spacing w:after="0"/>
        <w:tabs>
          <w:tab w:leader="none" w:pos="620"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pursue sales and marketing activities for our product and services;</w:t>
      </w:r>
    </w:p>
    <w:p>
      <w:pPr>
        <w:spacing w:after="0" w:line="67" w:lineRule="exact"/>
        <w:rPr>
          <w:rFonts w:ascii="Arial" w:cs="Arial" w:eastAsia="Arial" w:hAnsi="Arial"/>
          <w:sz w:val="21"/>
          <w:szCs w:val="21"/>
          <w:color w:val="auto"/>
        </w:rPr>
      </w:pPr>
    </w:p>
    <w:p>
      <w:pPr>
        <w:ind w:left="620" w:hanging="307"/>
        <w:spacing w:after="0"/>
        <w:tabs>
          <w:tab w:leader="none" w:pos="620"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pursue further research and development related to developing our satellites, satellite technology, and Orbital Service Vehicles;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3051F2"/>
        </w:rPr>
        <w:t>Table of Contents</w:t>
      </w:r>
    </w:p>
    <w:p>
      <w:pPr>
        <w:spacing w:after="0" w:line="200" w:lineRule="exact"/>
        <w:rPr>
          <w:sz w:val="20"/>
          <w:szCs w:val="20"/>
          <w:color w:val="auto"/>
        </w:rPr>
      </w:pPr>
    </w:p>
    <w:p>
      <w:pPr>
        <w:spacing w:after="0" w:line="308" w:lineRule="exact"/>
        <w:rPr>
          <w:sz w:val="20"/>
          <w:szCs w:val="20"/>
          <w:color w:val="auto"/>
        </w:rPr>
      </w:pPr>
    </w:p>
    <w:p>
      <w:pPr>
        <w:ind w:left="620" w:hanging="307"/>
        <w:spacing w:after="0"/>
        <w:tabs>
          <w:tab w:leader="none" w:pos="620" w:val="left"/>
        </w:tabs>
        <w:numPr>
          <w:ilvl w:val="0"/>
          <w:numId w:val="7"/>
        </w:numPr>
        <w:rPr>
          <w:rFonts w:ascii="Arial" w:cs="Arial" w:eastAsia="Arial" w:hAnsi="Arial"/>
          <w:sz w:val="21"/>
          <w:szCs w:val="21"/>
          <w:color w:val="auto"/>
        </w:rPr>
      </w:pPr>
      <w:r>
        <w:rPr>
          <w:rFonts w:ascii="Times New Roman" w:cs="Times New Roman" w:eastAsia="Times New Roman" w:hAnsi="Times New Roman"/>
          <w:sz w:val="17"/>
          <w:szCs w:val="17"/>
          <w:color w:val="auto"/>
        </w:rPr>
        <w:t>seek regulatory approvals for operation of our satellites and vehicles;</w:t>
      </w:r>
    </w:p>
    <w:p>
      <w:pPr>
        <w:spacing w:after="0" w:line="80" w:lineRule="exact"/>
        <w:rPr>
          <w:rFonts w:ascii="Arial" w:cs="Arial" w:eastAsia="Arial" w:hAnsi="Arial"/>
          <w:sz w:val="21"/>
          <w:szCs w:val="21"/>
          <w:color w:val="auto"/>
        </w:rPr>
      </w:pPr>
    </w:p>
    <w:p>
      <w:pPr>
        <w:ind w:left="620" w:hanging="307"/>
        <w:spacing w:after="0"/>
        <w:tabs>
          <w:tab w:leader="none" w:pos="620" w:val="left"/>
        </w:tabs>
        <w:numPr>
          <w:ilvl w:val="0"/>
          <w:numId w:val="7"/>
        </w:numPr>
        <w:rPr>
          <w:rFonts w:ascii="Arial" w:cs="Arial" w:eastAsia="Arial" w:hAnsi="Arial"/>
          <w:sz w:val="21"/>
          <w:szCs w:val="21"/>
          <w:color w:val="auto"/>
        </w:rPr>
      </w:pPr>
      <w:r>
        <w:rPr>
          <w:rFonts w:ascii="Times New Roman" w:cs="Times New Roman" w:eastAsia="Times New Roman" w:hAnsi="Times New Roman"/>
          <w:sz w:val="17"/>
          <w:szCs w:val="17"/>
          <w:color w:val="auto"/>
        </w:rPr>
        <w:t>actively manage our workforce, including right sizing in personnel;</w:t>
      </w:r>
    </w:p>
    <w:p>
      <w:pPr>
        <w:spacing w:after="0" w:line="67" w:lineRule="exact"/>
        <w:rPr>
          <w:rFonts w:ascii="Arial" w:cs="Arial" w:eastAsia="Arial" w:hAnsi="Arial"/>
          <w:sz w:val="21"/>
          <w:szCs w:val="21"/>
          <w:color w:val="auto"/>
        </w:rPr>
      </w:pPr>
    </w:p>
    <w:p>
      <w:pPr>
        <w:ind w:left="620" w:hanging="307"/>
        <w:spacing w:after="0"/>
        <w:tabs>
          <w:tab w:leader="none" w:pos="620" w:val="left"/>
        </w:tabs>
        <w:numPr>
          <w:ilvl w:val="0"/>
          <w:numId w:val="7"/>
        </w:numPr>
        <w:rPr>
          <w:rFonts w:ascii="Arial" w:cs="Arial" w:eastAsia="Arial" w:hAnsi="Arial"/>
          <w:sz w:val="21"/>
          <w:szCs w:val="21"/>
          <w:color w:val="auto"/>
        </w:rPr>
      </w:pPr>
      <w:r>
        <w:rPr>
          <w:rFonts w:ascii="Times New Roman" w:cs="Times New Roman" w:eastAsia="Times New Roman" w:hAnsi="Times New Roman"/>
          <w:sz w:val="17"/>
          <w:szCs w:val="17"/>
          <w:color w:val="auto"/>
        </w:rPr>
        <w:t>maintain, expand and protect our intellectual property portfolio;</w:t>
      </w:r>
    </w:p>
    <w:p>
      <w:pPr>
        <w:spacing w:after="0" w:line="80" w:lineRule="exact"/>
        <w:rPr>
          <w:rFonts w:ascii="Arial" w:cs="Arial" w:eastAsia="Arial" w:hAnsi="Arial"/>
          <w:sz w:val="21"/>
          <w:szCs w:val="21"/>
          <w:color w:val="auto"/>
        </w:rPr>
      </w:pPr>
    </w:p>
    <w:p>
      <w:pPr>
        <w:ind w:left="620" w:hanging="307"/>
        <w:spacing w:after="0"/>
        <w:tabs>
          <w:tab w:leader="none" w:pos="620" w:val="left"/>
        </w:tabs>
        <w:numPr>
          <w:ilvl w:val="0"/>
          <w:numId w:val="7"/>
        </w:numPr>
        <w:rPr>
          <w:rFonts w:ascii="Arial" w:cs="Arial" w:eastAsia="Arial" w:hAnsi="Arial"/>
          <w:sz w:val="21"/>
          <w:szCs w:val="21"/>
          <w:color w:val="auto"/>
        </w:rPr>
      </w:pPr>
      <w:r>
        <w:rPr>
          <w:rFonts w:ascii="Times New Roman" w:cs="Times New Roman" w:eastAsia="Times New Roman" w:hAnsi="Times New Roman"/>
          <w:sz w:val="17"/>
          <w:szCs w:val="17"/>
          <w:color w:val="auto"/>
        </w:rPr>
        <w:t>comply with public company reporting requirements; and</w:t>
      </w:r>
    </w:p>
    <w:p>
      <w:pPr>
        <w:spacing w:after="0" w:line="67" w:lineRule="exact"/>
        <w:rPr>
          <w:rFonts w:ascii="Arial" w:cs="Arial" w:eastAsia="Arial" w:hAnsi="Arial"/>
          <w:sz w:val="21"/>
          <w:szCs w:val="21"/>
          <w:color w:val="auto"/>
        </w:rPr>
      </w:pPr>
    </w:p>
    <w:p>
      <w:pPr>
        <w:ind w:left="620" w:hanging="307"/>
        <w:spacing w:after="0"/>
        <w:tabs>
          <w:tab w:leader="none" w:pos="620" w:val="left"/>
        </w:tabs>
        <w:numPr>
          <w:ilvl w:val="0"/>
          <w:numId w:val="7"/>
        </w:numPr>
        <w:rPr>
          <w:rFonts w:ascii="Arial" w:cs="Arial" w:eastAsia="Arial" w:hAnsi="Arial"/>
          <w:sz w:val="21"/>
          <w:szCs w:val="21"/>
          <w:color w:val="auto"/>
        </w:rPr>
      </w:pPr>
      <w:r>
        <w:rPr>
          <w:rFonts w:ascii="Times New Roman" w:cs="Times New Roman" w:eastAsia="Times New Roman" w:hAnsi="Times New Roman"/>
          <w:sz w:val="17"/>
          <w:szCs w:val="17"/>
          <w:color w:val="auto"/>
        </w:rPr>
        <w:t>defend against litigation.</w:t>
      </w:r>
    </w:p>
    <w:p>
      <w:pPr>
        <w:spacing w:after="0" w:line="1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Changing circumstances may cause us to expend capital significantly faster than we currently anticipate, or we may need to spend more money than currently expected because of circumstances beyond our control. We may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would be adversely affected.</w:t>
      </w:r>
    </w:p>
    <w:p>
      <w:pPr>
        <w:spacing w:after="0" w:line="10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Some of these risks and uncertainties are described in more detail under Part II, Item 1A: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in this Form 10-Q under the heading “</w:t>
      </w:r>
      <w:r>
        <w:rPr>
          <w:rFonts w:ascii="Times New Roman" w:cs="Times New Roman" w:eastAsia="Times New Roman" w:hAnsi="Times New Roman"/>
          <w:sz w:val="17"/>
          <w:szCs w:val="17"/>
          <w:i w:val="1"/>
          <w:iCs w:val="1"/>
          <w:color w:val="auto"/>
        </w:rPr>
        <w:t>Risk Factors — We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may not be able to continue as a going concern.”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Commitments and Contingencies</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are a party to operating leases primarily for facilities (e.g., office buildings, warehouses and spaceport) under non-cancellable operating leases. We lease office space under a non-cancellable operating lease which expires February 2028. Refer to Note 6.</w:t>
      </w:r>
    </w:p>
    <w:p>
      <w:pPr>
        <w:spacing w:after="0" w:line="7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enter into purchase obligations in the normal course of business. These obligations include purchase orders and agreements to purchase goods or services that are enforceable, legally binding, and have significant terms and minimum purchases stipulated. Refer to Note 12.</w:t>
      </w:r>
    </w:p>
    <w:p>
      <w:pPr>
        <w:spacing w:after="0" w:line="7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In addition, we enter into agreements in the normal course of business with vendors for research and development services and outsourced services, which are generally cancellable upon written notice.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Off-Balance Sheet Arrangements</w:t>
      </w:r>
    </w:p>
    <w:p>
      <w:pPr>
        <w:spacing w:after="0" w:line="14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do not engage in any off-balance sheet activities or have any arrangements or relationships with unconsolidated entities, such as variable interest, special purpose, and structured finance entities.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discussion and analysis of our financial condition and results of operations are based upon our consolidated interim financial statements, which have been prepared in accordance with GAAP. The preparation of our consolidated interim financial statements and related disclosures requires us to make estimates, assumptions and judgments as of the balance sheet date that affect the reported amounts of assets, liabilities, revenues, costs and expenses and related disclosures. Our actual results may differ from these estimates under different assumptions and conditions. In addition to our critical accounting policies below, see Note 2 in the notes to our consolidated interim financial statements included elsewhere in this Form 10-Q.</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 enters into short-term contracts for ‘last-mile’ satellite and cargo delivery (transportation services), payload hosting and in-orbit servicing options with customers that are primarily in the aerospace industry. For its transportation service arrangements, the Company has a single performance obligation of delivering the customers’ payload to its designated orbit and recognizes revenue (along with any other fees that have been paid) at a point in time, upon satisfaction of this performance obligation. Additionally, for its in-orbit service arrangements, the Company provides a multitude of services consistently throughout the mission to its customers and has services available on a ‘stand ready’ basis until the mission reaches its conclusion. The Company recognizes revenue for these in-orbit services ratably over time on a straight-line basis. The Company enters into contracts to perform services for U.S. Government customers. The Company recognizes revenue for these services in accordance with the terms of these contracts.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We account for customer contracts in accordance with ASC Topic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which includes the following five-step model:</w:t>
      </w:r>
    </w:p>
    <w:p>
      <w:pPr>
        <w:spacing w:after="0" w:line="157" w:lineRule="exact"/>
        <w:rPr>
          <w:sz w:val="20"/>
          <w:szCs w:val="20"/>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of the contract, or contracts, with a customer.</w:t>
      </w:r>
    </w:p>
    <w:p>
      <w:pPr>
        <w:spacing w:after="0" w:line="13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of the performance obligations in the contract.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3051F2"/>
        </w:rPr>
        <w:t>Table of Contents</w:t>
      </w:r>
    </w:p>
    <w:p>
      <w:pPr>
        <w:spacing w:after="0" w:line="200" w:lineRule="exact"/>
        <w:rPr>
          <w:sz w:val="20"/>
          <w:szCs w:val="20"/>
          <w:color w:val="auto"/>
        </w:rPr>
      </w:pPr>
    </w:p>
    <w:p>
      <w:pPr>
        <w:spacing w:after="0" w:line="365" w:lineRule="exact"/>
        <w:rPr>
          <w:sz w:val="20"/>
          <w:szCs w:val="20"/>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Determination of the transaction price.</w:t>
      </w:r>
    </w:p>
    <w:p>
      <w:pPr>
        <w:spacing w:after="0" w:line="13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Allocation of the transaction price to the performance obligations in the contract.</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Recognition of revenue when, or as, the Company satisfies a performance obligation.</w:t>
      </w:r>
    </w:p>
    <w:p>
      <w:pPr>
        <w:spacing w:after="0" w:line="15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estimates variable consideration at the most likely amount, which is included in the transaction price to the extent it is probable that a significant reversal of cumulative revenue recognized will not occur. While the Company’s standard contracts do not contain refund or recourse provisions that enable its customers to recover any non-refundable fees that have been paid, the Company may issue full or partial refunds, or concessions on future services to customers on a case-by-case basis as necessary to preserve and foster future business relationships and customer goodwill.</w:t>
      </w:r>
    </w:p>
    <w:p>
      <w:pPr>
        <w:spacing w:after="0" w:line="9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Company’s satellite and cargo delivery services (transportation services) are considered a single performance obligation, to transport the customers’ payload to a specified orbit in space. We recognize revenue for these services at a point in time, when control is transferred, which is considered to be upon the release of the customers’ payload into its specified orbit. We will calculate the weight distribution of each transfer vehicle at the customer level, and we will estimate the delivery date for each customer’s payload based on the relative weight of payloads released to determine the point in time to recognize revenue for each payload release.</w:t>
      </w:r>
    </w:p>
    <w:p>
      <w:pPr>
        <w:spacing w:after="0" w:line="31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Company’s in-orbit services consist of a collection of interdependent and integrated services which are not considered distinct from one another and may vary depending on the specific needs of the Customer and mission. Revenue for these in-orbit services is recognized ratably over time on a straight line basis.</w:t>
      </w:r>
    </w:p>
    <w:p>
      <w:pPr>
        <w:spacing w:after="0" w:line="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Company’s engineering project services to U.S. Government organizations generally have specific payment attached to each milestone. When a milestone is achieved, the Company submits services performed for approval. Once approval is received, the Company invoices and collects on the milestone completed.</w:t>
      </w:r>
    </w:p>
    <w:p>
      <w:pPr>
        <w:spacing w:after="0" w:line="7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 periods in which we recognize revenue, we will disclose the amounts of revenue recognized that was included as a contract liability balance at the beginning of the reporting period in accordance with ASC 606-10-50-8(b).</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Loss Contingencies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are subject to the possibility of various loss contingencies arising in the ordinary course of business, including product-related and other litigation. We consider the likelihood of loss or impairment of an asset or the incurrence of a liability, as well as our ability to reasonably estimate the amount of loss in determining loss contingencies. An estimated loss contingency is accrued when it is probable that an asset has been impaired or a liability has been incurred and the amount of loss can be reasonably estimated. We regularly evaluate current information available to us to determine whether such accruals should be adjusted and whether new accruals are required. Refer to Note 12.</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Deferred Fulfillment and Prepaid Launch Costs</w:t>
      </w:r>
    </w:p>
    <w:p>
      <w:pPr>
        <w:spacing w:after="0" w:line="1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prepay for certain launch costs to third-party providers that will carry the orbital service vehicle to orbit. Prepaid costs allocated to the delivery of a customer’s payload are classified as deferred fulfillment costs and recognized as cost of revenue upon delivery of the customer’s payload. Prepaid costs allocated to our payload are classified as prepaid launch costs and are amortized to research and development expense upon the release of our payload. The allocation is determined based on the distribution between customer and our payload weight on each launch.</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Contract Liabilities</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Customer deposits collected prior to the release of the customer’s payload into its specified orbit are recorded as current and non-current contract liabilities in our condensed consolidated balance sheets as the amounts received represent a prepayment for the satisfaction of a future performance obligation that has not yet commenced. Each non-refundable deposit is determined to be a contract liability upon cash collection. Prior to making this determination, we ensure that a valid contract is in place that meets the definition of the existence of a contract in accordance with ASC 606-10-25-1 and 2.</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have various stock incentive plans under which incentive and non-qualified stock options and restricted stock awards are granted to employees, directors, and consultants. All stock-based payments to employees, including grants of employee stock options are recognized in the consolidated interim financial statements based on their respective grant date fair values.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3051F2"/>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recognize stock-based compensation expense using a fair value-based method for costs related to all stock-based payments. We estimate the fair value of stock-based payments on the date of grant using the Black-Scholes-Merton option pricing model. The model requires management to make a number of assumptions, including expected volatility of our stock, expected life of the option, risk-free interest rate, and expected dividends. The fair value of the stock is expensed over the related service period which is typically the vesting period. The stock-based compensation expense that is reported in our consolidated interim financial statements is based on awards that are expected to vest. We account for forfeitures as they occur.</w:t>
      </w:r>
    </w:p>
    <w:p>
      <w:pPr>
        <w:spacing w:after="0" w:line="9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Estimating the fair value of equity awards as of the grant date using valuation models, such as the Black-Scholes-Merton option pricing model, is affected by assumptions regarding a number of variables as disclosed above, and any changes in the assumptions can materially affect the fair value and ultimately how much stock-based compensation expense is recognized. These inputs are subjective and generally require significant analysis and judgment to develop.</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account for income taxes in accordance with authoritative guidance, which requires the use of the asset and liability method. Under this method, deferred income tax assets and liabilities are determined based upon the difference between the financial statement carrying amounts and the tax basis of assets and liabilities and are measured using the enacted tax rate expected to apply to taxable income in the years in which the differences are expected to be reversed.</w:t>
      </w:r>
    </w:p>
    <w:p>
      <w:pPr>
        <w:spacing w:after="0" w:line="8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Significant judgment is required in determining any valuation allowance recorded against deferred tax assets. In assessing the need for a valuation allowance, management considers all available evidence, including past operating results, estimates of future taxable income, and the feasibility of tax planning strategies.</w:t>
      </w:r>
    </w:p>
    <w:p>
      <w:pPr>
        <w:spacing w:after="0" w:line="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 the event that management changes its determination as to the amount of deferred tax assets that can be realized, we will adjust our valuation allowance with a corresponding impact to the provision for income taxes in the period in which such determination is made.</w:t>
      </w:r>
    </w:p>
    <w:p>
      <w:pPr>
        <w:spacing w:after="0" w:line="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ASC Topic 740-10 requires companies to determine whether it is “more likely than not” that a tax position will be sustained upon examination by the appropriate taxing authorities before any tax benefit can be recorded in the consolidated financial statements. It also provides guidance on the recognition, measurement, classification and interest and penalties related to uncertain tax positions. The amount that is ultimately sustained for an individual uncertain tax position or for all uncertain tax positions in the aggregate could differ from the amount that is initially recognized.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14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From time to time, new accounting pronouncements are issued by the FASB or other standard-setting bodies that are adopted by us as of the specified effective date. Unless otherwise discussed, we believe that the impact of recently issued standards that are not yet effective will not have a material impact on our financial position or results of operations upon adoption.</w:t>
      </w:r>
    </w:p>
    <w:p>
      <w:pPr>
        <w:spacing w:after="0" w:line="10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Please refer to Note 2 in the notes to our consolidated interim financial statements included elsewhere in this Form 10-Q for a description of recently adopted accounting pronouncements and recently issued accounting pronouncements not yet adopted, the timing of their adoptions and our assessment, to the extent we have made one, of their potential impact on our consolidated financial condition and results of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are exposed to a variety of market and other risks, including the effects of changes in interest rates, and inflation, as well as risks to the availability of funding sources, hazard events, and specific asset risks.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Rate Risk</w:t>
      </w:r>
    </w:p>
    <w:p>
      <w:pPr>
        <w:spacing w:after="0" w:line="14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market risk inherent in our financial instruments and our financial position represents the potential loss arising from adverse changes in interest rates. As of March 31, 2024, we had cash and cash equivalents of $1.7 million, which were primarily invested in highly liquid investments purchased with a remaining maturity of three months or less. However, due to the short-term maturities and the low-risk profile of our investments, an immediate 10% change in interest rates would not have a material effect on the fair market value of our cash and cash equivalents.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i w:val="1"/>
          <w:iCs w:val="1"/>
          <w:color w:val="auto"/>
        </w:rPr>
        <w:t>Foreign Currency Risk</w:t>
      </w:r>
    </w:p>
    <w:p>
      <w:pPr>
        <w:spacing w:after="0" w:line="14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There were no material foreign currency transactions for the three months ended March 31, 2024 and 2023. Currently, a significant portion of our cash receipts and expenses are generated in U.S. dollars.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Evaluation of Disclosure Controls and Procedures</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maintain disclosure controls and procedures (as defined in Rules 13a-15(e) and 15d-15(e) under the Exchange Act) that are designed to provide reasonable assurance that the information that we are required to disclose in the reports we file or submit under the Exchange Act is recorded, processed, summarized and reported within the time periods specified in the SEC’s rules and forms, and such information is accumulated and communicated to our management, including our Chief Executive Officer and Chief Financial Officer, as appropriate, to allow timely decisions regarding required disclosure.</w:t>
      </w:r>
    </w:p>
    <w:p>
      <w:pPr>
        <w:spacing w:after="0" w:line="10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management, with the participation of our Chief Executive Officer and Chief Financial Officer, has evaluated the effectiveness of our disclosure controls and procedures (as defined in Rules 13a-15(e) and 15d-15(e) under the Exchange Act) as of March 31, 2024. Based on this evaluation, our Chief Executive Officer and Chief Financial Officer concluded that, as of such date, our disclosure controls and procedures were effective at the reasonable assurance level.</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Changes in Internal Control over Financial Reporting</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during the fiscal quarter ended March 31, 2024 which were identified in connection with management’s evaluation required by paragraph (d) of Rules 13a-15 and 15d-15 under the Exchange Act that have materially affected, or are reasonably likely to materially affect, our internal control over financial reporting.</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color w:val="auto"/>
        </w:rPr>
        <w:t>PART II. Other Information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15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See the disclosures under the caption “</w:t>
      </w:r>
      <w:r>
        <w:rPr>
          <w:rFonts w:ascii="Times New Roman" w:cs="Times New Roman" w:eastAsia="Times New Roman" w:hAnsi="Times New Roman"/>
          <w:sz w:val="17"/>
          <w:szCs w:val="17"/>
          <w:i w:val="1"/>
          <w:iCs w:val="1"/>
          <w:color w:val="auto"/>
        </w:rPr>
        <w:t>Legal Proceedings</w:t>
      </w:r>
      <w:r>
        <w:rPr>
          <w:rFonts w:ascii="Times New Roman" w:cs="Times New Roman" w:eastAsia="Times New Roman" w:hAnsi="Times New Roman"/>
          <w:sz w:val="17"/>
          <w:szCs w:val="17"/>
          <w:color w:val="auto"/>
        </w:rPr>
        <w:t>” in Note 12 in the notes to our consolidated interim financial statements included elsewhere in this Form 10-Q for disclosures related to our legal proceedings, which disclosures are incorporated herein by reference.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14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In addition to the other information set forth in this report, you should carefully consider the risk factors discussed in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in our most recent Annual Report on Form 10-K filed by the Company on June 6, 2024, which could materially affect our business, financial condition or future results. The risks described below and in our Annual Report on Form 10-K filed by the Company on June 6, 2024, are not the only risks facing our Company. Additional risks and uncertainties not currently known to us or that we currently deem immaterial also may materially adversely affect our business, financial condition, operating results and/or cash flows.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Rule 10b5-1 Trading Plans</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There were no adoption or termination of contracts, instructions or written plans for the purchase and sale of the Company’s securities by our Section 16 officers and directors for the three months ended March 31, 2024, each of which would be intended to satisfy the affirmative defense conditions of Rule 10b5-1(c) under the Exchange Act.</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Exhibits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Exhibit Number</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1840" w:type="dxa"/>
            <w:vAlign w:val="bottom"/>
            <w:tcBorders>
              <w:bottom w:val="single" w:sz="8" w:color="CCEEFF"/>
            </w:tcBorders>
          </w:tcPr>
          <w:p>
            <w:pPr>
              <w:spacing w:after="0"/>
              <w:rPr>
                <w:sz w:val="17"/>
                <w:szCs w:val="17"/>
                <w:color w:val="auto"/>
              </w:rPr>
            </w:pPr>
          </w:p>
        </w:tc>
        <w:tc>
          <w:tcPr>
            <w:tcW w:w="6040" w:type="dxa"/>
            <w:vAlign w:val="bottom"/>
            <w:tcBorders>
              <w:bottom w:val="single" w:sz="8" w:color="CCEEFF"/>
            </w:tcBorders>
            <w:gridSpan w:val="16"/>
          </w:tcPr>
          <w:p>
            <w:pPr>
              <w:ind w:left="300"/>
              <w:spacing w:after="0"/>
              <w:rPr>
                <w:sz w:val="20"/>
                <w:szCs w:val="20"/>
                <w:color w:val="auto"/>
              </w:rPr>
            </w:pPr>
            <w:r>
              <w:rPr>
                <w:rFonts w:ascii="Times New Roman" w:cs="Times New Roman" w:eastAsia="Times New Roman" w:hAnsi="Times New Roman"/>
                <w:sz w:val="15"/>
                <w:szCs w:val="15"/>
                <w:b w:val="1"/>
                <w:bCs w:val="1"/>
                <w:color w:val="auto"/>
              </w:rPr>
              <w:t>Description of Exhibit</w:t>
            </w:r>
          </w:p>
        </w:tc>
      </w:tr>
      <w:tr>
        <w:trPr>
          <w:trHeight w:val="163"/>
        </w:trPr>
        <w:tc>
          <w:tcPr>
            <w:tcW w:w="130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7"/>
                <w:szCs w:val="17"/>
                <w:color w:val="auto"/>
              </w:rPr>
              <w:t>2.1†</w:t>
            </w:r>
          </w:p>
        </w:tc>
        <w:tc>
          <w:tcPr>
            <w:tcW w:w="120" w:type="dxa"/>
            <w:vAlign w:val="bottom"/>
            <w:tcBorders>
              <w:right w:val="single" w:sz="8" w:color="CCEEFF"/>
            </w:tcBorders>
            <w:shd w:val="clear" w:color="auto" w:fill="CCEEFF"/>
          </w:tcPr>
          <w:p>
            <w:pPr>
              <w:spacing w:after="0"/>
              <w:rPr>
                <w:sz w:val="14"/>
                <w:szCs w:val="14"/>
                <w:color w:val="auto"/>
              </w:rPr>
            </w:pPr>
          </w:p>
        </w:tc>
        <w:tc>
          <w:tcPr>
            <w:tcW w:w="9820" w:type="dxa"/>
            <w:vAlign w:val="bottom"/>
            <w:gridSpan w:val="22"/>
            <w:shd w:val="clear" w:color="auto" w:fill="CCEEFF"/>
          </w:tcPr>
          <w:p>
            <w:pPr>
              <w:spacing w:after="0" w:line="143" w:lineRule="exact"/>
              <w:rPr>
                <w:rFonts w:ascii="Times New Roman" w:cs="Times New Roman" w:eastAsia="Times New Roman" w:hAnsi="Times New Roman"/>
                <w:sz w:val="16"/>
                <w:szCs w:val="16"/>
                <w:color w:val="0000FF"/>
              </w:rPr>
            </w:pPr>
            <w:hyperlink r:id="rId69">
              <w:r>
                <w:rPr>
                  <w:rFonts w:ascii="Times New Roman" w:cs="Times New Roman" w:eastAsia="Times New Roman" w:hAnsi="Times New Roman"/>
                  <w:sz w:val="16"/>
                  <w:szCs w:val="16"/>
                  <w:color w:val="0000FF"/>
                </w:rPr>
                <w:t>Agreement and Plan of Merger, dated as of October 7, 2020, by and among Stable Road Acquisition Corp., Project Marvel First Merger</w:t>
              </w:r>
            </w:hyperlink>
          </w:p>
        </w:tc>
      </w:tr>
      <w:tr>
        <w:trPr>
          <w:trHeight w:val="148"/>
        </w:trPr>
        <w:tc>
          <w:tcPr>
            <w:tcW w:w="13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2"/>
                <w:szCs w:val="12"/>
                <w:color w:val="auto"/>
              </w:rPr>
            </w:pPr>
          </w:p>
        </w:tc>
        <w:tc>
          <w:tcPr>
            <w:tcW w:w="9620" w:type="dxa"/>
            <w:vAlign w:val="bottom"/>
            <w:tcBorders>
              <w:top w:val="single" w:sz="8" w:color="0000FF"/>
              <w:bottom w:val="single" w:sz="8" w:color="0000FF"/>
            </w:tcBorders>
            <w:gridSpan w:val="12"/>
            <w:shd w:val="clear" w:color="auto" w:fill="CCEEFF"/>
          </w:tcPr>
          <w:p>
            <w:pPr>
              <w:spacing w:after="0" w:line="148" w:lineRule="exact"/>
              <w:rPr>
                <w:rFonts w:ascii="Times New Roman" w:cs="Times New Roman" w:eastAsia="Times New Roman" w:hAnsi="Times New Roman"/>
                <w:sz w:val="17"/>
                <w:szCs w:val="17"/>
                <w:color w:val="0000FF"/>
              </w:rPr>
            </w:pPr>
            <w:hyperlink r:id="rId69">
              <w:r>
                <w:rPr>
                  <w:rFonts w:ascii="Times New Roman" w:cs="Times New Roman" w:eastAsia="Times New Roman" w:hAnsi="Times New Roman"/>
                  <w:sz w:val="17"/>
                  <w:szCs w:val="17"/>
                  <w:color w:val="0000FF"/>
                </w:rPr>
                <w:t>Sub, Inc., Project Marvel Second Merger Sub, LLC, and Momentus Inc. (incorporated by reference to Exhibit 10.2 to the Company’s</w:t>
              </w:r>
            </w:hyperlink>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60"/>
        </w:trPr>
        <w:tc>
          <w:tcPr>
            <w:tcW w:w="130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9700" w:type="dxa"/>
            <w:vAlign w:val="bottom"/>
            <w:gridSpan w:val="16"/>
            <w:shd w:val="clear" w:color="auto" w:fill="CCEEFF"/>
          </w:tcPr>
          <w:p>
            <w:pPr>
              <w:spacing w:after="0" w:line="161" w:lineRule="exact"/>
              <w:rPr>
                <w:rFonts w:ascii="Times New Roman" w:cs="Times New Roman" w:eastAsia="Times New Roman" w:hAnsi="Times New Roman"/>
                <w:sz w:val="17"/>
                <w:szCs w:val="17"/>
                <w:color w:val="0000FF"/>
              </w:rPr>
            </w:pPr>
            <w:hyperlink r:id="rId69">
              <w:r>
                <w:rPr>
                  <w:rFonts w:ascii="Times New Roman" w:cs="Times New Roman" w:eastAsia="Times New Roman" w:hAnsi="Times New Roman"/>
                  <w:sz w:val="17"/>
                  <w:szCs w:val="17"/>
                  <w:color w:val="0000FF"/>
                </w:rPr>
                <w:t>Current Report on Form 8-K filed on October 7, 2020).</w:t>
              </w:r>
            </w:hyperlink>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39"/>
        </w:trPr>
        <w:tc>
          <w:tcPr>
            <w:tcW w:w="130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680" w:type="dxa"/>
            <w:vAlign w:val="bottom"/>
            <w:shd w:val="clear" w:color="auto" w:fill="0000FF"/>
          </w:tcPr>
          <w:p>
            <w:pPr>
              <w:spacing w:after="0"/>
              <w:rPr>
                <w:sz w:val="3"/>
                <w:szCs w:val="3"/>
                <w:color w:val="auto"/>
              </w:rPr>
            </w:pPr>
          </w:p>
        </w:tc>
        <w:tc>
          <w:tcPr>
            <w:tcW w:w="1840" w:type="dxa"/>
            <w:vAlign w:val="bottom"/>
            <w:shd w:val="clear" w:color="auto" w:fill="0000FF"/>
          </w:tcPr>
          <w:p>
            <w:pPr>
              <w:spacing w:after="0"/>
              <w:rPr>
                <w:sz w:val="3"/>
                <w:szCs w:val="3"/>
                <w:color w:val="auto"/>
              </w:rPr>
            </w:pPr>
          </w:p>
        </w:tc>
        <w:tc>
          <w:tcPr>
            <w:tcW w:w="34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0"/>
        </w:trPr>
        <w:tc>
          <w:tcPr>
            <w:tcW w:w="130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2.2</w:t>
            </w:r>
          </w:p>
        </w:tc>
        <w:tc>
          <w:tcPr>
            <w:tcW w:w="120" w:type="dxa"/>
            <w:vAlign w:val="bottom"/>
          </w:tcPr>
          <w:p>
            <w:pPr>
              <w:spacing w:after="0"/>
              <w:rPr>
                <w:sz w:val="15"/>
                <w:szCs w:val="15"/>
                <w:color w:val="auto"/>
              </w:rPr>
            </w:pPr>
          </w:p>
        </w:tc>
        <w:tc>
          <w:tcPr>
            <w:tcW w:w="9820" w:type="dxa"/>
            <w:vAlign w:val="bottom"/>
            <w:gridSpan w:val="22"/>
          </w:tcPr>
          <w:p>
            <w:pPr>
              <w:spacing w:after="0" w:line="181" w:lineRule="exact"/>
              <w:rPr>
                <w:rFonts w:ascii="Times New Roman" w:cs="Times New Roman" w:eastAsia="Times New Roman" w:hAnsi="Times New Roman"/>
                <w:sz w:val="17"/>
                <w:szCs w:val="17"/>
                <w:color w:val="0000FF"/>
              </w:rPr>
            </w:pPr>
            <w:hyperlink r:id="rId70">
              <w:r>
                <w:rPr>
                  <w:rFonts w:ascii="Times New Roman" w:cs="Times New Roman" w:eastAsia="Times New Roman" w:hAnsi="Times New Roman"/>
                  <w:sz w:val="17"/>
                  <w:szCs w:val="17"/>
                  <w:color w:val="0000FF"/>
                </w:rPr>
                <w:t>Amendment No. 1 to Agreement and Plan of Merger, dated March 5, 2021, by and among Stable Road Acquisition Corp., Project Marvel</w:t>
              </w:r>
            </w:hyperlink>
          </w:p>
        </w:tc>
      </w:tr>
      <w:tr>
        <w:trPr>
          <w:trHeight w:val="148"/>
        </w:trPr>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780" w:type="dxa"/>
            <w:vAlign w:val="bottom"/>
            <w:tcBorders>
              <w:top w:val="single" w:sz="8" w:color="0000FF"/>
            </w:tcBorders>
            <w:gridSpan w:val="20"/>
          </w:tcPr>
          <w:p>
            <w:pPr>
              <w:spacing w:after="0" w:line="148" w:lineRule="exact"/>
              <w:rPr>
                <w:rFonts w:ascii="Times New Roman" w:cs="Times New Roman" w:eastAsia="Times New Roman" w:hAnsi="Times New Roman"/>
                <w:sz w:val="17"/>
                <w:szCs w:val="17"/>
                <w:color w:val="0000FF"/>
              </w:rPr>
            </w:pPr>
            <w:hyperlink r:id="rId70">
              <w:r>
                <w:rPr>
                  <w:rFonts w:ascii="Times New Roman" w:cs="Times New Roman" w:eastAsia="Times New Roman" w:hAnsi="Times New Roman"/>
                  <w:sz w:val="17"/>
                  <w:szCs w:val="17"/>
                  <w:color w:val="0000FF"/>
                </w:rPr>
                <w:t>First Merger Sub, Inc., Project Marvel Second Merger Sub, LLC, and Momentus Inc. (incorporated by reference to Exhibit 2.2 to the</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0"/>
        </w:trPr>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740" w:type="dxa"/>
            <w:vAlign w:val="bottom"/>
            <w:tcBorders>
              <w:top w:val="single" w:sz="8" w:color="0000FF"/>
            </w:tcBorders>
            <w:gridSpan w:val="18"/>
          </w:tcPr>
          <w:p>
            <w:pPr>
              <w:spacing w:after="0" w:line="161" w:lineRule="exact"/>
              <w:rPr>
                <w:rFonts w:ascii="Times New Roman" w:cs="Times New Roman" w:eastAsia="Times New Roman" w:hAnsi="Times New Roman"/>
                <w:sz w:val="17"/>
                <w:szCs w:val="17"/>
                <w:color w:val="0000FF"/>
              </w:rPr>
            </w:pPr>
            <w:hyperlink r:id="rId70">
              <w:r>
                <w:rPr>
                  <w:rFonts w:ascii="Times New Roman" w:cs="Times New Roman" w:eastAsia="Times New Roman" w:hAnsi="Times New Roman"/>
                  <w:sz w:val="17"/>
                  <w:szCs w:val="17"/>
                  <w:color w:val="0000FF"/>
                </w:rPr>
                <w:t>Company’s Registration Statement on Form S-4 (Registration No. 333-249787) filed on March 8, 2021).</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9"/>
        </w:trPr>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1840" w:type="dxa"/>
            <w:vAlign w:val="bottom"/>
            <w:shd w:val="clear" w:color="auto" w:fill="0000FF"/>
          </w:tcPr>
          <w:p>
            <w:pPr>
              <w:spacing w:after="0"/>
              <w:rPr>
                <w:sz w:val="2"/>
                <w:szCs w:val="2"/>
                <w:color w:val="auto"/>
              </w:rPr>
            </w:pPr>
          </w:p>
        </w:tc>
        <w:tc>
          <w:tcPr>
            <w:tcW w:w="340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130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7"/>
                <w:szCs w:val="17"/>
                <w:color w:val="auto"/>
              </w:rPr>
              <w:t>2.3</w:t>
            </w:r>
          </w:p>
        </w:tc>
        <w:tc>
          <w:tcPr>
            <w:tcW w:w="120" w:type="dxa"/>
            <w:vAlign w:val="bottom"/>
            <w:tcBorders>
              <w:right w:val="single" w:sz="8" w:color="CCEEFF"/>
            </w:tcBorders>
            <w:shd w:val="clear" w:color="auto" w:fill="CCEEFF"/>
          </w:tcPr>
          <w:p>
            <w:pPr>
              <w:spacing w:after="0"/>
              <w:rPr>
                <w:sz w:val="16"/>
                <w:szCs w:val="16"/>
                <w:color w:val="auto"/>
              </w:rPr>
            </w:pPr>
          </w:p>
        </w:tc>
        <w:tc>
          <w:tcPr>
            <w:tcW w:w="9820" w:type="dxa"/>
            <w:vAlign w:val="bottom"/>
            <w:gridSpan w:val="22"/>
            <w:shd w:val="clear" w:color="auto" w:fill="CCEEFF"/>
          </w:tcPr>
          <w:p>
            <w:pPr>
              <w:spacing w:after="0" w:line="190" w:lineRule="exact"/>
              <w:rPr>
                <w:rFonts w:ascii="Times New Roman" w:cs="Times New Roman" w:eastAsia="Times New Roman" w:hAnsi="Times New Roman"/>
                <w:sz w:val="17"/>
                <w:szCs w:val="17"/>
                <w:color w:val="0000FF"/>
              </w:rPr>
            </w:pPr>
            <w:hyperlink r:id="rId71">
              <w:r>
                <w:rPr>
                  <w:rFonts w:ascii="Times New Roman" w:cs="Times New Roman" w:eastAsia="Times New Roman" w:hAnsi="Times New Roman"/>
                  <w:sz w:val="17"/>
                  <w:szCs w:val="17"/>
                  <w:color w:val="0000FF"/>
                </w:rPr>
                <w:t>Amendment No. 2 to Agreement and Plan of Merger, dated as of April 6, 2021, by and among Stable Road Acquisition Corp., Project</w:t>
              </w:r>
            </w:hyperlink>
          </w:p>
        </w:tc>
      </w:tr>
      <w:tr>
        <w:trPr>
          <w:trHeight w:val="148"/>
        </w:trPr>
        <w:tc>
          <w:tcPr>
            <w:tcW w:w="13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2"/>
                <w:szCs w:val="12"/>
                <w:color w:val="auto"/>
              </w:rPr>
            </w:pPr>
          </w:p>
        </w:tc>
        <w:tc>
          <w:tcPr>
            <w:tcW w:w="9680" w:type="dxa"/>
            <w:vAlign w:val="bottom"/>
            <w:tcBorders>
              <w:top w:val="single" w:sz="8" w:color="0000FF"/>
              <w:bottom w:val="single" w:sz="8" w:color="0000FF"/>
            </w:tcBorders>
            <w:gridSpan w:val="15"/>
            <w:shd w:val="clear" w:color="auto" w:fill="CCEEFF"/>
          </w:tcPr>
          <w:p>
            <w:pPr>
              <w:spacing w:after="0" w:line="148" w:lineRule="exact"/>
              <w:rPr>
                <w:rFonts w:ascii="Times New Roman" w:cs="Times New Roman" w:eastAsia="Times New Roman" w:hAnsi="Times New Roman"/>
                <w:sz w:val="17"/>
                <w:szCs w:val="17"/>
                <w:color w:val="0000FF"/>
              </w:rPr>
            </w:pPr>
            <w:hyperlink r:id="rId71">
              <w:r>
                <w:rPr>
                  <w:rFonts w:ascii="Times New Roman" w:cs="Times New Roman" w:eastAsia="Times New Roman" w:hAnsi="Times New Roman"/>
                  <w:sz w:val="17"/>
                  <w:szCs w:val="17"/>
                  <w:color w:val="0000FF"/>
                </w:rPr>
                <w:t>Marvel First Merger Sub, Inc., Project Marvel Second Merger Sub, LLC, and Momentus Inc. (incorporated by reference to Exhibit 2.3 to</w:t>
              </w:r>
            </w:hyperlink>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40" w:type="dxa"/>
            <w:vAlign w:val="bottom"/>
            <w:tcBorders>
              <w:top w:val="single" w:sz="8" w:color="CCEEFF"/>
              <w:bottom w:val="single" w:sz="8" w:color="0000FF"/>
            </w:tcBorders>
            <w:gridSpan w:val="2"/>
            <w:shd w:val="clear" w:color="auto" w:fill="CCEEFF"/>
          </w:tcPr>
          <w:p>
            <w:pPr>
              <w:spacing w:after="0"/>
              <w:rPr>
                <w:sz w:val="12"/>
                <w:szCs w:val="12"/>
                <w:color w:val="auto"/>
              </w:rPr>
            </w:pPr>
          </w:p>
        </w:tc>
        <w:tc>
          <w:tcPr>
            <w:tcW w:w="40" w:type="dxa"/>
            <w:vAlign w:val="bottom"/>
            <w:tcBorders>
              <w:top w:val="single" w:sz="8" w:color="CCEEFF"/>
              <w:bottom w:val="single" w:sz="8" w:color="0000FF"/>
            </w:tcBorders>
            <w:gridSpan w:val="2"/>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60"/>
        </w:trPr>
        <w:tc>
          <w:tcPr>
            <w:tcW w:w="130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9800" w:type="dxa"/>
            <w:vAlign w:val="bottom"/>
            <w:gridSpan w:val="21"/>
            <w:shd w:val="clear" w:color="auto" w:fill="CCEEFF"/>
          </w:tcPr>
          <w:p>
            <w:pPr>
              <w:spacing w:after="0" w:line="161" w:lineRule="exact"/>
              <w:rPr>
                <w:rFonts w:ascii="Times New Roman" w:cs="Times New Roman" w:eastAsia="Times New Roman" w:hAnsi="Times New Roman"/>
                <w:sz w:val="17"/>
                <w:szCs w:val="17"/>
                <w:color w:val="0000FF"/>
              </w:rPr>
            </w:pPr>
            <w:hyperlink r:id="rId71">
              <w:r>
                <w:rPr>
                  <w:rFonts w:ascii="Times New Roman" w:cs="Times New Roman" w:eastAsia="Times New Roman" w:hAnsi="Times New Roman"/>
                  <w:sz w:val="17"/>
                  <w:szCs w:val="17"/>
                  <w:color w:val="0000FF"/>
                </w:rPr>
                <w:t>the Company’s Registration Statement on Form S-4 (Registration No. 333-249787) filed on June 29, 2021).</w:t>
              </w:r>
            </w:hyperlink>
          </w:p>
        </w:tc>
        <w:tc>
          <w:tcPr>
            <w:tcW w:w="20" w:type="dxa"/>
            <w:vAlign w:val="bottom"/>
            <w:shd w:val="clear" w:color="auto" w:fill="CCEEFF"/>
          </w:tcPr>
          <w:p>
            <w:pPr>
              <w:spacing w:after="0"/>
              <w:rPr>
                <w:sz w:val="13"/>
                <w:szCs w:val="13"/>
                <w:color w:val="auto"/>
              </w:rPr>
            </w:pPr>
          </w:p>
        </w:tc>
      </w:tr>
      <w:tr>
        <w:trPr>
          <w:trHeight w:val="39"/>
        </w:trPr>
        <w:tc>
          <w:tcPr>
            <w:tcW w:w="130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680" w:type="dxa"/>
            <w:vAlign w:val="bottom"/>
            <w:shd w:val="clear" w:color="auto" w:fill="0000FF"/>
          </w:tcPr>
          <w:p>
            <w:pPr>
              <w:spacing w:after="0"/>
              <w:rPr>
                <w:sz w:val="3"/>
                <w:szCs w:val="3"/>
                <w:color w:val="auto"/>
              </w:rPr>
            </w:pPr>
          </w:p>
        </w:tc>
        <w:tc>
          <w:tcPr>
            <w:tcW w:w="1840" w:type="dxa"/>
            <w:vAlign w:val="bottom"/>
            <w:shd w:val="clear" w:color="auto" w:fill="0000FF"/>
          </w:tcPr>
          <w:p>
            <w:pPr>
              <w:spacing w:after="0"/>
              <w:rPr>
                <w:sz w:val="3"/>
                <w:szCs w:val="3"/>
                <w:color w:val="auto"/>
              </w:rPr>
            </w:pPr>
          </w:p>
        </w:tc>
        <w:tc>
          <w:tcPr>
            <w:tcW w:w="34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0"/>
        </w:trPr>
        <w:tc>
          <w:tcPr>
            <w:tcW w:w="130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2.4</w:t>
            </w:r>
          </w:p>
        </w:tc>
        <w:tc>
          <w:tcPr>
            <w:tcW w:w="120" w:type="dxa"/>
            <w:vAlign w:val="bottom"/>
          </w:tcPr>
          <w:p>
            <w:pPr>
              <w:spacing w:after="0"/>
              <w:rPr>
                <w:sz w:val="15"/>
                <w:szCs w:val="15"/>
                <w:color w:val="auto"/>
              </w:rPr>
            </w:pPr>
          </w:p>
        </w:tc>
        <w:tc>
          <w:tcPr>
            <w:tcW w:w="9820" w:type="dxa"/>
            <w:vAlign w:val="bottom"/>
            <w:gridSpan w:val="22"/>
          </w:tcPr>
          <w:p>
            <w:pPr>
              <w:spacing w:after="0" w:line="181" w:lineRule="exact"/>
              <w:rPr>
                <w:rFonts w:ascii="Times New Roman" w:cs="Times New Roman" w:eastAsia="Times New Roman" w:hAnsi="Times New Roman"/>
                <w:sz w:val="17"/>
                <w:szCs w:val="17"/>
                <w:color w:val="0000FF"/>
              </w:rPr>
            </w:pPr>
            <w:hyperlink r:id="rId72">
              <w:r>
                <w:rPr>
                  <w:rFonts w:ascii="Times New Roman" w:cs="Times New Roman" w:eastAsia="Times New Roman" w:hAnsi="Times New Roman"/>
                  <w:sz w:val="17"/>
                  <w:szCs w:val="17"/>
                  <w:color w:val="0000FF"/>
                </w:rPr>
                <w:t>Amendment No. 3 to Agreement and Plan of Merger, dated as of June 29, 2021, by and among Stable Road Acquisition Corp., Project</w:t>
              </w:r>
            </w:hyperlink>
          </w:p>
        </w:tc>
      </w:tr>
      <w:tr>
        <w:trPr>
          <w:trHeight w:val="148"/>
        </w:trPr>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60" w:type="dxa"/>
            <w:vAlign w:val="bottom"/>
            <w:tcBorders>
              <w:top w:val="single" w:sz="8" w:color="0000FF"/>
            </w:tcBorders>
            <w:gridSpan w:val="14"/>
          </w:tcPr>
          <w:p>
            <w:pPr>
              <w:spacing w:after="0" w:line="148" w:lineRule="exact"/>
              <w:rPr>
                <w:rFonts w:ascii="Times New Roman" w:cs="Times New Roman" w:eastAsia="Times New Roman" w:hAnsi="Times New Roman"/>
                <w:sz w:val="17"/>
                <w:szCs w:val="17"/>
                <w:color w:val="0000FF"/>
              </w:rPr>
            </w:pPr>
            <w:hyperlink r:id="rId72">
              <w:r>
                <w:rPr>
                  <w:rFonts w:ascii="Times New Roman" w:cs="Times New Roman" w:eastAsia="Times New Roman" w:hAnsi="Times New Roman"/>
                  <w:sz w:val="17"/>
                  <w:szCs w:val="17"/>
                  <w:color w:val="0000FF"/>
                </w:rPr>
                <w:t>Marvel First Merger Sub, Inc., Project Marvel Second Merger Sub, LLC, and Momentus Inc. (incorporated by reference to Exhibit 2.4 to</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r>
      <w:tr>
        <w:trPr>
          <w:trHeight w:val="160"/>
        </w:trPr>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0" w:type="dxa"/>
            <w:vAlign w:val="bottom"/>
            <w:tcBorders>
              <w:top w:val="single" w:sz="8" w:color="0000FF"/>
            </w:tcBorders>
            <w:gridSpan w:val="21"/>
          </w:tcPr>
          <w:p>
            <w:pPr>
              <w:spacing w:after="0" w:line="161" w:lineRule="exact"/>
              <w:rPr>
                <w:rFonts w:ascii="Times New Roman" w:cs="Times New Roman" w:eastAsia="Times New Roman" w:hAnsi="Times New Roman"/>
                <w:sz w:val="17"/>
                <w:szCs w:val="17"/>
                <w:color w:val="0000FF"/>
              </w:rPr>
            </w:pPr>
            <w:hyperlink r:id="rId72">
              <w:r>
                <w:rPr>
                  <w:rFonts w:ascii="Times New Roman" w:cs="Times New Roman" w:eastAsia="Times New Roman" w:hAnsi="Times New Roman"/>
                  <w:sz w:val="17"/>
                  <w:szCs w:val="17"/>
                  <w:color w:val="0000FF"/>
                </w:rPr>
                <w:t>the Company’s Registration Statement on Form S-4 (Registration No. 333-249787) filed on June 29, 2021).</w:t>
              </w:r>
            </w:hyperlink>
          </w:p>
        </w:tc>
        <w:tc>
          <w:tcPr>
            <w:tcW w:w="20" w:type="dxa"/>
            <w:vAlign w:val="bottom"/>
          </w:tcPr>
          <w:p>
            <w:pPr>
              <w:spacing w:after="0"/>
              <w:rPr>
                <w:sz w:val="13"/>
                <w:szCs w:val="13"/>
                <w:color w:val="auto"/>
              </w:rPr>
            </w:pPr>
          </w:p>
        </w:tc>
      </w:tr>
      <w:tr>
        <w:trPr>
          <w:trHeight w:val="29"/>
        </w:trPr>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1840" w:type="dxa"/>
            <w:vAlign w:val="bottom"/>
            <w:shd w:val="clear" w:color="auto" w:fill="0000FF"/>
          </w:tcPr>
          <w:p>
            <w:pPr>
              <w:spacing w:after="0"/>
              <w:rPr>
                <w:sz w:val="2"/>
                <w:szCs w:val="2"/>
                <w:color w:val="auto"/>
              </w:rPr>
            </w:pPr>
          </w:p>
        </w:tc>
        <w:tc>
          <w:tcPr>
            <w:tcW w:w="34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130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7"/>
                <w:szCs w:val="17"/>
                <w:color w:val="auto"/>
              </w:rPr>
              <w:t>4.1</w:t>
            </w:r>
          </w:p>
        </w:tc>
        <w:tc>
          <w:tcPr>
            <w:tcW w:w="120" w:type="dxa"/>
            <w:vAlign w:val="bottom"/>
            <w:tcBorders>
              <w:right w:val="single" w:sz="8" w:color="CCEEFF"/>
            </w:tcBorders>
            <w:shd w:val="clear" w:color="auto" w:fill="CCEEFF"/>
          </w:tcPr>
          <w:p>
            <w:pPr>
              <w:spacing w:after="0"/>
              <w:rPr>
                <w:sz w:val="16"/>
                <w:szCs w:val="16"/>
                <w:color w:val="auto"/>
              </w:rPr>
            </w:pPr>
          </w:p>
        </w:tc>
        <w:tc>
          <w:tcPr>
            <w:tcW w:w="9820" w:type="dxa"/>
            <w:vAlign w:val="bottom"/>
            <w:gridSpan w:val="22"/>
            <w:shd w:val="clear" w:color="auto" w:fill="CCEEFF"/>
          </w:tcPr>
          <w:p>
            <w:pPr>
              <w:spacing w:after="0" w:line="190" w:lineRule="exact"/>
              <w:rPr>
                <w:rFonts w:ascii="Times New Roman" w:cs="Times New Roman" w:eastAsia="Times New Roman" w:hAnsi="Times New Roman"/>
                <w:sz w:val="17"/>
                <w:szCs w:val="17"/>
                <w:color w:val="0000FF"/>
              </w:rPr>
            </w:pPr>
            <w:hyperlink r:id="rId73">
              <w:r>
                <w:rPr>
                  <w:rFonts w:ascii="Times New Roman" w:cs="Times New Roman" w:eastAsia="Times New Roman" w:hAnsi="Times New Roman"/>
                  <w:sz w:val="17"/>
                  <w:szCs w:val="17"/>
                  <w:color w:val="0000FF"/>
                </w:rPr>
                <w:t>Form of Pre-Funded Warrant (incorporated by reference to Exhibit 4.1 to the Company's Current Report on Form 8-K, filed on January 16,</w:t>
              </w:r>
            </w:hyperlink>
          </w:p>
        </w:tc>
      </w:tr>
      <w:tr>
        <w:trPr>
          <w:trHeight w:val="148"/>
        </w:trPr>
        <w:tc>
          <w:tcPr>
            <w:tcW w:w="13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right w:val="single" w:sz="8" w:color="CCEEFF"/>
            </w:tcBorders>
            <w:shd w:val="clear" w:color="auto" w:fill="CCEEFF"/>
          </w:tcPr>
          <w:p>
            <w:pPr>
              <w:spacing w:after="0"/>
              <w:rPr>
                <w:sz w:val="12"/>
                <w:szCs w:val="12"/>
                <w:color w:val="auto"/>
              </w:rPr>
            </w:pPr>
          </w:p>
        </w:tc>
        <w:tc>
          <w:tcPr>
            <w:tcW w:w="1080" w:type="dxa"/>
            <w:vAlign w:val="bottom"/>
            <w:tcBorders>
              <w:top w:val="single" w:sz="8" w:color="0000FF"/>
            </w:tcBorders>
            <w:gridSpan w:val="3"/>
            <w:shd w:val="clear" w:color="auto" w:fill="CCEEFF"/>
          </w:tcPr>
          <w:p>
            <w:pPr>
              <w:spacing w:after="0" w:line="148" w:lineRule="exact"/>
              <w:rPr>
                <w:rFonts w:ascii="Times New Roman" w:cs="Times New Roman" w:eastAsia="Times New Roman" w:hAnsi="Times New Roman"/>
                <w:sz w:val="17"/>
                <w:szCs w:val="17"/>
                <w:color w:val="0000FF"/>
              </w:rPr>
            </w:pPr>
            <w:hyperlink r:id="rId73">
              <w:r>
                <w:rPr>
                  <w:rFonts w:ascii="Times New Roman" w:cs="Times New Roman" w:eastAsia="Times New Roman" w:hAnsi="Times New Roman"/>
                  <w:sz w:val="17"/>
                  <w:szCs w:val="17"/>
                  <w:color w:val="0000FF"/>
                </w:rPr>
                <w:t>2024)</w:t>
              </w:r>
              <w:r>
                <w:rPr>
                  <w:rFonts w:ascii="Times New Roman" w:cs="Times New Roman" w:eastAsia="Times New Roman" w:hAnsi="Times New Roman"/>
                  <w:sz w:val="17"/>
                  <w:szCs w:val="17"/>
                  <w:u w:val="single" w:color="auto"/>
                  <w:color w:val="0000FF"/>
                </w:rPr>
                <w:t>)</w:t>
              </w:r>
            </w:hyperlink>
          </w:p>
        </w:tc>
        <w:tc>
          <w:tcPr>
            <w:tcW w:w="180" w:type="dxa"/>
            <w:vAlign w:val="bottom"/>
            <w:tcBorders>
              <w:top w:val="single" w:sz="8" w:color="0000FF"/>
            </w:tcBorders>
            <w:shd w:val="clear" w:color="auto" w:fill="CCEEFF"/>
          </w:tcPr>
          <w:p>
            <w:pPr>
              <w:spacing w:after="0"/>
              <w:rPr>
                <w:sz w:val="12"/>
                <w:szCs w:val="12"/>
                <w:color w:val="auto"/>
              </w:rPr>
            </w:pPr>
          </w:p>
        </w:tc>
        <w:tc>
          <w:tcPr>
            <w:tcW w:w="680" w:type="dxa"/>
            <w:vAlign w:val="bottom"/>
            <w:tcBorders>
              <w:top w:val="single" w:sz="8" w:color="0000FF"/>
            </w:tcBorders>
            <w:shd w:val="clear" w:color="auto" w:fill="CCEEFF"/>
          </w:tcPr>
          <w:p>
            <w:pPr>
              <w:spacing w:after="0"/>
              <w:rPr>
                <w:sz w:val="12"/>
                <w:szCs w:val="12"/>
                <w:color w:val="auto"/>
              </w:rPr>
            </w:pPr>
          </w:p>
        </w:tc>
        <w:tc>
          <w:tcPr>
            <w:tcW w:w="1840" w:type="dxa"/>
            <w:vAlign w:val="bottom"/>
            <w:tcBorders>
              <w:top w:val="single" w:sz="8" w:color="0000FF"/>
            </w:tcBorders>
            <w:shd w:val="clear" w:color="auto" w:fill="CCEEFF"/>
          </w:tcPr>
          <w:p>
            <w:pPr>
              <w:spacing w:after="0"/>
              <w:rPr>
                <w:sz w:val="12"/>
                <w:szCs w:val="12"/>
                <w:color w:val="auto"/>
              </w:rPr>
            </w:pPr>
          </w:p>
        </w:tc>
        <w:tc>
          <w:tcPr>
            <w:tcW w:w="3400" w:type="dxa"/>
            <w:vAlign w:val="bottom"/>
            <w:tcBorders>
              <w:top w:val="single" w:sz="8" w:color="0000FF"/>
            </w:tcBorders>
            <w:shd w:val="clear" w:color="auto" w:fill="CCEEFF"/>
          </w:tcPr>
          <w:p>
            <w:pPr>
              <w:spacing w:after="0"/>
              <w:rPr>
                <w:sz w:val="12"/>
                <w:szCs w:val="12"/>
                <w:color w:val="auto"/>
              </w:rPr>
            </w:pPr>
          </w:p>
        </w:tc>
        <w:tc>
          <w:tcPr>
            <w:tcW w:w="200" w:type="dxa"/>
            <w:vAlign w:val="bottom"/>
            <w:tcBorders>
              <w:top w:val="single" w:sz="8" w:color="0000FF"/>
            </w:tcBorders>
            <w:shd w:val="clear" w:color="auto" w:fill="CCEEFF"/>
          </w:tcPr>
          <w:p>
            <w:pPr>
              <w:spacing w:after="0"/>
              <w:rPr>
                <w:sz w:val="12"/>
                <w:szCs w:val="12"/>
                <w:color w:val="auto"/>
              </w:rPr>
            </w:pPr>
          </w:p>
        </w:tc>
        <w:tc>
          <w:tcPr>
            <w:tcW w:w="980" w:type="dxa"/>
            <w:vAlign w:val="bottom"/>
            <w:tcBorders>
              <w:top w:val="single" w:sz="8" w:color="0000FF"/>
            </w:tcBorders>
            <w:shd w:val="clear" w:color="auto" w:fill="CCEEFF"/>
          </w:tcPr>
          <w:p>
            <w:pPr>
              <w:spacing w:after="0"/>
              <w:rPr>
                <w:sz w:val="12"/>
                <w:szCs w:val="12"/>
                <w:color w:val="auto"/>
              </w:rPr>
            </w:pPr>
          </w:p>
        </w:tc>
        <w:tc>
          <w:tcPr>
            <w:tcW w:w="660" w:type="dxa"/>
            <w:vAlign w:val="bottom"/>
            <w:tcBorders>
              <w:top w:val="single" w:sz="8" w:color="0000FF"/>
            </w:tcBorders>
            <w:shd w:val="clear" w:color="auto" w:fill="CCEEFF"/>
          </w:tcPr>
          <w:p>
            <w:pPr>
              <w:spacing w:after="0"/>
              <w:rPr>
                <w:sz w:val="12"/>
                <w:szCs w:val="12"/>
                <w:color w:val="auto"/>
              </w:rPr>
            </w:pPr>
          </w:p>
        </w:tc>
        <w:tc>
          <w:tcPr>
            <w:tcW w:w="160" w:type="dxa"/>
            <w:vAlign w:val="bottom"/>
            <w:tcBorders>
              <w:top w:val="single" w:sz="8" w:color="0000FF"/>
            </w:tcBorders>
            <w:shd w:val="clear" w:color="auto" w:fill="CCEEFF"/>
          </w:tcPr>
          <w:p>
            <w:pPr>
              <w:spacing w:after="0"/>
              <w:rPr>
                <w:sz w:val="12"/>
                <w:szCs w:val="12"/>
                <w:color w:val="auto"/>
              </w:rPr>
            </w:pPr>
          </w:p>
        </w:tc>
        <w:tc>
          <w:tcPr>
            <w:tcW w:w="44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32"/>
        </w:trPr>
        <w:tc>
          <w:tcPr>
            <w:tcW w:w="13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840" w:type="dxa"/>
            <w:vAlign w:val="bottom"/>
            <w:tcBorders>
              <w:top w:val="single" w:sz="8" w:color="CCEEFF"/>
            </w:tcBorders>
            <w:shd w:val="clear" w:color="auto" w:fill="CCEEFF"/>
          </w:tcPr>
          <w:p>
            <w:pPr>
              <w:spacing w:after="0"/>
              <w:rPr>
                <w:sz w:val="2"/>
                <w:szCs w:val="2"/>
                <w:color w:val="auto"/>
              </w:rPr>
            </w:pPr>
          </w:p>
        </w:tc>
        <w:tc>
          <w:tcPr>
            <w:tcW w:w="34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0"/>
        </w:trPr>
        <w:tc>
          <w:tcPr>
            <w:tcW w:w="130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4.2</w:t>
            </w:r>
          </w:p>
        </w:tc>
        <w:tc>
          <w:tcPr>
            <w:tcW w:w="120" w:type="dxa"/>
            <w:vAlign w:val="bottom"/>
          </w:tcPr>
          <w:p>
            <w:pPr>
              <w:spacing w:after="0"/>
              <w:rPr>
                <w:sz w:val="15"/>
                <w:szCs w:val="15"/>
                <w:color w:val="auto"/>
              </w:rPr>
            </w:pPr>
          </w:p>
        </w:tc>
        <w:tc>
          <w:tcPr>
            <w:tcW w:w="9820" w:type="dxa"/>
            <w:vAlign w:val="bottom"/>
            <w:gridSpan w:val="22"/>
          </w:tcPr>
          <w:p>
            <w:pPr>
              <w:spacing w:after="0" w:line="181"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w:t>
            </w:r>
            <w:hyperlink r:id="rId74">
              <w:r>
                <w:rPr>
                  <w:rFonts w:ascii="Times New Roman" w:cs="Times New Roman" w:eastAsia="Times New Roman" w:hAnsi="Times New Roman"/>
                  <w:sz w:val="17"/>
                  <w:szCs w:val="17"/>
                  <w:color w:val="0000FF"/>
                </w:rPr>
                <w:t>orm of Warrant (incorporated by reference to Exhibit 4.2 to the Company's Current Report on Form 8-K, filed on January 16, 2024).</w:t>
              </w:r>
            </w:hyperlink>
          </w:p>
        </w:tc>
      </w:tr>
      <w:tr>
        <w:trPr>
          <w:trHeight w:val="29"/>
        </w:trPr>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1840" w:type="dxa"/>
            <w:vAlign w:val="bottom"/>
            <w:shd w:val="clear" w:color="auto" w:fill="0000FF"/>
          </w:tcPr>
          <w:p>
            <w:pPr>
              <w:spacing w:after="0"/>
              <w:rPr>
                <w:sz w:val="2"/>
                <w:szCs w:val="2"/>
                <w:color w:val="auto"/>
              </w:rPr>
            </w:pPr>
          </w:p>
        </w:tc>
        <w:tc>
          <w:tcPr>
            <w:tcW w:w="34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98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130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7"/>
                <w:szCs w:val="17"/>
                <w:color w:val="auto"/>
              </w:rPr>
              <w:t>4.5</w:t>
            </w:r>
          </w:p>
        </w:tc>
        <w:tc>
          <w:tcPr>
            <w:tcW w:w="120" w:type="dxa"/>
            <w:vAlign w:val="bottom"/>
            <w:tcBorders>
              <w:right w:val="single" w:sz="8" w:color="CCEEFF"/>
            </w:tcBorders>
            <w:shd w:val="clear" w:color="auto" w:fill="CCEEFF"/>
          </w:tcPr>
          <w:p>
            <w:pPr>
              <w:spacing w:after="0"/>
              <w:rPr>
                <w:sz w:val="16"/>
                <w:szCs w:val="16"/>
                <w:color w:val="auto"/>
              </w:rPr>
            </w:pPr>
          </w:p>
        </w:tc>
        <w:tc>
          <w:tcPr>
            <w:tcW w:w="9820" w:type="dxa"/>
            <w:vAlign w:val="bottom"/>
            <w:gridSpan w:val="22"/>
            <w:shd w:val="clear" w:color="auto" w:fill="CCEEFF"/>
          </w:tcPr>
          <w:p>
            <w:pPr>
              <w:spacing w:after="0" w:line="190" w:lineRule="exact"/>
              <w:rPr>
                <w:rFonts w:ascii="Times New Roman" w:cs="Times New Roman" w:eastAsia="Times New Roman" w:hAnsi="Times New Roman"/>
                <w:sz w:val="17"/>
                <w:szCs w:val="17"/>
                <w:color w:val="0000FF"/>
              </w:rPr>
            </w:pPr>
            <w:hyperlink r:id="rId75">
              <w:r>
                <w:rPr>
                  <w:rFonts w:ascii="Times New Roman" w:cs="Times New Roman" w:eastAsia="Times New Roman" w:hAnsi="Times New Roman"/>
                  <w:sz w:val="17"/>
                  <w:szCs w:val="17"/>
                  <w:color w:val="0000FF"/>
                </w:rPr>
                <w:t>Form of Warrant (incorporated by reference to Exhibit 4.2 to the Company’s Current Report on Form 8-K, filed on March 7, 2024).</w:t>
              </w:r>
            </w:hyperlink>
          </w:p>
        </w:tc>
      </w:tr>
      <w:tr>
        <w:trPr>
          <w:trHeight w:val="39"/>
        </w:trPr>
        <w:tc>
          <w:tcPr>
            <w:tcW w:w="130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680" w:type="dxa"/>
            <w:vAlign w:val="bottom"/>
            <w:shd w:val="clear" w:color="auto" w:fill="0000FF"/>
          </w:tcPr>
          <w:p>
            <w:pPr>
              <w:spacing w:after="0"/>
              <w:rPr>
                <w:sz w:val="3"/>
                <w:szCs w:val="3"/>
                <w:color w:val="auto"/>
              </w:rPr>
            </w:pPr>
          </w:p>
        </w:tc>
        <w:tc>
          <w:tcPr>
            <w:tcW w:w="1840" w:type="dxa"/>
            <w:vAlign w:val="bottom"/>
            <w:shd w:val="clear" w:color="auto" w:fill="0000FF"/>
          </w:tcPr>
          <w:p>
            <w:pPr>
              <w:spacing w:after="0"/>
              <w:rPr>
                <w:sz w:val="3"/>
                <w:szCs w:val="3"/>
                <w:color w:val="auto"/>
              </w:rPr>
            </w:pPr>
          </w:p>
        </w:tc>
        <w:tc>
          <w:tcPr>
            <w:tcW w:w="34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980" w:type="dxa"/>
            <w:vAlign w:val="bottom"/>
            <w:shd w:val="clear" w:color="auto" w:fill="0000FF"/>
          </w:tcPr>
          <w:p>
            <w:pPr>
              <w:spacing w:after="0"/>
              <w:rPr>
                <w:sz w:val="3"/>
                <w:szCs w:val="3"/>
                <w:color w:val="auto"/>
              </w:rPr>
            </w:pPr>
          </w:p>
        </w:tc>
        <w:tc>
          <w:tcPr>
            <w:tcW w:w="660" w:type="dxa"/>
            <w:vAlign w:val="bottom"/>
            <w:shd w:val="clear" w:color="auto" w:fill="0000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0"/>
        </w:trPr>
        <w:tc>
          <w:tcPr>
            <w:tcW w:w="130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10.1</w:t>
            </w:r>
          </w:p>
        </w:tc>
        <w:tc>
          <w:tcPr>
            <w:tcW w:w="120" w:type="dxa"/>
            <w:vAlign w:val="bottom"/>
          </w:tcPr>
          <w:p>
            <w:pPr>
              <w:spacing w:after="0"/>
              <w:rPr>
                <w:sz w:val="15"/>
                <w:szCs w:val="15"/>
                <w:color w:val="auto"/>
              </w:rPr>
            </w:pPr>
          </w:p>
        </w:tc>
        <w:tc>
          <w:tcPr>
            <w:tcW w:w="9820" w:type="dxa"/>
            <w:vAlign w:val="bottom"/>
            <w:gridSpan w:val="22"/>
          </w:tcPr>
          <w:p>
            <w:pPr>
              <w:spacing w:after="0" w:line="181" w:lineRule="exact"/>
              <w:rPr>
                <w:rFonts w:ascii="Times New Roman" w:cs="Times New Roman" w:eastAsia="Times New Roman" w:hAnsi="Times New Roman"/>
                <w:sz w:val="17"/>
                <w:szCs w:val="17"/>
                <w:color w:val="0000FF"/>
              </w:rPr>
            </w:pPr>
            <w:hyperlink r:id="rId76">
              <w:r>
                <w:rPr>
                  <w:rFonts w:ascii="Times New Roman" w:cs="Times New Roman" w:eastAsia="Times New Roman" w:hAnsi="Times New Roman"/>
                  <w:sz w:val="17"/>
                  <w:szCs w:val="17"/>
                  <w:color w:val="0000FF"/>
                </w:rPr>
                <w:t>Form of Securities Purchase Agreement (incorporated by reference to Exhibit 10.1 to the Company's Current Report on Form 8-K, filed on</w:t>
              </w:r>
            </w:hyperlink>
          </w:p>
        </w:tc>
      </w:tr>
      <w:tr>
        <w:trPr>
          <w:trHeight w:val="148"/>
        </w:trPr>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760" w:type="dxa"/>
            <w:vAlign w:val="bottom"/>
            <w:tcBorders>
              <w:top w:val="single" w:sz="8" w:color="0000FF"/>
            </w:tcBorders>
            <w:gridSpan w:val="19"/>
          </w:tcPr>
          <w:p>
            <w:pPr>
              <w:spacing w:after="0" w:line="148" w:lineRule="exact"/>
              <w:rPr>
                <w:rFonts w:ascii="Times New Roman" w:cs="Times New Roman" w:eastAsia="Times New Roman" w:hAnsi="Times New Roman"/>
                <w:sz w:val="17"/>
                <w:szCs w:val="17"/>
                <w:color w:val="0000FF"/>
              </w:rPr>
            </w:pPr>
            <w:hyperlink r:id="rId76">
              <w:r>
                <w:rPr>
                  <w:rFonts w:ascii="Times New Roman" w:cs="Times New Roman" w:eastAsia="Times New Roman" w:hAnsi="Times New Roman"/>
                  <w:sz w:val="17"/>
                  <w:szCs w:val="17"/>
                  <w:color w:val="0000FF"/>
                </w:rPr>
                <w:t>January 16, 2024).</w:t>
              </w:r>
            </w:hyperlink>
          </w:p>
        </w:tc>
        <w:tc>
          <w:tcPr>
            <w:tcW w:w="60" w:type="dxa"/>
            <w:vAlign w:val="bottom"/>
            <w:gridSpan w:val="3"/>
          </w:tcPr>
          <w:p>
            <w:pPr>
              <w:spacing w:after="0"/>
              <w:rPr>
                <w:sz w:val="12"/>
                <w:szCs w:val="12"/>
                <w:color w:val="auto"/>
              </w:rPr>
            </w:pPr>
          </w:p>
        </w:tc>
      </w:tr>
      <w:tr>
        <w:trPr>
          <w:trHeight w:val="32"/>
        </w:trPr>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6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0"/>
        </w:trPr>
        <w:tc>
          <w:tcPr>
            <w:tcW w:w="13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10.2</w:t>
            </w:r>
          </w:p>
        </w:tc>
        <w:tc>
          <w:tcPr>
            <w:tcW w:w="120" w:type="dxa"/>
            <w:vAlign w:val="bottom"/>
            <w:tcBorders>
              <w:right w:val="single" w:sz="8" w:color="CCEEFF"/>
            </w:tcBorders>
            <w:shd w:val="clear" w:color="auto" w:fill="CCEEFF"/>
          </w:tcPr>
          <w:p>
            <w:pPr>
              <w:spacing w:after="0"/>
              <w:rPr>
                <w:sz w:val="15"/>
                <w:szCs w:val="15"/>
                <w:color w:val="auto"/>
              </w:rPr>
            </w:pPr>
          </w:p>
        </w:tc>
        <w:tc>
          <w:tcPr>
            <w:tcW w:w="9820" w:type="dxa"/>
            <w:vAlign w:val="bottom"/>
            <w:gridSpan w:val="22"/>
            <w:shd w:val="clear" w:color="auto" w:fill="CCEEFF"/>
          </w:tcPr>
          <w:p>
            <w:pPr>
              <w:spacing w:after="0" w:line="181" w:lineRule="exact"/>
              <w:rPr>
                <w:rFonts w:ascii="Times New Roman" w:cs="Times New Roman" w:eastAsia="Times New Roman" w:hAnsi="Times New Roman"/>
                <w:sz w:val="17"/>
                <w:szCs w:val="17"/>
                <w:color w:val="0000FF"/>
              </w:rPr>
            </w:pPr>
            <w:hyperlink r:id="rId77">
              <w:r>
                <w:rPr>
                  <w:rFonts w:ascii="Times New Roman" w:cs="Times New Roman" w:eastAsia="Times New Roman" w:hAnsi="Times New Roman"/>
                  <w:sz w:val="17"/>
                  <w:szCs w:val="17"/>
                  <w:color w:val="0000FF"/>
                </w:rPr>
                <w:t>Form of Securities Purchase Agreement (incorporated by reference to Exhibit 10.1 to the Company’s Current Report on Form 8-K, filed on</w:t>
              </w:r>
            </w:hyperlink>
          </w:p>
        </w:tc>
      </w:tr>
      <w:tr>
        <w:trPr>
          <w:trHeight w:val="148"/>
        </w:trPr>
        <w:tc>
          <w:tcPr>
            <w:tcW w:w="13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right w:val="single" w:sz="8" w:color="CCEEFF"/>
            </w:tcBorders>
            <w:shd w:val="clear" w:color="auto" w:fill="CCEEFF"/>
          </w:tcPr>
          <w:p>
            <w:pPr>
              <w:spacing w:after="0"/>
              <w:rPr>
                <w:sz w:val="12"/>
                <w:szCs w:val="12"/>
                <w:color w:val="auto"/>
              </w:rPr>
            </w:pPr>
          </w:p>
        </w:tc>
        <w:tc>
          <w:tcPr>
            <w:tcW w:w="9640" w:type="dxa"/>
            <w:vAlign w:val="bottom"/>
            <w:tcBorders>
              <w:top w:val="single" w:sz="8" w:color="0000FF"/>
            </w:tcBorders>
            <w:gridSpan w:val="13"/>
            <w:shd w:val="clear" w:color="auto" w:fill="CCEEFF"/>
          </w:tcPr>
          <w:p>
            <w:pPr>
              <w:spacing w:after="0" w:line="148" w:lineRule="exact"/>
              <w:rPr>
                <w:rFonts w:ascii="Times New Roman" w:cs="Times New Roman" w:eastAsia="Times New Roman" w:hAnsi="Times New Roman"/>
                <w:sz w:val="17"/>
                <w:szCs w:val="17"/>
                <w:color w:val="0000FF"/>
              </w:rPr>
            </w:pPr>
            <w:hyperlink r:id="rId77">
              <w:r>
                <w:rPr>
                  <w:rFonts w:ascii="Times New Roman" w:cs="Times New Roman" w:eastAsia="Times New Roman" w:hAnsi="Times New Roman"/>
                  <w:sz w:val="17"/>
                  <w:szCs w:val="17"/>
                  <w:color w:val="0000FF"/>
                </w:rPr>
                <w:t>March 7, 2024).</w:t>
              </w:r>
            </w:hyperlink>
          </w:p>
        </w:tc>
        <w:tc>
          <w:tcPr>
            <w:tcW w:w="80" w:type="dxa"/>
            <w:vAlign w:val="bottom"/>
            <w:tcBorders>
              <w:top w:val="single" w:sz="8" w:color="CCEEFF"/>
            </w:tcBorders>
            <w:gridSpan w:val="4"/>
            <w:shd w:val="clear" w:color="auto" w:fill="CCEEFF"/>
          </w:tcPr>
          <w:p>
            <w:pPr>
              <w:spacing w:after="0"/>
              <w:rPr>
                <w:sz w:val="12"/>
                <w:szCs w:val="12"/>
                <w:color w:val="auto"/>
              </w:rPr>
            </w:pPr>
          </w:p>
        </w:tc>
        <w:tc>
          <w:tcPr>
            <w:tcW w:w="100" w:type="dxa"/>
            <w:vAlign w:val="bottom"/>
            <w:tcBorders>
              <w:top w:val="single" w:sz="8" w:color="CCEEFF"/>
            </w:tcBorders>
            <w:gridSpan w:val="5"/>
            <w:shd w:val="clear" w:color="auto" w:fill="CCEEFF"/>
          </w:tcPr>
          <w:p>
            <w:pPr>
              <w:spacing w:after="0"/>
              <w:rPr>
                <w:sz w:val="12"/>
                <w:szCs w:val="12"/>
                <w:color w:val="auto"/>
              </w:rPr>
            </w:pPr>
          </w:p>
        </w:tc>
      </w:tr>
      <w:tr>
        <w:trPr>
          <w:trHeight w:val="32"/>
        </w:trPr>
        <w:tc>
          <w:tcPr>
            <w:tcW w:w="13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64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840" w:type="dxa"/>
            <w:vAlign w:val="bottom"/>
            <w:tcBorders>
              <w:top w:val="single" w:sz="8" w:color="CCEEFF"/>
            </w:tcBorders>
            <w:shd w:val="clear" w:color="auto" w:fill="CCEEFF"/>
          </w:tcPr>
          <w:p>
            <w:pPr>
              <w:spacing w:after="0"/>
              <w:rPr>
                <w:sz w:val="2"/>
                <w:szCs w:val="2"/>
                <w:color w:val="auto"/>
              </w:rPr>
            </w:pPr>
          </w:p>
        </w:tc>
        <w:tc>
          <w:tcPr>
            <w:tcW w:w="34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0"/>
        </w:trPr>
        <w:tc>
          <w:tcPr>
            <w:tcW w:w="130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31.1*</w:t>
            </w:r>
          </w:p>
        </w:tc>
        <w:tc>
          <w:tcPr>
            <w:tcW w:w="120" w:type="dxa"/>
            <w:vAlign w:val="bottom"/>
          </w:tcPr>
          <w:p>
            <w:pPr>
              <w:spacing w:after="0"/>
              <w:rPr>
                <w:sz w:val="15"/>
                <w:szCs w:val="15"/>
                <w:color w:val="auto"/>
              </w:rPr>
            </w:pPr>
          </w:p>
        </w:tc>
        <w:tc>
          <w:tcPr>
            <w:tcW w:w="9820" w:type="dxa"/>
            <w:vAlign w:val="bottom"/>
            <w:gridSpan w:val="22"/>
          </w:tcPr>
          <w:p>
            <w:pPr>
              <w:spacing w:after="0" w:line="181" w:lineRule="exact"/>
              <w:rPr>
                <w:sz w:val="20"/>
                <w:szCs w:val="20"/>
                <w:color w:val="auto"/>
              </w:rPr>
            </w:pPr>
            <w:r>
              <w:rPr>
                <w:rFonts w:ascii="Times New Roman" w:cs="Times New Roman" w:eastAsia="Times New Roman" w:hAnsi="Times New Roman"/>
                <w:sz w:val="17"/>
                <w:szCs w:val="17"/>
                <w:color w:val="0000FF"/>
              </w:rPr>
              <w:t>Certification Pursuant to Rules 13a-14(a) and 15d-14(a) Under The Securities Act of 1934, As Adopted Pursuant to Section 302 of the</w:t>
            </w:r>
          </w:p>
        </w:tc>
      </w:tr>
      <w:tr>
        <w:trPr>
          <w:trHeight w:val="148"/>
        </w:trPr>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720" w:type="dxa"/>
            <w:vAlign w:val="bottom"/>
            <w:tcBorders>
              <w:top w:val="single" w:sz="8" w:color="0000FF"/>
            </w:tcBorders>
            <w:gridSpan w:val="17"/>
          </w:tcPr>
          <w:p>
            <w:pPr>
              <w:spacing w:after="0" w:line="148" w:lineRule="exact"/>
              <w:rPr>
                <w:sz w:val="20"/>
                <w:szCs w:val="20"/>
                <w:color w:val="auto"/>
              </w:rPr>
            </w:pPr>
            <w:r>
              <w:rPr>
                <w:rFonts w:ascii="Times New Roman" w:cs="Times New Roman" w:eastAsia="Times New Roman" w:hAnsi="Times New Roman"/>
                <w:sz w:val="17"/>
                <w:szCs w:val="17"/>
                <w:color w:val="0000FF"/>
              </w:rPr>
              <w:t>Sarbanes-Oxley Act of 2002</w:t>
            </w:r>
          </w:p>
        </w:tc>
        <w:tc>
          <w:tcPr>
            <w:tcW w:w="100" w:type="dxa"/>
            <w:vAlign w:val="bottom"/>
            <w:gridSpan w:val="5"/>
          </w:tcPr>
          <w:p>
            <w:pPr>
              <w:spacing w:after="0"/>
              <w:rPr>
                <w:sz w:val="12"/>
                <w:szCs w:val="12"/>
                <w:color w:val="auto"/>
              </w:rPr>
            </w:pPr>
          </w:p>
        </w:tc>
      </w:tr>
      <w:tr>
        <w:trPr>
          <w:trHeight w:val="32"/>
        </w:trPr>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18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0"/>
        </w:trPr>
        <w:tc>
          <w:tcPr>
            <w:tcW w:w="13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31.2*</w:t>
            </w:r>
          </w:p>
        </w:tc>
        <w:tc>
          <w:tcPr>
            <w:tcW w:w="120" w:type="dxa"/>
            <w:vAlign w:val="bottom"/>
            <w:tcBorders>
              <w:right w:val="single" w:sz="8" w:color="CCEEFF"/>
            </w:tcBorders>
            <w:shd w:val="clear" w:color="auto" w:fill="CCEEFF"/>
          </w:tcPr>
          <w:p>
            <w:pPr>
              <w:spacing w:after="0"/>
              <w:rPr>
                <w:sz w:val="15"/>
                <w:szCs w:val="15"/>
                <w:color w:val="auto"/>
              </w:rPr>
            </w:pPr>
          </w:p>
        </w:tc>
        <w:tc>
          <w:tcPr>
            <w:tcW w:w="9820" w:type="dxa"/>
            <w:vAlign w:val="bottom"/>
            <w:gridSpan w:val="22"/>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FF"/>
              </w:rPr>
              <w:t>Certification Pursuant to Rules 13a-14(a) and 15d-14(a) Under The Securities Act of 1934, As Adopted Pursuant to Section 302 of the</w:t>
            </w:r>
          </w:p>
        </w:tc>
      </w:tr>
      <w:tr>
        <w:trPr>
          <w:trHeight w:val="148"/>
        </w:trPr>
        <w:tc>
          <w:tcPr>
            <w:tcW w:w="13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right w:val="single" w:sz="8" w:color="CCEEFF"/>
            </w:tcBorders>
            <w:shd w:val="clear" w:color="auto" w:fill="CCEEFF"/>
          </w:tcPr>
          <w:p>
            <w:pPr>
              <w:spacing w:after="0"/>
              <w:rPr>
                <w:sz w:val="12"/>
                <w:szCs w:val="12"/>
                <w:color w:val="auto"/>
              </w:rPr>
            </w:pPr>
          </w:p>
        </w:tc>
        <w:tc>
          <w:tcPr>
            <w:tcW w:w="9720" w:type="dxa"/>
            <w:vAlign w:val="bottom"/>
            <w:tcBorders>
              <w:top w:val="single" w:sz="8" w:color="0000FF"/>
            </w:tcBorders>
            <w:gridSpan w:val="17"/>
            <w:shd w:val="clear" w:color="auto" w:fill="CCEEFF"/>
          </w:tcPr>
          <w:p>
            <w:pPr>
              <w:spacing w:after="0" w:line="148" w:lineRule="exact"/>
              <w:rPr>
                <w:sz w:val="20"/>
                <w:szCs w:val="20"/>
                <w:color w:val="auto"/>
              </w:rPr>
            </w:pPr>
            <w:r>
              <w:rPr>
                <w:rFonts w:ascii="Times New Roman" w:cs="Times New Roman" w:eastAsia="Times New Roman" w:hAnsi="Times New Roman"/>
                <w:sz w:val="17"/>
                <w:szCs w:val="17"/>
                <w:color w:val="0000FF"/>
              </w:rPr>
              <w:t>Sarbanes-Oxley Act of 2002</w:t>
            </w:r>
          </w:p>
        </w:tc>
        <w:tc>
          <w:tcPr>
            <w:tcW w:w="100" w:type="dxa"/>
            <w:vAlign w:val="bottom"/>
            <w:tcBorders>
              <w:top w:val="single" w:sz="8" w:color="CCEEFF"/>
            </w:tcBorders>
            <w:gridSpan w:val="5"/>
            <w:shd w:val="clear" w:color="auto" w:fill="CCEEFF"/>
          </w:tcPr>
          <w:p>
            <w:pPr>
              <w:spacing w:after="0"/>
              <w:rPr>
                <w:sz w:val="12"/>
                <w:szCs w:val="12"/>
                <w:color w:val="auto"/>
              </w:rPr>
            </w:pPr>
          </w:p>
        </w:tc>
      </w:tr>
      <w:tr>
        <w:trPr>
          <w:trHeight w:val="32"/>
        </w:trPr>
        <w:tc>
          <w:tcPr>
            <w:tcW w:w="13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64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680" w:type="dxa"/>
            <w:vAlign w:val="bottom"/>
            <w:tcBorders>
              <w:top w:val="single" w:sz="8" w:color="0000FF"/>
            </w:tcBorders>
            <w:shd w:val="clear" w:color="auto" w:fill="CCEEFF"/>
          </w:tcPr>
          <w:p>
            <w:pPr>
              <w:spacing w:after="0"/>
              <w:rPr>
                <w:sz w:val="2"/>
                <w:szCs w:val="2"/>
                <w:color w:val="auto"/>
              </w:rPr>
            </w:pPr>
          </w:p>
        </w:tc>
        <w:tc>
          <w:tcPr>
            <w:tcW w:w="1840" w:type="dxa"/>
            <w:vAlign w:val="bottom"/>
            <w:tcBorders>
              <w:top w:val="single" w:sz="8" w:color="CCEEFF"/>
            </w:tcBorders>
            <w:shd w:val="clear" w:color="auto" w:fill="CCEEFF"/>
          </w:tcPr>
          <w:p>
            <w:pPr>
              <w:spacing w:after="0"/>
              <w:rPr>
                <w:sz w:val="2"/>
                <w:szCs w:val="2"/>
                <w:color w:val="auto"/>
              </w:rPr>
            </w:pPr>
          </w:p>
        </w:tc>
        <w:tc>
          <w:tcPr>
            <w:tcW w:w="34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0"/>
        </w:trPr>
        <w:tc>
          <w:tcPr>
            <w:tcW w:w="130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32.1**</w:t>
            </w:r>
          </w:p>
        </w:tc>
        <w:tc>
          <w:tcPr>
            <w:tcW w:w="120" w:type="dxa"/>
            <w:vAlign w:val="bottom"/>
          </w:tcPr>
          <w:p>
            <w:pPr>
              <w:spacing w:after="0"/>
              <w:rPr>
                <w:sz w:val="15"/>
                <w:szCs w:val="15"/>
                <w:color w:val="auto"/>
              </w:rPr>
            </w:pPr>
          </w:p>
        </w:tc>
        <w:tc>
          <w:tcPr>
            <w:tcW w:w="9820" w:type="dxa"/>
            <w:vAlign w:val="bottom"/>
            <w:gridSpan w:val="22"/>
          </w:tcPr>
          <w:p>
            <w:pPr>
              <w:spacing w:after="0" w:line="181" w:lineRule="exact"/>
              <w:rPr>
                <w:sz w:val="20"/>
                <w:szCs w:val="20"/>
                <w:color w:val="auto"/>
              </w:rPr>
            </w:pPr>
            <w:r>
              <w:rPr>
                <w:rFonts w:ascii="Times New Roman" w:cs="Times New Roman" w:eastAsia="Times New Roman" w:hAnsi="Times New Roman"/>
                <w:sz w:val="17"/>
                <w:szCs w:val="17"/>
                <w:color w:val="0000FF"/>
              </w:rPr>
              <w:t>Certification Pursuant to 18 U.S.C. Section 1350, As Adopted Pursuant to Section 906 of the Sarbanes-Oxley Act of 2002</w:t>
            </w:r>
          </w:p>
        </w:tc>
      </w:tr>
      <w:tr>
        <w:trPr>
          <w:trHeight w:val="29"/>
        </w:trPr>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1840" w:type="dxa"/>
            <w:vAlign w:val="bottom"/>
            <w:shd w:val="clear" w:color="auto" w:fill="0000FF"/>
          </w:tcPr>
          <w:p>
            <w:pPr>
              <w:spacing w:after="0"/>
              <w:rPr>
                <w:sz w:val="2"/>
                <w:szCs w:val="2"/>
                <w:color w:val="auto"/>
              </w:rPr>
            </w:pPr>
          </w:p>
        </w:tc>
        <w:tc>
          <w:tcPr>
            <w:tcW w:w="34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980" w:type="dxa"/>
            <w:vAlign w:val="bottom"/>
            <w:shd w:val="clear" w:color="auto" w:fill="0000FF"/>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130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7"/>
                <w:szCs w:val="17"/>
                <w:color w:val="auto"/>
              </w:rPr>
              <w:t>32.2**</w:t>
            </w:r>
          </w:p>
        </w:tc>
        <w:tc>
          <w:tcPr>
            <w:tcW w:w="120" w:type="dxa"/>
            <w:vAlign w:val="bottom"/>
            <w:tcBorders>
              <w:right w:val="single" w:sz="8" w:color="CCEEFF"/>
            </w:tcBorders>
            <w:shd w:val="clear" w:color="auto" w:fill="CCEEFF"/>
          </w:tcPr>
          <w:p>
            <w:pPr>
              <w:spacing w:after="0"/>
              <w:rPr>
                <w:sz w:val="16"/>
                <w:szCs w:val="16"/>
                <w:color w:val="auto"/>
              </w:rPr>
            </w:pPr>
          </w:p>
        </w:tc>
        <w:tc>
          <w:tcPr>
            <w:tcW w:w="9820" w:type="dxa"/>
            <w:vAlign w:val="bottom"/>
            <w:gridSpan w:val="22"/>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Certification Pursuant to 18 U.S.C. Section 1350, As Adopted Pursuant to Section 906 of the Sarbanes-Oxley Act of 2002</w:t>
            </w:r>
          </w:p>
        </w:tc>
      </w:tr>
      <w:tr>
        <w:trPr>
          <w:trHeight w:val="39"/>
        </w:trPr>
        <w:tc>
          <w:tcPr>
            <w:tcW w:w="130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680" w:type="dxa"/>
            <w:vAlign w:val="bottom"/>
            <w:shd w:val="clear" w:color="auto" w:fill="0000FF"/>
          </w:tcPr>
          <w:p>
            <w:pPr>
              <w:spacing w:after="0"/>
              <w:rPr>
                <w:sz w:val="3"/>
                <w:szCs w:val="3"/>
                <w:color w:val="auto"/>
              </w:rPr>
            </w:pPr>
          </w:p>
        </w:tc>
        <w:tc>
          <w:tcPr>
            <w:tcW w:w="1840" w:type="dxa"/>
            <w:vAlign w:val="bottom"/>
            <w:shd w:val="clear" w:color="auto" w:fill="0000FF"/>
          </w:tcPr>
          <w:p>
            <w:pPr>
              <w:spacing w:after="0"/>
              <w:rPr>
                <w:sz w:val="3"/>
                <w:szCs w:val="3"/>
                <w:color w:val="auto"/>
              </w:rPr>
            </w:pPr>
          </w:p>
        </w:tc>
        <w:tc>
          <w:tcPr>
            <w:tcW w:w="34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980" w:type="dxa"/>
            <w:vAlign w:val="bottom"/>
            <w:shd w:val="clear" w:color="auto" w:fill="0000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68"/>
        </w:trPr>
        <w:tc>
          <w:tcPr>
            <w:tcW w:w="130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101.INS*</w:t>
            </w:r>
          </w:p>
        </w:tc>
        <w:tc>
          <w:tcPr>
            <w:tcW w:w="120" w:type="dxa"/>
            <w:vAlign w:val="bottom"/>
          </w:tcPr>
          <w:p>
            <w:pPr>
              <w:spacing w:after="0"/>
              <w:rPr>
                <w:sz w:val="14"/>
                <w:szCs w:val="14"/>
                <w:color w:val="auto"/>
              </w:rPr>
            </w:pPr>
          </w:p>
        </w:tc>
        <w:tc>
          <w:tcPr>
            <w:tcW w:w="9820" w:type="dxa"/>
            <w:vAlign w:val="bottom"/>
            <w:gridSpan w:val="22"/>
          </w:tcPr>
          <w:p>
            <w:pPr>
              <w:spacing w:after="0" w:line="167" w:lineRule="exact"/>
              <w:rPr>
                <w:sz w:val="20"/>
                <w:szCs w:val="20"/>
                <w:color w:val="auto"/>
              </w:rPr>
            </w:pPr>
            <w:r>
              <w:rPr>
                <w:rFonts w:ascii="Times New Roman" w:cs="Times New Roman" w:eastAsia="Times New Roman" w:hAnsi="Times New Roman"/>
                <w:sz w:val="17"/>
                <w:szCs w:val="17"/>
                <w:color w:val="auto"/>
              </w:rPr>
              <w:t>Inline XBRL Instance Document - the instance document does not appear in the Interactive Data File because its XBRL tags are embedded</w:t>
            </w:r>
          </w:p>
        </w:tc>
      </w:tr>
      <w:tr>
        <w:trPr>
          <w:trHeight w:val="228"/>
        </w:trPr>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20" w:type="dxa"/>
            <w:vAlign w:val="bottom"/>
            <w:gridSpan w:val="22"/>
          </w:tcPr>
          <w:p>
            <w:pPr>
              <w:spacing w:after="0"/>
              <w:rPr>
                <w:sz w:val="20"/>
                <w:szCs w:val="20"/>
                <w:color w:val="auto"/>
              </w:rPr>
            </w:pPr>
            <w:r>
              <w:rPr>
                <w:rFonts w:ascii="Times New Roman" w:cs="Times New Roman" w:eastAsia="Times New Roman" w:hAnsi="Times New Roman"/>
                <w:sz w:val="17"/>
                <w:szCs w:val="17"/>
                <w:color w:val="auto"/>
              </w:rPr>
              <w:t>within the Inline XBRL document.</w:t>
            </w:r>
          </w:p>
        </w:tc>
      </w:tr>
      <w:tr>
        <w:trPr>
          <w:trHeight w:val="224"/>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101.SCH*</w:t>
            </w:r>
          </w:p>
        </w:tc>
        <w:tc>
          <w:tcPr>
            <w:tcW w:w="120" w:type="dxa"/>
            <w:vAlign w:val="bottom"/>
            <w:tcBorders>
              <w:right w:val="single" w:sz="8" w:color="CCEEFF"/>
            </w:tcBorders>
            <w:shd w:val="clear" w:color="auto" w:fill="CCEEFF"/>
          </w:tcPr>
          <w:p>
            <w:pPr>
              <w:spacing w:after="0"/>
              <w:rPr>
                <w:sz w:val="19"/>
                <w:szCs w:val="19"/>
                <w:color w:val="auto"/>
              </w:rPr>
            </w:pPr>
          </w:p>
        </w:tc>
        <w:tc>
          <w:tcPr>
            <w:tcW w:w="982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7"/>
                <w:szCs w:val="17"/>
                <w:color w:val="auto"/>
              </w:rPr>
              <w:t>XBRL Taxonomy Extension Schema Document</w:t>
            </w:r>
          </w:p>
        </w:tc>
      </w:tr>
      <w:tr>
        <w:trPr>
          <w:trHeight w:val="219"/>
        </w:trPr>
        <w:tc>
          <w:tcPr>
            <w:tcW w:w="1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101.CAL*</w:t>
            </w:r>
          </w:p>
        </w:tc>
        <w:tc>
          <w:tcPr>
            <w:tcW w:w="120" w:type="dxa"/>
            <w:vAlign w:val="bottom"/>
          </w:tcPr>
          <w:p>
            <w:pPr>
              <w:spacing w:after="0"/>
              <w:rPr>
                <w:sz w:val="19"/>
                <w:szCs w:val="19"/>
                <w:color w:val="auto"/>
              </w:rPr>
            </w:pPr>
          </w:p>
        </w:tc>
        <w:tc>
          <w:tcPr>
            <w:tcW w:w="9820" w:type="dxa"/>
            <w:vAlign w:val="bottom"/>
            <w:gridSpan w:val="22"/>
          </w:tcPr>
          <w:p>
            <w:pPr>
              <w:spacing w:after="0"/>
              <w:rPr>
                <w:sz w:val="20"/>
                <w:szCs w:val="20"/>
                <w:color w:val="auto"/>
              </w:rPr>
            </w:pPr>
            <w:r>
              <w:rPr>
                <w:rFonts w:ascii="Times New Roman" w:cs="Times New Roman" w:eastAsia="Times New Roman" w:hAnsi="Times New Roman"/>
                <w:sz w:val="17"/>
                <w:szCs w:val="17"/>
                <w:color w:val="auto"/>
              </w:rPr>
              <w:t>XBRL Taxonomy Extension Calculation Linkbase Document</w:t>
            </w:r>
          </w:p>
        </w:tc>
      </w:tr>
      <w:tr>
        <w:trPr>
          <w:trHeight w:val="219"/>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101.LAB*</w:t>
            </w:r>
          </w:p>
        </w:tc>
        <w:tc>
          <w:tcPr>
            <w:tcW w:w="120" w:type="dxa"/>
            <w:vAlign w:val="bottom"/>
            <w:tcBorders>
              <w:right w:val="single" w:sz="8" w:color="CCEEFF"/>
            </w:tcBorders>
            <w:shd w:val="clear" w:color="auto" w:fill="CCEEFF"/>
          </w:tcPr>
          <w:p>
            <w:pPr>
              <w:spacing w:after="0"/>
              <w:rPr>
                <w:sz w:val="19"/>
                <w:szCs w:val="19"/>
                <w:color w:val="auto"/>
              </w:rPr>
            </w:pPr>
          </w:p>
        </w:tc>
        <w:tc>
          <w:tcPr>
            <w:tcW w:w="982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7"/>
                <w:szCs w:val="17"/>
                <w:color w:val="auto"/>
              </w:rPr>
              <w:t>XBRL Taxonomy Extension Label Linkbase Document</w:t>
            </w:r>
          </w:p>
        </w:tc>
      </w:tr>
      <w:tr>
        <w:trPr>
          <w:trHeight w:val="219"/>
        </w:trPr>
        <w:tc>
          <w:tcPr>
            <w:tcW w:w="1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101.PRE*</w:t>
            </w:r>
          </w:p>
        </w:tc>
        <w:tc>
          <w:tcPr>
            <w:tcW w:w="120" w:type="dxa"/>
            <w:vAlign w:val="bottom"/>
          </w:tcPr>
          <w:p>
            <w:pPr>
              <w:spacing w:after="0"/>
              <w:rPr>
                <w:sz w:val="19"/>
                <w:szCs w:val="19"/>
                <w:color w:val="auto"/>
              </w:rPr>
            </w:pPr>
          </w:p>
        </w:tc>
        <w:tc>
          <w:tcPr>
            <w:tcW w:w="9820" w:type="dxa"/>
            <w:vAlign w:val="bottom"/>
            <w:gridSpan w:val="22"/>
          </w:tcPr>
          <w:p>
            <w:pPr>
              <w:spacing w:after="0"/>
              <w:rPr>
                <w:sz w:val="20"/>
                <w:szCs w:val="20"/>
                <w:color w:val="auto"/>
              </w:rPr>
            </w:pPr>
            <w:r>
              <w:rPr>
                <w:rFonts w:ascii="Times New Roman" w:cs="Times New Roman" w:eastAsia="Times New Roman" w:hAnsi="Times New Roman"/>
                <w:sz w:val="17"/>
                <w:szCs w:val="17"/>
                <w:color w:val="auto"/>
              </w:rPr>
              <w:t>XBRL Taxonomy Extension Presentation Linkbase Document</w:t>
            </w:r>
          </w:p>
        </w:tc>
      </w:tr>
      <w:tr>
        <w:trPr>
          <w:trHeight w:val="219"/>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101.DEF*</w:t>
            </w:r>
          </w:p>
        </w:tc>
        <w:tc>
          <w:tcPr>
            <w:tcW w:w="120" w:type="dxa"/>
            <w:vAlign w:val="bottom"/>
            <w:tcBorders>
              <w:right w:val="single" w:sz="8" w:color="CCEEFF"/>
            </w:tcBorders>
            <w:shd w:val="clear" w:color="auto" w:fill="CCEEFF"/>
          </w:tcPr>
          <w:p>
            <w:pPr>
              <w:spacing w:after="0"/>
              <w:rPr>
                <w:sz w:val="19"/>
                <w:szCs w:val="19"/>
                <w:color w:val="auto"/>
              </w:rPr>
            </w:pPr>
          </w:p>
        </w:tc>
        <w:tc>
          <w:tcPr>
            <w:tcW w:w="982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7"/>
                <w:szCs w:val="17"/>
                <w:color w:val="auto"/>
              </w:rPr>
              <w:t>XBRL Taxonomy Extension Definition Linkbase Document</w:t>
            </w:r>
          </w:p>
        </w:tc>
      </w:tr>
      <w:tr>
        <w:trPr>
          <w:trHeight w:val="223"/>
        </w:trPr>
        <w:tc>
          <w:tcPr>
            <w:tcW w:w="1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w:t>
            </w:r>
          </w:p>
        </w:tc>
        <w:tc>
          <w:tcPr>
            <w:tcW w:w="120" w:type="dxa"/>
            <w:vAlign w:val="bottom"/>
          </w:tcPr>
          <w:p>
            <w:pPr>
              <w:spacing w:after="0"/>
              <w:rPr>
                <w:sz w:val="19"/>
                <w:szCs w:val="19"/>
                <w:color w:val="auto"/>
              </w:rPr>
            </w:pPr>
          </w:p>
        </w:tc>
        <w:tc>
          <w:tcPr>
            <w:tcW w:w="9820" w:type="dxa"/>
            <w:vAlign w:val="bottom"/>
            <w:gridSpan w:val="22"/>
          </w:tcPr>
          <w:p>
            <w:pPr>
              <w:spacing w:after="0"/>
              <w:rPr>
                <w:sz w:val="20"/>
                <w:szCs w:val="20"/>
                <w:color w:val="auto"/>
              </w:rPr>
            </w:pPr>
            <w:r>
              <w:rPr>
                <w:rFonts w:ascii="Times New Roman" w:cs="Times New Roman" w:eastAsia="Times New Roman" w:hAnsi="Times New Roman"/>
                <w:sz w:val="17"/>
                <w:szCs w:val="17"/>
                <w:color w:val="auto"/>
              </w:rPr>
              <w:t>Cover Page Interactive Data File (formatted in Inline XBRL and contained in Exhibit 101)</w:t>
            </w:r>
          </w:p>
        </w:tc>
      </w:tr>
    </w:tbl>
    <w:p>
      <w:pPr>
        <w:spacing w:after="0" w:line="73" w:lineRule="exact"/>
        <w:rPr>
          <w:sz w:val="20"/>
          <w:szCs w:val="20"/>
          <w:color w:val="auto"/>
        </w:rPr>
      </w:pPr>
    </w:p>
    <w:p>
      <w:pPr>
        <w:spacing w:after="0"/>
        <w:rPr>
          <w:sz w:val="20"/>
          <w:szCs w:val="20"/>
          <w:color w:val="auto"/>
        </w:rPr>
      </w:pPr>
      <w:r>
        <w:rPr>
          <w:rFonts w:ascii="Arial" w:cs="Arial" w:eastAsia="Arial" w:hAnsi="Arial"/>
          <w:sz w:val="21"/>
          <w:szCs w:val="21"/>
          <w:color w:val="auto"/>
        </w:rPr>
        <w:t>__________</w:t>
      </w:r>
    </w:p>
    <w:p>
      <w:pPr>
        <w:spacing w:after="0" w:line="18" w:lineRule="exact"/>
        <w:rPr>
          <w:sz w:val="20"/>
          <w:szCs w:val="20"/>
          <w:color w:val="auto"/>
        </w:rPr>
      </w:pPr>
    </w:p>
    <w:p>
      <w:pPr>
        <w:ind w:right="6860" w:firstLine="3"/>
        <w:spacing w:after="0" w:line="256" w:lineRule="auto"/>
        <w:tabs>
          <w:tab w:leader="none" w:pos="258"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Management contract or compensatory plan or arrangement </w:t>
      </w:r>
      <w:r>
        <w:rPr>
          <w:rFonts w:ascii="Arial" w:cs="Arial" w:eastAsia="Arial" w:hAnsi="Arial"/>
          <w:sz w:val="20"/>
          <w:szCs w:val="20"/>
          <w:color w:val="auto"/>
        </w:rPr>
        <w:t xml:space="preserve">* </w:t>
      </w:r>
      <w:r>
        <w:rPr>
          <w:rFonts w:ascii="Times New Roman" w:cs="Times New Roman" w:eastAsia="Times New Roman" w:hAnsi="Times New Roman"/>
          <w:sz w:val="17"/>
          <w:szCs w:val="17"/>
          <w:color w:val="auto"/>
        </w:rPr>
        <w:t>Filed herewith</w:t>
      </w:r>
    </w:p>
    <w:p>
      <w:pPr>
        <w:ind w:left="460" w:hanging="457"/>
        <w:spacing w:after="0" w:line="238" w:lineRule="auto"/>
        <w:tabs>
          <w:tab w:leader="none" w:pos="460" w:val="left"/>
        </w:tabs>
        <w:numPr>
          <w:ilvl w:val="0"/>
          <w:numId w:val="11"/>
        </w:numPr>
        <w:rPr>
          <w:rFonts w:ascii="Arial" w:cs="Arial" w:eastAsia="Arial" w:hAnsi="Arial"/>
          <w:sz w:val="21"/>
          <w:szCs w:val="21"/>
          <w:color w:val="auto"/>
        </w:rPr>
      </w:pPr>
      <w:r>
        <w:rPr>
          <w:rFonts w:ascii="Times New Roman" w:cs="Times New Roman" w:eastAsia="Times New Roman" w:hAnsi="Times New Roman"/>
          <w:sz w:val="17"/>
          <w:szCs w:val="17"/>
          <w:color w:val="auto"/>
        </w:rPr>
        <w:t>Furnished herewith</w:t>
      </w:r>
    </w:p>
    <w:p>
      <w:pPr>
        <w:spacing w:after="0" w:line="2" w:lineRule="exact"/>
        <w:rPr>
          <w:sz w:val="20"/>
          <w:szCs w:val="20"/>
          <w:color w:val="auto"/>
        </w:rPr>
      </w:pPr>
    </w:p>
    <w:p>
      <w:pPr>
        <w:ind w:left="320" w:hanging="317"/>
        <w:spacing w:after="0" w:line="265" w:lineRule="auto"/>
        <w:tabs>
          <w:tab w:leader="none" w:pos="328"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of the exhibits and schedules to this Exhibit List have been omitted in accordance with Regulation S-K Item 601(a)(5). The Registrant agrees to furnish a copy of all omitted exhibits and schedules to the SEC upon its request.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57"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Pursuant to the requirements of the Securities Act of 1934, the Registrant has duly caused this report to be signed on its behalf by the undersigned thereunto duly authorized.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280" w:type="dxa"/>
            <w:vAlign w:val="bottom"/>
          </w:tcPr>
          <w:p>
            <w:pPr>
              <w:spacing w:after="0"/>
              <w:rPr>
                <w:sz w:val="19"/>
                <w:szCs w:val="19"/>
                <w:color w:val="auto"/>
              </w:rPr>
            </w:pPr>
          </w:p>
        </w:tc>
        <w:tc>
          <w:tcPr>
            <w:tcW w:w="3440" w:type="dxa"/>
            <w:vAlign w:val="bottom"/>
            <w:gridSpan w:val="2"/>
          </w:tcPr>
          <w:p>
            <w:pPr>
              <w:ind w:left="1620"/>
              <w:spacing w:after="0"/>
              <w:rPr>
                <w:sz w:val="20"/>
                <w:szCs w:val="20"/>
                <w:color w:val="auto"/>
              </w:rPr>
            </w:pPr>
            <w:r>
              <w:rPr>
                <w:rFonts w:ascii="Times New Roman" w:cs="Times New Roman" w:eastAsia="Times New Roman" w:hAnsi="Times New Roman"/>
                <w:sz w:val="17"/>
                <w:szCs w:val="17"/>
                <w:b w:val="1"/>
                <w:bCs w:val="1"/>
                <w:color w:val="auto"/>
              </w:rPr>
              <w:t>MOMENTUS INC.</w:t>
            </w:r>
          </w:p>
        </w:tc>
        <w:tc>
          <w:tcPr>
            <w:tcW w:w="4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28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8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By:</w:t>
            </w:r>
          </w:p>
        </w:tc>
        <w:tc>
          <w:tcPr>
            <w:tcW w:w="45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/s/ John Rood</w:t>
            </w:r>
          </w:p>
        </w:tc>
        <w:tc>
          <w:tcPr>
            <w:tcW w:w="0" w:type="dxa"/>
            <w:vAlign w:val="bottom"/>
          </w:tcPr>
          <w:p>
            <w:pPr>
              <w:spacing w:after="0"/>
              <w:rPr>
                <w:sz w:val="1"/>
                <w:szCs w:val="1"/>
                <w:color w:val="auto"/>
              </w:rPr>
            </w:pPr>
          </w:p>
        </w:tc>
      </w:tr>
      <w:tr>
        <w:trPr>
          <w:trHeight w:val="219"/>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Date: October 15, 2024</w:t>
            </w:r>
          </w:p>
        </w:tc>
        <w:tc>
          <w:tcPr>
            <w:tcW w:w="2580" w:type="dxa"/>
            <w:vAlign w:val="bottom"/>
            <w:tcBorders>
              <w:bottom w:val="single" w:sz="8" w:color="CCEEFF"/>
            </w:tcBorders>
            <w:shd w:val="clear" w:color="auto" w:fill="CCEEFF"/>
          </w:tcPr>
          <w:p>
            <w:pPr>
              <w:spacing w:after="0"/>
              <w:rPr>
                <w:sz w:val="19"/>
                <w:szCs w:val="19"/>
                <w:color w:val="auto"/>
              </w:rPr>
            </w:pPr>
          </w:p>
        </w:tc>
        <w:tc>
          <w:tcPr>
            <w:tcW w:w="860" w:type="dxa"/>
            <w:vAlign w:val="bottom"/>
            <w:vMerge w:val="continue"/>
          </w:tcPr>
          <w:p>
            <w:pPr>
              <w:spacing w:after="0"/>
              <w:rPr>
                <w:sz w:val="19"/>
                <w:szCs w:val="19"/>
                <w:color w:val="auto"/>
              </w:rPr>
            </w:pPr>
          </w:p>
        </w:tc>
        <w:tc>
          <w:tcPr>
            <w:tcW w:w="45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2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Name:</w:t>
            </w:r>
          </w:p>
        </w:tc>
        <w:tc>
          <w:tcPr>
            <w:tcW w:w="4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John Rood</w:t>
            </w:r>
          </w:p>
        </w:tc>
        <w:tc>
          <w:tcPr>
            <w:tcW w:w="0" w:type="dxa"/>
            <w:vAlign w:val="bottom"/>
          </w:tcPr>
          <w:p>
            <w:pPr>
              <w:spacing w:after="0"/>
              <w:rPr>
                <w:sz w:val="1"/>
                <w:szCs w:val="1"/>
                <w:color w:val="auto"/>
              </w:rPr>
            </w:pPr>
          </w:p>
        </w:tc>
      </w:tr>
      <w:tr>
        <w:trPr>
          <w:trHeight w:val="171"/>
        </w:trPr>
        <w:tc>
          <w:tcPr>
            <w:tcW w:w="32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860" w:type="dxa"/>
            <w:vAlign w:val="bottom"/>
          </w:tcPr>
          <w:p>
            <w:pPr>
              <w:ind w:left="20"/>
              <w:spacing w:after="0" w:line="172" w:lineRule="exact"/>
              <w:rPr>
                <w:sz w:val="20"/>
                <w:szCs w:val="20"/>
                <w:color w:val="auto"/>
              </w:rPr>
            </w:pPr>
            <w:r>
              <w:rPr>
                <w:rFonts w:ascii="Times New Roman" w:cs="Times New Roman" w:eastAsia="Times New Roman" w:hAnsi="Times New Roman"/>
                <w:sz w:val="17"/>
                <w:szCs w:val="17"/>
                <w:color w:val="auto"/>
              </w:rPr>
              <w:t>Title:</w:t>
            </w:r>
          </w:p>
        </w:tc>
        <w:tc>
          <w:tcPr>
            <w:tcW w:w="4520" w:type="dxa"/>
            <w:vAlign w:val="bottom"/>
          </w:tcPr>
          <w:p>
            <w:pPr>
              <w:ind w:left="20"/>
              <w:spacing w:after="0" w:line="172" w:lineRule="exact"/>
              <w:rPr>
                <w:sz w:val="20"/>
                <w:szCs w:val="20"/>
                <w:color w:val="auto"/>
              </w:rPr>
            </w:pPr>
            <w:r>
              <w:rPr>
                <w:rFonts w:ascii="Times New Roman" w:cs="Times New Roman" w:eastAsia="Times New Roman" w:hAnsi="Times New Roman"/>
                <w:sz w:val="17"/>
                <w:szCs w:val="17"/>
                <w:color w:val="auto"/>
              </w:rPr>
              <w:t>Chief Executive Officer</w:t>
            </w:r>
          </w:p>
        </w:tc>
        <w:tc>
          <w:tcPr>
            <w:tcW w:w="0" w:type="dxa"/>
            <w:vAlign w:val="bottom"/>
          </w:tcPr>
          <w:p>
            <w:pPr>
              <w:spacing w:after="0"/>
              <w:rPr>
                <w:sz w:val="1"/>
                <w:szCs w:val="1"/>
                <w:color w:val="auto"/>
              </w:rPr>
            </w:pPr>
          </w:p>
        </w:tc>
      </w:tr>
      <w:tr>
        <w:trPr>
          <w:trHeight w:val="223"/>
        </w:trPr>
        <w:tc>
          <w:tcPr>
            <w:tcW w:w="32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Executive Officer)</w:t>
            </w:r>
          </w:p>
        </w:tc>
        <w:tc>
          <w:tcPr>
            <w:tcW w:w="0" w:type="dxa"/>
            <w:vAlign w:val="bottom"/>
          </w:tcPr>
          <w:p>
            <w:pPr>
              <w:spacing w:after="0"/>
              <w:rPr>
                <w:sz w:val="1"/>
                <w:szCs w:val="1"/>
                <w:color w:val="auto"/>
              </w:rPr>
            </w:pPr>
          </w:p>
        </w:tc>
      </w:tr>
      <w:tr>
        <w:trPr>
          <w:trHeight w:val="254"/>
        </w:trPr>
        <w:tc>
          <w:tcPr>
            <w:tcW w:w="328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8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By:</w:t>
            </w:r>
          </w:p>
        </w:tc>
        <w:tc>
          <w:tcPr>
            <w:tcW w:w="45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/s/ Lon Ensler</w:t>
            </w:r>
          </w:p>
        </w:tc>
        <w:tc>
          <w:tcPr>
            <w:tcW w:w="0" w:type="dxa"/>
            <w:vAlign w:val="bottom"/>
          </w:tcPr>
          <w:p>
            <w:pPr>
              <w:spacing w:after="0"/>
              <w:rPr>
                <w:sz w:val="1"/>
                <w:szCs w:val="1"/>
                <w:color w:val="auto"/>
              </w:rPr>
            </w:pPr>
          </w:p>
        </w:tc>
      </w:tr>
      <w:tr>
        <w:trPr>
          <w:trHeight w:val="219"/>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Date: October 15, 2024</w:t>
            </w:r>
          </w:p>
        </w:tc>
        <w:tc>
          <w:tcPr>
            <w:tcW w:w="2580" w:type="dxa"/>
            <w:vAlign w:val="bottom"/>
            <w:tcBorders>
              <w:bottom w:val="single" w:sz="8" w:color="CCEEFF"/>
            </w:tcBorders>
            <w:shd w:val="clear" w:color="auto" w:fill="CCEEFF"/>
          </w:tcPr>
          <w:p>
            <w:pPr>
              <w:spacing w:after="0"/>
              <w:rPr>
                <w:sz w:val="19"/>
                <w:szCs w:val="19"/>
                <w:color w:val="auto"/>
              </w:rPr>
            </w:pPr>
          </w:p>
        </w:tc>
        <w:tc>
          <w:tcPr>
            <w:tcW w:w="860" w:type="dxa"/>
            <w:vAlign w:val="bottom"/>
            <w:vMerge w:val="continue"/>
          </w:tcPr>
          <w:p>
            <w:pPr>
              <w:spacing w:after="0"/>
              <w:rPr>
                <w:sz w:val="19"/>
                <w:szCs w:val="19"/>
                <w:color w:val="auto"/>
              </w:rPr>
            </w:pPr>
          </w:p>
        </w:tc>
        <w:tc>
          <w:tcPr>
            <w:tcW w:w="45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2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Name:</w:t>
            </w:r>
          </w:p>
        </w:tc>
        <w:tc>
          <w:tcPr>
            <w:tcW w:w="4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 Ensler</w:t>
            </w:r>
          </w:p>
        </w:tc>
        <w:tc>
          <w:tcPr>
            <w:tcW w:w="0" w:type="dxa"/>
            <w:vAlign w:val="bottom"/>
          </w:tcPr>
          <w:p>
            <w:pPr>
              <w:spacing w:after="0"/>
              <w:rPr>
                <w:sz w:val="1"/>
                <w:szCs w:val="1"/>
                <w:color w:val="auto"/>
              </w:rPr>
            </w:pPr>
          </w:p>
        </w:tc>
      </w:tr>
      <w:tr>
        <w:trPr>
          <w:trHeight w:val="171"/>
        </w:trPr>
        <w:tc>
          <w:tcPr>
            <w:tcW w:w="32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860" w:type="dxa"/>
            <w:vAlign w:val="bottom"/>
          </w:tcPr>
          <w:p>
            <w:pPr>
              <w:ind w:left="20"/>
              <w:spacing w:after="0" w:line="172" w:lineRule="exact"/>
              <w:rPr>
                <w:sz w:val="20"/>
                <w:szCs w:val="20"/>
                <w:color w:val="auto"/>
              </w:rPr>
            </w:pPr>
            <w:r>
              <w:rPr>
                <w:rFonts w:ascii="Times New Roman" w:cs="Times New Roman" w:eastAsia="Times New Roman" w:hAnsi="Times New Roman"/>
                <w:sz w:val="17"/>
                <w:szCs w:val="17"/>
                <w:color w:val="auto"/>
              </w:rPr>
              <w:t>Title:</w:t>
            </w:r>
          </w:p>
        </w:tc>
        <w:tc>
          <w:tcPr>
            <w:tcW w:w="4520" w:type="dxa"/>
            <w:vAlign w:val="bottom"/>
          </w:tcPr>
          <w:p>
            <w:pPr>
              <w:ind w:left="20"/>
              <w:spacing w:after="0" w:line="172" w:lineRule="exact"/>
              <w:rPr>
                <w:sz w:val="20"/>
                <w:szCs w:val="20"/>
                <w:color w:val="auto"/>
              </w:rPr>
            </w:pPr>
            <w:r>
              <w:rPr>
                <w:rFonts w:ascii="Times New Roman" w:cs="Times New Roman" w:eastAsia="Times New Roman" w:hAnsi="Times New Roman"/>
                <w:sz w:val="17"/>
                <w:szCs w:val="17"/>
                <w:color w:val="auto"/>
              </w:rPr>
              <w:t>Interim Chief Financial Officer</w:t>
            </w:r>
          </w:p>
        </w:tc>
        <w:tc>
          <w:tcPr>
            <w:tcW w:w="0" w:type="dxa"/>
            <w:vAlign w:val="bottom"/>
          </w:tcPr>
          <w:p>
            <w:pPr>
              <w:spacing w:after="0"/>
              <w:rPr>
                <w:sz w:val="1"/>
                <w:szCs w:val="1"/>
                <w:color w:val="auto"/>
              </w:rPr>
            </w:pPr>
          </w:p>
        </w:tc>
      </w:tr>
      <w:tr>
        <w:trPr>
          <w:trHeight w:val="223"/>
        </w:trPr>
        <w:tc>
          <w:tcPr>
            <w:tcW w:w="32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Financial and Accounting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ectPr>
          <w:pgSz w:w="11900" w:h="16838" w:orient="portrait"/>
          <w:cols w:equalWidth="0" w:num="1">
            <w:col w:w="11240"/>
          </w:cols>
          <w:pgMar w:left="320" w:top="123" w:right="339" w:bottom="1440" w:gutter="0" w:footer="0" w:header="0"/>
        </w:sectPr>
      </w:pPr>
    </w:p>
    <w:bookmarkStart w:id="48" w:name="page49"/>
    <w:bookmarkEnd w:id="48"/>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15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CERTIFICATION OF PRINCIPAL EXECUTIVE OFFICER</w:t>
      </w:r>
    </w:p>
    <w:p>
      <w:pPr>
        <w:spacing w:after="0" w:line="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PURSUANT TO EXCHANGE ACT RULES 13a-14(a) OR 15d-14(a),</w:t>
      </w:r>
    </w:p>
    <w:p>
      <w:pPr>
        <w:spacing w:after="0" w:line="1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AS ADOPTED PURSUANT TO SECTION 302 OF</w:t>
      </w:r>
    </w:p>
    <w:p>
      <w:pPr>
        <w:spacing w:after="0" w:line="1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THE SARBANES-OXLEY ACT OF 2002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John Rood, certify that:</w:t>
      </w:r>
    </w:p>
    <w:p>
      <w:pPr>
        <w:spacing w:after="0" w:line="355" w:lineRule="exact"/>
        <w:rPr>
          <w:sz w:val="20"/>
          <w:szCs w:val="20"/>
          <w:color w:val="auto"/>
        </w:rPr>
      </w:pPr>
    </w:p>
    <w:p>
      <w:pPr>
        <w:ind w:left="620" w:hanging="307"/>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Momentus Inc.;</w:t>
      </w:r>
    </w:p>
    <w:p>
      <w:pPr>
        <w:spacing w:after="0" w:line="153" w:lineRule="exact"/>
        <w:rPr>
          <w:sz w:val="20"/>
          <w:szCs w:val="20"/>
          <w:color w:val="auto"/>
        </w:rPr>
      </w:pPr>
    </w:p>
    <w:p>
      <w:pPr>
        <w:ind w:left="620" w:right="240" w:hanging="307"/>
        <w:spacing w:after="0" w:line="287"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sz w:val="20"/>
          <w:szCs w:val="20"/>
          <w:color w:val="auto"/>
        </w:rPr>
      </w:pPr>
    </w:p>
    <w:p>
      <w:pPr>
        <w:ind w:left="620" w:right="700" w:hanging="307"/>
        <w:spacing w:after="0" w:line="287" w:lineRule="auto"/>
        <w:tabs>
          <w:tab w:leader="none" w:pos="61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4" w:lineRule="exact"/>
        <w:rPr>
          <w:sz w:val="20"/>
          <w:szCs w:val="20"/>
          <w:color w:val="auto"/>
        </w:rPr>
      </w:pPr>
    </w:p>
    <w:p>
      <w:pPr>
        <w:ind w:left="620" w:right="200" w:hanging="307"/>
        <w:spacing w:after="0" w:line="270" w:lineRule="auto"/>
        <w:tabs>
          <w:tab w:leader="none" w:pos="61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1" w:lineRule="exact"/>
        <w:rPr>
          <w:rFonts w:ascii="Times New Roman" w:cs="Times New Roman" w:eastAsia="Times New Roman" w:hAnsi="Times New Roman"/>
          <w:sz w:val="17"/>
          <w:szCs w:val="17"/>
          <w:color w:val="auto"/>
        </w:rPr>
      </w:pPr>
    </w:p>
    <w:p>
      <w:pPr>
        <w:jc w:val="both"/>
        <w:ind w:left="1240" w:right="400" w:hanging="309"/>
        <w:spacing w:after="0" w:line="270" w:lineRule="auto"/>
        <w:tabs>
          <w:tab w:leader="none" w:pos="1231"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Times New Roman" w:cs="Times New Roman" w:eastAsia="Times New Roman" w:hAnsi="Times New Roman"/>
          <w:sz w:val="17"/>
          <w:szCs w:val="17"/>
          <w:color w:val="auto"/>
        </w:rPr>
      </w:pPr>
    </w:p>
    <w:p>
      <w:pPr>
        <w:ind w:left="1240" w:right="660" w:hanging="309"/>
        <w:spacing w:after="0" w:line="270" w:lineRule="auto"/>
        <w:tabs>
          <w:tab w:leader="none" w:pos="1228"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Times New Roman" w:cs="Times New Roman" w:eastAsia="Times New Roman" w:hAnsi="Times New Roman"/>
          <w:sz w:val="17"/>
          <w:szCs w:val="17"/>
          <w:color w:val="auto"/>
        </w:rPr>
      </w:pPr>
    </w:p>
    <w:p>
      <w:pPr>
        <w:ind w:left="1240" w:right="820" w:hanging="309"/>
        <w:spacing w:after="0" w:line="287" w:lineRule="auto"/>
        <w:tabs>
          <w:tab w:leader="none" w:pos="1231"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Times New Roman" w:cs="Times New Roman" w:eastAsia="Times New Roman" w:hAnsi="Times New Roman"/>
          <w:sz w:val="17"/>
          <w:szCs w:val="17"/>
          <w:color w:val="auto"/>
        </w:rPr>
      </w:pPr>
    </w:p>
    <w:p>
      <w:pPr>
        <w:ind w:left="1240" w:right="400" w:hanging="309"/>
        <w:spacing w:after="0" w:line="270" w:lineRule="auto"/>
        <w:tabs>
          <w:tab w:leader="none" w:pos="1228"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1" w:lineRule="exact"/>
        <w:rPr>
          <w:sz w:val="20"/>
          <w:szCs w:val="20"/>
          <w:color w:val="auto"/>
        </w:rPr>
      </w:pPr>
    </w:p>
    <w:p>
      <w:pPr>
        <w:ind w:left="620" w:right="620" w:hanging="307"/>
        <w:spacing w:after="0" w:line="287" w:lineRule="auto"/>
        <w:tabs>
          <w:tab w:leader="none" w:pos="6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6" w:lineRule="exact"/>
        <w:rPr>
          <w:rFonts w:ascii="Times New Roman" w:cs="Times New Roman" w:eastAsia="Times New Roman" w:hAnsi="Times New Roman"/>
          <w:sz w:val="17"/>
          <w:szCs w:val="17"/>
          <w:color w:val="auto"/>
        </w:rPr>
      </w:pPr>
    </w:p>
    <w:p>
      <w:pPr>
        <w:ind w:left="1240" w:right="320" w:hanging="309"/>
        <w:spacing w:after="0" w:line="287" w:lineRule="auto"/>
        <w:tabs>
          <w:tab w:leader="none" w:pos="1231"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Times New Roman" w:cs="Times New Roman" w:eastAsia="Times New Roman" w:hAnsi="Times New Roman"/>
          <w:sz w:val="17"/>
          <w:szCs w:val="17"/>
          <w:color w:val="auto"/>
        </w:rPr>
      </w:pPr>
    </w:p>
    <w:p>
      <w:pPr>
        <w:ind w:left="1240" w:right="280" w:hanging="309"/>
        <w:spacing w:after="0" w:line="287" w:lineRule="auto"/>
        <w:tabs>
          <w:tab w:leader="none" w:pos="1228"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5060" w:type="dxa"/>
        <w:tblCellMar>
          <w:top w:w="0" w:type="dxa"/>
          <w:left w:w="0" w:type="dxa"/>
          <w:bottom w:w="0" w:type="dxa"/>
          <w:right w:w="0" w:type="dxa"/>
        </w:tblCellMar>
      </w:tblPr>
      <w:tr>
        <w:trPr>
          <w:trHeight w:val="195"/>
        </w:trPr>
        <w:tc>
          <w:tcPr>
            <w:tcW w:w="8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By:</w:t>
            </w:r>
          </w:p>
        </w:tc>
        <w:tc>
          <w:tcPr>
            <w:tcW w:w="15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/s/John C. Rood</w:t>
            </w:r>
          </w:p>
        </w:tc>
      </w:tr>
      <w:tr>
        <w:trPr>
          <w:trHeight w:val="234"/>
        </w:trPr>
        <w:tc>
          <w:tcPr>
            <w:tcW w:w="8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Name:</w:t>
            </w:r>
          </w:p>
        </w:tc>
        <w:tc>
          <w:tcPr>
            <w:tcW w:w="1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John C. Rood</w:t>
            </w:r>
          </w:p>
        </w:tc>
        <w:tc>
          <w:tcPr>
            <w:tcW w:w="400" w:type="dxa"/>
            <w:vAlign w:val="bottom"/>
          </w:tcPr>
          <w:p>
            <w:pPr>
              <w:spacing w:after="0"/>
              <w:rPr>
                <w:sz w:val="20"/>
                <w:szCs w:val="20"/>
                <w:color w:val="auto"/>
              </w:rPr>
            </w:pPr>
          </w:p>
        </w:tc>
      </w:tr>
      <w:tr>
        <w:trPr>
          <w:trHeight w:val="223"/>
        </w:trPr>
        <w:tc>
          <w:tcPr>
            <w:tcW w:w="820" w:type="dxa"/>
            <w:vAlign w:val="bottom"/>
          </w:tcPr>
          <w:p>
            <w:pPr>
              <w:spacing w:after="0"/>
              <w:rPr>
                <w:sz w:val="20"/>
                <w:szCs w:val="20"/>
                <w:color w:val="auto"/>
              </w:rPr>
            </w:pPr>
            <w:r>
              <w:rPr>
                <w:rFonts w:ascii="Times New Roman" w:cs="Times New Roman" w:eastAsia="Times New Roman" w:hAnsi="Times New Roman"/>
                <w:sz w:val="17"/>
                <w:szCs w:val="17"/>
                <w:color w:val="auto"/>
              </w:rPr>
              <w:t>Dated:</w:t>
            </w:r>
          </w:p>
        </w:tc>
        <w:tc>
          <w:tcPr>
            <w:tcW w:w="23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October 15, 2024</w:t>
            </w: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Title:</w:t>
            </w:r>
          </w:p>
        </w:tc>
        <w:tc>
          <w:tcPr>
            <w:tcW w:w="156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7"/>
              </w:rPr>
              <w:t>Chief Executive Office</w:t>
            </w:r>
          </w:p>
        </w:tc>
      </w:tr>
    </w:tbl>
    <w:p>
      <w:pPr>
        <w:sectPr>
          <w:pgSz w:w="11900" w:h="16838" w:orient="portrait"/>
          <w:cols w:equalWidth="0" w:num="1">
            <w:col w:w="11340"/>
          </w:cols>
          <w:pgMar w:left="320" w:top="738" w:right="239" w:bottom="1440" w:gutter="0" w:footer="0" w:header="0"/>
        </w:sectPr>
      </w:pPr>
    </w:p>
    <w:bookmarkStart w:id="49" w:name="page50"/>
    <w:bookmarkEnd w:id="49"/>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15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CERTIFICATION OF PRINCIPAL FINANCIAL OFFICER</w:t>
      </w:r>
    </w:p>
    <w:p>
      <w:pPr>
        <w:spacing w:after="0" w:line="3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PURSUANT TO EXCHANGE ACT RULES 13a-14(a) OR 15d-14(a),</w:t>
      </w:r>
    </w:p>
    <w:p>
      <w:pPr>
        <w:spacing w:after="0" w:line="1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AS ADOPTED PURSUANT TO SECTION 302 OF</w:t>
      </w:r>
    </w:p>
    <w:p>
      <w:pPr>
        <w:spacing w:after="0" w:line="1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THE SARBANES-OXLEY ACT OF 2002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Lon Ensler, certify that:</w:t>
      </w:r>
    </w:p>
    <w:p>
      <w:pPr>
        <w:spacing w:after="0" w:line="355" w:lineRule="exact"/>
        <w:rPr>
          <w:sz w:val="20"/>
          <w:szCs w:val="20"/>
          <w:color w:val="auto"/>
        </w:rPr>
      </w:pP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Momentus Inc.;</w:t>
      </w:r>
    </w:p>
    <w:p>
      <w:pPr>
        <w:spacing w:after="0" w:line="153" w:lineRule="exact"/>
        <w:rPr>
          <w:sz w:val="20"/>
          <w:szCs w:val="20"/>
          <w:color w:val="auto"/>
        </w:rPr>
      </w:pPr>
    </w:p>
    <w:p>
      <w:pPr>
        <w:ind w:left="620" w:right="200" w:hanging="307"/>
        <w:spacing w:after="0" w:line="287"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sz w:val="20"/>
          <w:szCs w:val="20"/>
          <w:color w:val="auto"/>
        </w:rPr>
      </w:pPr>
    </w:p>
    <w:p>
      <w:pPr>
        <w:ind w:left="620" w:right="660" w:hanging="307"/>
        <w:spacing w:after="0" w:line="287" w:lineRule="auto"/>
        <w:tabs>
          <w:tab w:leader="none" w:pos="61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4" w:lineRule="exact"/>
        <w:rPr>
          <w:sz w:val="20"/>
          <w:szCs w:val="20"/>
          <w:color w:val="auto"/>
        </w:rPr>
      </w:pPr>
    </w:p>
    <w:p>
      <w:pPr>
        <w:ind w:left="620" w:right="160" w:hanging="307"/>
        <w:spacing w:after="0" w:line="270" w:lineRule="auto"/>
        <w:tabs>
          <w:tab w:leader="none" w:pos="61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1" w:lineRule="exact"/>
        <w:rPr>
          <w:rFonts w:ascii="Times New Roman" w:cs="Times New Roman" w:eastAsia="Times New Roman" w:hAnsi="Times New Roman"/>
          <w:sz w:val="17"/>
          <w:szCs w:val="17"/>
          <w:color w:val="auto"/>
        </w:rPr>
      </w:pPr>
    </w:p>
    <w:p>
      <w:pPr>
        <w:jc w:val="both"/>
        <w:ind w:left="1240" w:right="360" w:hanging="309"/>
        <w:spacing w:after="0" w:line="270" w:lineRule="auto"/>
        <w:tabs>
          <w:tab w:leader="none" w:pos="1231"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Times New Roman" w:cs="Times New Roman" w:eastAsia="Times New Roman" w:hAnsi="Times New Roman"/>
          <w:sz w:val="17"/>
          <w:szCs w:val="17"/>
          <w:color w:val="auto"/>
        </w:rPr>
      </w:pPr>
    </w:p>
    <w:p>
      <w:pPr>
        <w:ind w:left="1240" w:right="620" w:hanging="309"/>
        <w:spacing w:after="0" w:line="270" w:lineRule="auto"/>
        <w:tabs>
          <w:tab w:leader="none" w:pos="1228"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Times New Roman" w:cs="Times New Roman" w:eastAsia="Times New Roman" w:hAnsi="Times New Roman"/>
          <w:sz w:val="17"/>
          <w:szCs w:val="17"/>
          <w:color w:val="auto"/>
        </w:rPr>
      </w:pPr>
    </w:p>
    <w:p>
      <w:pPr>
        <w:ind w:left="1240" w:right="780" w:hanging="309"/>
        <w:spacing w:after="0" w:line="287" w:lineRule="auto"/>
        <w:tabs>
          <w:tab w:leader="none" w:pos="1231"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Times New Roman" w:cs="Times New Roman" w:eastAsia="Times New Roman" w:hAnsi="Times New Roman"/>
          <w:sz w:val="17"/>
          <w:szCs w:val="17"/>
          <w:color w:val="auto"/>
        </w:rPr>
      </w:pPr>
    </w:p>
    <w:p>
      <w:pPr>
        <w:ind w:left="1240" w:right="360" w:hanging="309"/>
        <w:spacing w:after="0" w:line="270" w:lineRule="auto"/>
        <w:tabs>
          <w:tab w:leader="none" w:pos="1228"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1" w:lineRule="exact"/>
        <w:rPr>
          <w:sz w:val="20"/>
          <w:szCs w:val="20"/>
          <w:color w:val="auto"/>
        </w:rPr>
      </w:pPr>
    </w:p>
    <w:p>
      <w:pPr>
        <w:ind w:left="620" w:right="580" w:hanging="307"/>
        <w:spacing w:after="0" w:line="287" w:lineRule="auto"/>
        <w:tabs>
          <w:tab w:leader="none" w:pos="61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6" w:lineRule="exact"/>
        <w:rPr>
          <w:rFonts w:ascii="Times New Roman" w:cs="Times New Roman" w:eastAsia="Times New Roman" w:hAnsi="Times New Roman"/>
          <w:sz w:val="17"/>
          <w:szCs w:val="17"/>
          <w:color w:val="auto"/>
        </w:rPr>
      </w:pPr>
    </w:p>
    <w:p>
      <w:pPr>
        <w:ind w:left="1240" w:right="280" w:hanging="309"/>
        <w:spacing w:after="0" w:line="287" w:lineRule="auto"/>
        <w:tabs>
          <w:tab w:leader="none" w:pos="1231"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Times New Roman" w:cs="Times New Roman" w:eastAsia="Times New Roman" w:hAnsi="Times New Roman"/>
          <w:sz w:val="17"/>
          <w:szCs w:val="17"/>
          <w:color w:val="auto"/>
        </w:rPr>
      </w:pPr>
    </w:p>
    <w:p>
      <w:pPr>
        <w:ind w:left="1240" w:right="240" w:hanging="309"/>
        <w:spacing w:after="0" w:line="287" w:lineRule="auto"/>
        <w:tabs>
          <w:tab w:leader="none" w:pos="1228"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5100" w:type="dxa"/>
        <w:tblCellMar>
          <w:top w:w="0" w:type="dxa"/>
          <w:left w:w="0" w:type="dxa"/>
          <w:bottom w:w="0" w:type="dxa"/>
          <w:right w:w="0" w:type="dxa"/>
        </w:tblCellMar>
      </w:tblPr>
      <w:tr>
        <w:trPr>
          <w:trHeight w:val="195"/>
        </w:trPr>
        <w:tc>
          <w:tcPr>
            <w:tcW w:w="8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By:</w:t>
            </w:r>
          </w:p>
        </w:tc>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99"/>
              </w:rPr>
              <w:t>/s/Lon Ensler</w:t>
            </w:r>
          </w:p>
        </w:tc>
        <w:tc>
          <w:tcPr>
            <w:tcW w:w="500" w:type="dxa"/>
            <w:vAlign w:val="bottom"/>
          </w:tcPr>
          <w:p>
            <w:pPr>
              <w:spacing w:after="0"/>
              <w:rPr>
                <w:sz w:val="16"/>
                <w:szCs w:val="16"/>
                <w:color w:val="auto"/>
              </w:rPr>
            </w:pPr>
          </w:p>
        </w:tc>
      </w:tr>
      <w:tr>
        <w:trPr>
          <w:trHeight w:val="234"/>
        </w:trPr>
        <w:tc>
          <w:tcPr>
            <w:tcW w:w="8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Name:</w:t>
            </w:r>
          </w:p>
        </w:tc>
        <w:tc>
          <w:tcPr>
            <w:tcW w:w="14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Lon Ensler</w:t>
            </w:r>
          </w:p>
        </w:tc>
      </w:tr>
      <w:tr>
        <w:trPr>
          <w:trHeight w:val="180"/>
        </w:trPr>
        <w:tc>
          <w:tcPr>
            <w:tcW w:w="8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80" w:type="dxa"/>
            <w:vAlign w:val="bottom"/>
            <w:gridSpan w:val="2"/>
          </w:tcPr>
          <w:p>
            <w:pPr>
              <w:spacing w:after="0" w:line="181" w:lineRule="exact"/>
              <w:rPr>
                <w:sz w:val="20"/>
                <w:szCs w:val="20"/>
                <w:color w:val="auto"/>
              </w:rPr>
            </w:pPr>
            <w:r>
              <w:rPr>
                <w:rFonts w:ascii="Times New Roman" w:cs="Times New Roman" w:eastAsia="Times New Roman" w:hAnsi="Times New Roman"/>
                <w:sz w:val="17"/>
                <w:szCs w:val="17"/>
                <w:color w:val="auto"/>
                <w:w w:val="99"/>
              </w:rPr>
              <w:t>Interim Chief Financi</w:t>
            </w:r>
          </w:p>
        </w:tc>
      </w:tr>
      <w:tr>
        <w:trPr>
          <w:trHeight w:val="223"/>
        </w:trPr>
        <w:tc>
          <w:tcPr>
            <w:tcW w:w="820" w:type="dxa"/>
            <w:vAlign w:val="bottom"/>
          </w:tcPr>
          <w:p>
            <w:pPr>
              <w:spacing w:after="0"/>
              <w:rPr>
                <w:sz w:val="20"/>
                <w:szCs w:val="20"/>
                <w:color w:val="auto"/>
              </w:rPr>
            </w:pPr>
            <w:r>
              <w:rPr>
                <w:rFonts w:ascii="Times New Roman" w:cs="Times New Roman" w:eastAsia="Times New Roman" w:hAnsi="Times New Roman"/>
                <w:sz w:val="17"/>
                <w:szCs w:val="17"/>
                <w:color w:val="auto"/>
              </w:rPr>
              <w:t>Dated:</w:t>
            </w:r>
          </w:p>
        </w:tc>
        <w:tc>
          <w:tcPr>
            <w:tcW w:w="23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October 15, 2024</w:t>
            </w: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Title:</w:t>
            </w:r>
          </w:p>
        </w:tc>
        <w:tc>
          <w:tcPr>
            <w:tcW w:w="14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Officer</w:t>
            </w:r>
          </w:p>
        </w:tc>
      </w:tr>
    </w:tbl>
    <w:p>
      <w:pPr>
        <w:sectPr>
          <w:pgSz w:w="11900" w:h="16838" w:orient="portrait"/>
          <w:cols w:equalWidth="0" w:num="1">
            <w:col w:w="11300"/>
          </w:cols>
          <w:pgMar w:left="320" w:top="738" w:right="27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906 OF</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SARBANES-OXLEY ACT OF 2002</w:t>
      </w:r>
    </w:p>
    <w:p>
      <w:pPr>
        <w:spacing w:after="0" w:line="123"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In connection with the Quarterly Report of Momentus Inc., a Delaware corporation (the “Company”), on Form 10-Q for the quarter ended March 31, 2024, as filed with the Securities and Exchange Commission on the date hereof (the “Form 10-Q”), I, John Rood, Chief Executive Officer of the Company, certify, pursuant to 18 U.S.C. section 1350, as adopted pursuant section 906 of the Sarbanes-Oxley Act of 2002, that to the best of my knowledge:</w:t>
      </w:r>
    </w:p>
    <w:p>
      <w:pPr>
        <w:spacing w:after="0" w:line="101" w:lineRule="exact"/>
        <w:rPr>
          <w:sz w:val="20"/>
          <w:szCs w:val="20"/>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Form 10-Q fully complies with the requirements of section 13(a) or section 15(d) of the Securities Exchange Act of 1934, as amended; and</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4440" w:type="dxa"/>
        <w:tblCellMar>
          <w:top w:w="0" w:type="dxa"/>
          <w:left w:w="0" w:type="dxa"/>
          <w:bottom w:w="0" w:type="dxa"/>
          <w:right w:w="0" w:type="dxa"/>
        </w:tblCellMar>
      </w:tblPr>
      <w:tr>
        <w:trPr>
          <w:trHeight w:val="195"/>
        </w:trPr>
        <w:tc>
          <w:tcPr>
            <w:tcW w:w="8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By:</w:t>
            </w:r>
          </w:p>
        </w:tc>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/s/John C. Rood</w:t>
            </w:r>
          </w:p>
        </w:tc>
        <w:tc>
          <w:tcPr>
            <w:tcW w:w="460" w:type="dxa"/>
            <w:vAlign w:val="bottom"/>
          </w:tcPr>
          <w:p>
            <w:pPr>
              <w:spacing w:after="0"/>
              <w:rPr>
                <w:sz w:val="17"/>
                <w:szCs w:val="17"/>
                <w:color w:val="auto"/>
              </w:rPr>
            </w:pPr>
          </w:p>
        </w:tc>
      </w:tr>
      <w:tr>
        <w:trPr>
          <w:trHeight w:val="234"/>
        </w:trPr>
        <w:tc>
          <w:tcPr>
            <w:tcW w:w="8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Name:</w:t>
            </w:r>
          </w:p>
        </w:tc>
        <w:tc>
          <w:tcPr>
            <w:tcW w:w="1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John C. Rood</w:t>
            </w:r>
          </w:p>
        </w:tc>
      </w:tr>
      <w:tr>
        <w:trPr>
          <w:trHeight w:val="223"/>
        </w:trPr>
        <w:tc>
          <w:tcPr>
            <w:tcW w:w="820" w:type="dxa"/>
            <w:vAlign w:val="bottom"/>
          </w:tcPr>
          <w:p>
            <w:pPr>
              <w:spacing w:after="0"/>
              <w:rPr>
                <w:sz w:val="20"/>
                <w:szCs w:val="20"/>
                <w:color w:val="auto"/>
              </w:rPr>
            </w:pPr>
            <w:r>
              <w:rPr>
                <w:rFonts w:ascii="Times New Roman" w:cs="Times New Roman" w:eastAsia="Times New Roman" w:hAnsi="Times New Roman"/>
                <w:sz w:val="17"/>
                <w:szCs w:val="17"/>
                <w:color w:val="auto"/>
              </w:rPr>
              <w:t>Dated:</w:t>
            </w:r>
          </w:p>
        </w:tc>
        <w:tc>
          <w:tcPr>
            <w:tcW w:w="23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October 15, 2024</w:t>
            </w: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Title:</w:t>
            </w:r>
          </w:p>
        </w:tc>
        <w:tc>
          <w:tcPr>
            <w:tcW w:w="164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9"/>
              </w:rPr>
              <w:t>Chief Executive Officer</w:t>
            </w:r>
          </w:p>
        </w:tc>
      </w:tr>
    </w:tbl>
    <w:p>
      <w:pPr>
        <w:spacing w:after="0" w:line="200" w:lineRule="exact"/>
        <w:rPr>
          <w:sz w:val="20"/>
          <w:szCs w:val="20"/>
          <w:color w:val="auto"/>
        </w:rPr>
      </w:pPr>
    </w:p>
    <w:p>
      <w:pPr>
        <w:spacing w:after="0" w:line="260" w:lineRule="exact"/>
        <w:rPr>
          <w:sz w:val="20"/>
          <w:szCs w:val="20"/>
          <w:color w:val="auto"/>
        </w:rPr>
      </w:pPr>
    </w:p>
    <w:p>
      <w:pPr>
        <w:ind w:right="540"/>
        <w:spacing w:after="0" w:line="270" w:lineRule="auto"/>
        <w:rPr>
          <w:sz w:val="20"/>
          <w:szCs w:val="20"/>
          <w:color w:val="auto"/>
        </w:rPr>
      </w:pPr>
      <w:r>
        <w:rPr>
          <w:rFonts w:ascii="Times New Roman" w:cs="Times New Roman" w:eastAsia="Times New Roman" w:hAnsi="Times New Roman"/>
          <w:sz w:val="17"/>
          <w:szCs w:val="17"/>
          <w:color w:val="auto"/>
        </w:rPr>
        <w:t>This certification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ectPr>
          <w:pgSz w:w="11900" w:h="16838" w:orient="portrait"/>
          <w:cols w:equalWidth="0" w:num="1">
            <w:col w:w="11240"/>
          </w:cols>
          <w:pgMar w:left="320" w:top="738"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906 OF</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SARBANES-OXLEY ACT OF 2002</w:t>
      </w:r>
    </w:p>
    <w:p>
      <w:pPr>
        <w:spacing w:after="0" w:line="123"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7"/>
          <w:szCs w:val="17"/>
          <w:color w:val="auto"/>
        </w:rPr>
        <w:t>In connection with the Quarterly Report of Momentus Inc., a Delaware corporation (the “Company”), on Form 10-Q for the year ended March 31, 2024, as filed with the Securities and Exchange Commission on the date hereof (the “Form 10-Q”), I, Lon Ensler, Interim Chief Financial Officer of the Company, certify, pursuant to 18 U.S.C. section 1350, as adopted pursuant section 906 of the Sarbanes-Oxley Act of 2002, that to the best of my knowledge:</w:t>
      </w:r>
    </w:p>
    <w:p>
      <w:pPr>
        <w:spacing w:after="0" w:line="101" w:lineRule="exact"/>
        <w:rPr>
          <w:sz w:val="20"/>
          <w:szCs w:val="20"/>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Form 10-Q fully complies with the requirements of section 13(a) or section 15(d) of the Securities Exchange Act of 1934, as amended; and</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4480" w:type="dxa"/>
        <w:tblCellMar>
          <w:top w:w="0" w:type="dxa"/>
          <w:left w:w="0" w:type="dxa"/>
          <w:bottom w:w="0" w:type="dxa"/>
          <w:right w:w="0" w:type="dxa"/>
        </w:tblCellMar>
      </w:tblPr>
      <w:tr>
        <w:trPr>
          <w:trHeight w:val="195"/>
        </w:trPr>
        <w:tc>
          <w:tcPr>
            <w:tcW w:w="8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By:</w:t>
            </w:r>
          </w:p>
        </w:tc>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99"/>
              </w:rPr>
              <w:t>/s/Lon Ensler</w:t>
            </w:r>
          </w:p>
        </w:tc>
        <w:tc>
          <w:tcPr>
            <w:tcW w:w="640" w:type="dxa"/>
            <w:vAlign w:val="bottom"/>
          </w:tcPr>
          <w:p>
            <w:pPr>
              <w:spacing w:after="0"/>
              <w:rPr>
                <w:sz w:val="17"/>
                <w:szCs w:val="17"/>
                <w:color w:val="auto"/>
              </w:rPr>
            </w:pPr>
          </w:p>
        </w:tc>
      </w:tr>
      <w:tr>
        <w:trPr>
          <w:trHeight w:val="234"/>
        </w:trPr>
        <w:tc>
          <w:tcPr>
            <w:tcW w:w="8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Name:</w:t>
            </w:r>
          </w:p>
        </w:tc>
        <w:tc>
          <w:tcPr>
            <w:tcW w:w="1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Lon Ensler</w:t>
            </w:r>
          </w:p>
        </w:tc>
      </w:tr>
      <w:tr>
        <w:trPr>
          <w:trHeight w:val="171"/>
        </w:trPr>
        <w:tc>
          <w:tcPr>
            <w:tcW w:w="8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20" w:type="dxa"/>
            <w:vAlign w:val="bottom"/>
            <w:gridSpan w:val="2"/>
          </w:tcPr>
          <w:p>
            <w:pPr>
              <w:spacing w:after="0" w:line="172" w:lineRule="exact"/>
              <w:rPr>
                <w:sz w:val="20"/>
                <w:szCs w:val="20"/>
                <w:color w:val="auto"/>
              </w:rPr>
            </w:pPr>
            <w:r>
              <w:rPr>
                <w:rFonts w:ascii="Times New Roman" w:cs="Times New Roman" w:eastAsia="Times New Roman" w:hAnsi="Times New Roman"/>
                <w:sz w:val="17"/>
                <w:szCs w:val="17"/>
                <w:color w:val="auto"/>
              </w:rPr>
              <w:t>Interim Chief Financial</w:t>
            </w:r>
          </w:p>
        </w:tc>
      </w:tr>
      <w:tr>
        <w:trPr>
          <w:trHeight w:val="232"/>
        </w:trPr>
        <w:tc>
          <w:tcPr>
            <w:tcW w:w="820" w:type="dxa"/>
            <w:vAlign w:val="bottom"/>
          </w:tcPr>
          <w:p>
            <w:pPr>
              <w:spacing w:after="0"/>
              <w:rPr>
                <w:sz w:val="20"/>
                <w:szCs w:val="20"/>
                <w:color w:val="auto"/>
              </w:rPr>
            </w:pPr>
            <w:r>
              <w:rPr>
                <w:rFonts w:ascii="Times New Roman" w:cs="Times New Roman" w:eastAsia="Times New Roman" w:hAnsi="Times New Roman"/>
                <w:sz w:val="17"/>
                <w:szCs w:val="17"/>
                <w:color w:val="auto"/>
              </w:rPr>
              <w:t>Dated:</w:t>
            </w:r>
          </w:p>
        </w:tc>
        <w:tc>
          <w:tcPr>
            <w:tcW w:w="23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October 15, 2024</w:t>
            </w: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Title:</w:t>
            </w:r>
          </w:p>
        </w:tc>
        <w:tc>
          <w:tcPr>
            <w:tcW w:w="1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Officer</w:t>
            </w:r>
          </w:p>
        </w:tc>
      </w:tr>
    </w:tbl>
    <w:p>
      <w:pPr>
        <w:spacing w:after="0" w:line="200" w:lineRule="exact"/>
        <w:rPr>
          <w:sz w:val="20"/>
          <w:szCs w:val="20"/>
          <w:color w:val="auto"/>
        </w:rPr>
      </w:pPr>
    </w:p>
    <w:p>
      <w:pPr>
        <w:spacing w:after="0" w:line="260" w:lineRule="exact"/>
        <w:rPr>
          <w:sz w:val="20"/>
          <w:szCs w:val="20"/>
          <w:color w:val="auto"/>
        </w:rPr>
      </w:pPr>
    </w:p>
    <w:p>
      <w:pPr>
        <w:ind w:right="540"/>
        <w:spacing w:after="0" w:line="270" w:lineRule="auto"/>
        <w:rPr>
          <w:sz w:val="20"/>
          <w:szCs w:val="20"/>
          <w:color w:val="auto"/>
        </w:rPr>
      </w:pPr>
      <w:r>
        <w:rPr>
          <w:rFonts w:ascii="Times New Roman" w:cs="Times New Roman" w:eastAsia="Times New Roman" w:hAnsi="Times New Roman"/>
          <w:sz w:val="17"/>
          <w:szCs w:val="17"/>
          <w:color w:val="auto"/>
        </w:rPr>
        <w:t>This certification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sectPr>
      <w:pgSz w:w="11900" w:h="16838" w:orient="portrait"/>
      <w:cols w:equalWidth="0" w:num="1">
        <w:col w:w="11240"/>
      </w:cols>
      <w:pgMar w:left="320" w:top="73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x"/>
      <w:numFmt w:val="bullet"/>
      <w:start w:val="1"/>
    </w:lvl>
  </w:abstractNum>
  <w:abstractNum w:abstractNumId="1">
    <w:nsid w:val="3352255A"/>
    <w:multiLevelType w:val="hybridMultilevel"/>
    <w:lvl w:ilvl="0">
      <w:lvlJc w:val="left"/>
      <w:lvlText w:val="o"/>
      <w:numFmt w:val="bullet"/>
      <w:start w:val="1"/>
    </w:lvl>
  </w:abstractNum>
  <w:abstractNum w:abstractNumId="2">
    <w:nsid w:val="109CF92E"/>
    <w:multiLevelType w:val="hybridMultilevel"/>
    <w:lvl w:ilvl="0">
      <w:lvlJc w:val="left"/>
      <w:lvlText w:val="(%1)"/>
      <w:numFmt w:val="lowerRoman"/>
      <w:start w:val="2"/>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1"/>
      <w:numFmt w:val="bullet"/>
      <w:start w:val="1"/>
    </w:lvl>
  </w:abstractNum>
  <w:abstractNum w:abstractNumId="13">
    <w:nsid w:val="7C83E458"/>
    <w:multiLevelType w:val="hybridMultilevel"/>
    <w:lvl w:ilvl="0">
      <w:lvlJc w:val="left"/>
      <w:lvlText w:val="2"/>
      <w:numFmt w:val="bullet"/>
      <w:start w:val="1"/>
    </w:lvl>
  </w:abstractNum>
  <w:abstractNum w:abstractNumId="14">
    <w:nsid w:val="257130A3"/>
    <w:multiLevelType w:val="hybridMultilevel"/>
    <w:lvl w:ilvl="0">
      <w:lvlJc w:val="left"/>
      <w:lvlText w:val="3"/>
      <w:numFmt w:val="bullet"/>
      <w:start w:val="1"/>
    </w:lvl>
  </w:abstractNum>
  <w:abstractNum w:abstractNumId="15">
    <w:nsid w:val="62BBD95A"/>
    <w:multiLevelType w:val="hybridMultilevel"/>
    <w:lvl w:ilvl="0">
      <w:lvlJc w:val="left"/>
      <w:lvlText w:val="4"/>
      <w:numFmt w:val="bullet"/>
      <w:start w:val="1"/>
    </w:lvl>
    <w:lvl w:ilvl="1">
      <w:lvlJc w:val="left"/>
      <w:lvlText w:val="%2)"/>
      <w:numFmt w:val="lowerLetter"/>
      <w:start w:val="1"/>
    </w:lvl>
  </w:abstractNum>
  <w:abstractNum w:abstractNumId="16">
    <w:nsid w:val="436C6125"/>
    <w:multiLevelType w:val="hybridMultilevel"/>
    <w:lvl w:ilvl="0">
      <w:lvlJc w:val="left"/>
      <w:lvlText w:val="5"/>
      <w:numFmt w:val="bullet"/>
      <w:start w:val="1"/>
    </w:lvl>
    <w:lvl w:ilvl="1">
      <w:lvlJc w:val="left"/>
      <w:lvlText w:val="%2)"/>
      <w:numFmt w:val="lowerLetter"/>
      <w:start w:val="1"/>
    </w:lvl>
  </w:abstractNum>
  <w:abstractNum w:abstractNumId="17">
    <w:nsid w:val="628C895D"/>
    <w:multiLevelType w:val="hybridMultilevel"/>
    <w:lvl w:ilvl="0">
      <w:lvlJc w:val="left"/>
      <w:lvlText w:val="1"/>
      <w:numFmt w:val="bullet"/>
      <w:start w:val="1"/>
    </w:lvl>
  </w:abstractNum>
  <w:abstractNum w:abstractNumId="18">
    <w:nsid w:val="333AB105"/>
    <w:multiLevelType w:val="hybridMultilevel"/>
    <w:lvl w:ilvl="0">
      <w:lvlJc w:val="left"/>
      <w:lvlText w:val="2"/>
      <w:numFmt w:val="bullet"/>
      <w:start w:val="1"/>
    </w:lvl>
  </w:abstractNum>
  <w:abstractNum w:abstractNumId="19">
    <w:nsid w:val="721DA317"/>
    <w:multiLevelType w:val="hybridMultilevel"/>
    <w:lvl w:ilvl="0">
      <w:lvlJc w:val="left"/>
      <w:lvlText w:val="3"/>
      <w:numFmt w:val="bullet"/>
      <w:start w:val="1"/>
    </w:lvl>
  </w:abstractNum>
  <w:abstractNum w:abstractNumId="20">
    <w:nsid w:val="2443A858"/>
    <w:multiLevelType w:val="hybridMultilevel"/>
    <w:lvl w:ilvl="0">
      <w:lvlJc w:val="left"/>
      <w:lvlText w:val="4"/>
      <w:numFmt w:val="bullet"/>
      <w:start w:val="1"/>
    </w:lvl>
    <w:lvl w:ilvl="1">
      <w:lvlJc w:val="left"/>
      <w:lvlText w:val="%2)"/>
      <w:numFmt w:val="lowerLetter"/>
      <w:start w:val="1"/>
    </w:lvl>
  </w:abstractNum>
  <w:abstractNum w:abstractNumId="21">
    <w:nsid w:val="2D1D5AE9"/>
    <w:multiLevelType w:val="hybridMultilevel"/>
    <w:lvl w:ilvl="0">
      <w:lvlJc w:val="left"/>
      <w:lvlText w:val="5"/>
      <w:numFmt w:val="bullet"/>
      <w:start w:val="1"/>
    </w:lvl>
    <w:lvl w:ilvl="1">
      <w:lvlJc w:val="left"/>
      <w:lvlText w:val="%2)"/>
      <w:numFmt w:val="lowerLetter"/>
      <w:start w:val="1"/>
    </w:lvl>
  </w:abstractNum>
  <w:abstractNum w:abstractNumId="22">
    <w:nsid w:val="6763845E"/>
    <w:multiLevelType w:val="hybridMultilevel"/>
    <w:lvl w:ilvl="0">
      <w:lvlJc w:val="left"/>
      <w:lvlText w:val="(%1)"/>
      <w:numFmt w:val="lowerRoman"/>
      <w:start w:val="1"/>
    </w:lvl>
  </w:abstractNum>
  <w:abstractNum w:abstractNumId="23">
    <w:nsid w:val="75A2A8D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78" Type="http://schemas.openxmlformats.org/officeDocument/2006/relationships/image" Target="media/image62.png"/><Relationship Id="rId69" Type="http://schemas.openxmlformats.org/officeDocument/2006/relationships/hyperlink" Target="https://www.sec.gov/Archives/edgar/data/1781162/000121390020030403/ea127854ex2-1_stableroad.htm" TargetMode="External"/><Relationship Id="rId70" Type="http://schemas.openxmlformats.org/officeDocument/2006/relationships/hyperlink" Target="https://www.sec.gov/Archives/edgar/data/1781162/000121390021013894/fs42021a2_stableroadacq.htm#T110" TargetMode="External"/><Relationship Id="rId71" Type="http://schemas.openxmlformats.org/officeDocument/2006/relationships/hyperlink" Target="https://www.sec.gov/Archives/edgar/data/1781162/000121390021020806/ea139255ex2-1_stableroad.htm" TargetMode="External"/><Relationship Id="rId72" Type="http://schemas.openxmlformats.org/officeDocument/2006/relationships/hyperlink" Target="https://www.sec.gov/Archives/edgar/data/1781162/000121390021034706/ea143483ex2-1_stableroad.htm" TargetMode="External"/><Relationship Id="rId73" Type="http://schemas.openxmlformats.org/officeDocument/2006/relationships/hyperlink" Target="https://www.sec.gov/Archives/edgar/data/1781162/000114036124002389/ef20018925_ex4-1.htm" TargetMode="External"/><Relationship Id="rId74" Type="http://schemas.openxmlformats.org/officeDocument/2006/relationships/hyperlink" Target="https://www.sec.gov/Archives/edgar/data/1781162/000114036124002389/ef20018925_ex4-2.htm" TargetMode="External"/><Relationship Id="rId75" Type="http://schemas.openxmlformats.org/officeDocument/2006/relationships/hyperlink" Target="https://www.sec.gov/Archives/edgar/data/1781162/000114036124011869/ny20023473x2_ex4-2.htm" TargetMode="External"/><Relationship Id="rId76" Type="http://schemas.openxmlformats.org/officeDocument/2006/relationships/hyperlink" Target="https://www.sec.gov/Archives/edgar/data/1781162/000114036124002389/ef20018925_ex10-1.htm" TargetMode="External"/><Relationship Id="rId77" Type="http://schemas.openxmlformats.org/officeDocument/2006/relationships/hyperlink" Target="https://www.sec.gov/Archives/edgar/data/1781162/000114036124011869/ny20023473x2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2024-10-15T15:38:23Z</dcterms:created>
  <dcterms:modified xsi:type="dcterms:W3CDTF">2024-10-15T15:38:23Z</dcterms:modified>
</cp:coreProperties>
</file>