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2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r>
      <w:tr>
        <w:trPr>
          <w:trHeight w:val="21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organization)</w:t>
            </w:r>
          </w:p>
        </w:tc>
        <w:tc>
          <w:tcPr>
            <w:tcW w:w="30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0"/>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3901 N. First Street</w:t>
            </w:r>
          </w:p>
        </w:tc>
        <w:tc>
          <w:tcPr>
            <w:tcW w:w="3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20"/>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060" w:type="dxa"/>
            <w:vAlign w:val="bottom"/>
          </w:tcPr>
          <w:p>
            <w:pPr>
              <w:spacing w:after="0"/>
              <w:rPr>
                <w:sz w:val="19"/>
                <w:szCs w:val="19"/>
                <w:color w:val="auto"/>
              </w:rPr>
            </w:pPr>
          </w:p>
        </w:tc>
        <w:tc>
          <w:tcPr>
            <w:tcW w:w="32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234"/>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60" w:type="dxa"/>
            <w:vAlign w:val="bottom"/>
          </w:tcPr>
          <w:p>
            <w:pPr>
              <w:spacing w:after="0"/>
              <w:rPr>
                <w:sz w:val="20"/>
                <w:szCs w:val="20"/>
                <w:color w:val="auto"/>
              </w:rPr>
            </w:pPr>
          </w:p>
        </w:tc>
        <w:tc>
          <w:tcPr>
            <w:tcW w:w="32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2024, Momentus Inc. (“Momentus” or the “Company”) entered into a Loan Agreement (the “Loan Agreement”) with J.J. Astor &amp; Co. (the “Lender”) pursuant to which Momentus borrowed $2.0 million. The Loan Agreement has a maturity date of September 19, 2025, and is payable in 40 weekly installments of $67,500. The loan may be prepaid at any time on or before January 13, 2025 for $2.4 million and at any time thereafter through the Maturity Date for $2.7 million, subject in each case to reduction for the amount repaid in weekly installments. Amounts borrowed under the Loan Agreement are secured by a lien on substantially all of the assets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of the Loan Agreement are to be used for general working capital purposes. The Loan Agreement requires the Lender’s consent to take certain actions, such as incurring additional indebtedness other than permitted indebtedness (as defined in the Loan Agreement) or repaying indebtedness to affiliates, incurring liens other than permitted liens (as defined in the Loan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Agreement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 event of default, amounts owing under the Loan Agreement are convertible into shares of Momentus Class A Common Stock (the “Common Stock”) at a conversion price of $5.92 per share prior to May 5, 2025, and thereafter the conversion price will be reduced to 80% of the average of the four lowest volume weighted average closing prices of the Common Stock during the 20 trading days immediately prior to conversion. The conversion price and the number of shares of Common Stock issuable upon conversion of the Loan Agreement are also subject to appropriate adjustments in the event of certain stock dividends and distributions, stock splits, stock combinations, reclassifications or similar events affecting the Common Stock.</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Loan Agreement, Momentus agreed to (i) issue to the Lender warrants to purchase up to 28,572 shares of Common Stock with an exercise price of $5.92 per share (the “Lender Warrants”). The exercise price and the number of shares of Common Stock issuable upon exercise of the Lender Warrants is subject to appropriate adjustments in the event of certain stock dividends and distributions, stock splits, stock combinations, reclassifications or similar events affecting the Common Stock, and (ii) issue a second warrant that is only exercisable upon an event of default to purchase up to 285,715 shares of Common Stock at an exercise price per share equal to the closing price or bid price (as applicable) of the Common Stock as traded in the applicable trading market on the date of the event of default, subject to adjustment (the “Default Warrants”). The Company entered into a Registration Rights Agreement with the Lender that will require the Company to file a resale shelf registration statement registering the resale of the conversion shares and the shares of Common Stock issuable upon exercise of the Lender Warrants and the Default Warrants within 31 calendar days following the closing date.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None of the Loan Agreement, the Lender Warrants or the Default Warrants can be converted or exercised if it would cause the aggregate number of shares of Common Stock beneficially owned by Lender (together with its affiliates) to exceed 9.99% of the number of shares of Common Stock outstanding immediately after giving effect to the conversion or exercise, as applicable. By written notice, Lender may, with the agreement of the Company, from time to time increase or decrease this ownership limitation to any other percentage. Conversion of the Loan Agreement and exercise of the Lender Warrants and Default Warrants is also subject to compliance with applicable Nasdaq rules. The Company has agreed to call a special meeting of shareholders by no later than March 13, 2025 to obtain shareholder approval.</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above in Item 1.01 of this Current Report on Form 8-K related to the Loan Agreement, the Lender Warrants and the Default Warrants (collectively, the “Securities”) is hereby incorporated by reference into this Item 3.02. The Securities were sold without registration under the Securities Act of 1933, as amended (the “Securities Act”), in reliance on the exemptions provided by Section 4(a)(2) of the Securities Act as a transaction not involving a public offering and Rule 506(c) of Regulation D promulgated under the Securities Act as sales to accredited investors and in reliance on similar exemptions under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Form of Warrant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Loan Agreement, dated December 13, 2024, by and between Momentus Inc. and J.J. Astor &amp; Co.</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0"/>
                <w:szCs w:val="20"/>
                <w:color w:val="auto"/>
              </w:rPr>
            </w:pPr>
          </w:p>
        </w:tc>
        <w:tc>
          <w:tcPr>
            <w:tcW w:w="70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20" w:type="dxa"/>
            <w:vAlign w:val="bottom"/>
          </w:tcPr>
          <w:p>
            <w:pPr>
              <w:spacing w:after="0"/>
              <w:rPr>
                <w:sz w:val="20"/>
                <w:szCs w:val="20"/>
                <w:color w:val="auto"/>
              </w:rPr>
            </w:pPr>
          </w:p>
        </w:tc>
      </w:tr>
      <w:tr>
        <w:trPr>
          <w:trHeight w:val="61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Ney</w:t>
            </w:r>
          </w:p>
        </w:tc>
      </w:tr>
      <w:tr>
        <w:trPr>
          <w:trHeight w:val="198"/>
        </w:trPr>
        <w:tc>
          <w:tcPr>
            <w:tcW w:w="6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520" w:type="dxa"/>
            <w:vAlign w:val="bottom"/>
          </w:tcPr>
          <w:p>
            <w:pPr>
              <w:ind w:left="17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Ney</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16, 2024</w:t>
            </w: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966"/>
        </w:trPr>
        <w:tc>
          <w:tcPr>
            <w:tcW w:w="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w:t>
      </w:r>
    </w:p>
    <w:p>
      <w:pPr>
        <w:sectPr>
          <w:pgSz w:w="11900" w:h="16838" w:orient="portrait"/>
          <w:cols w:equalWidth="0" w:num="1">
            <w:col w:w="11240"/>
          </w:cols>
          <w:pgMar w:left="320" w:top="266"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28,572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December 13,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December 15, 2024</w:t>
      </w:r>
    </w:p>
    <w:p>
      <w:pPr>
        <w:spacing w:after="0" w:line="200" w:lineRule="exact"/>
        <w:rPr>
          <w:sz w:val="20"/>
          <w:szCs w:val="20"/>
          <w:color w:val="auto"/>
        </w:rPr>
      </w:pPr>
    </w:p>
    <w:p>
      <w:pPr>
        <w:sectPr>
          <w:pgSz w:w="11900" w:h="16838" w:orient="portrait"/>
          <w:cols w:equalWidth="0" w:num="2">
            <w:col w:w="4900" w:space="720"/>
            <w:col w:w="5620"/>
          </w:cols>
          <w:pgMar w:left="320" w:top="266" w:right="339" w:bottom="1440" w:gutter="0" w:footer="0" w:header="0"/>
          <w:type w:val="continuous"/>
        </w:sectPr>
      </w:pPr>
    </w:p>
    <w:p>
      <w:pPr>
        <w:spacing w:after="0" w:line="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J.J. Astor &amp; Co., a Utah corporation (“Astor”) or its assigns (together with Astor,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Initial Exercise Date, and on or prior to 5:00 p.m. (New York City time) on December 15,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28,572 shares of 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 The purchase price of one share of Common Stock under this Warrant shall be equal to the Exercise Price, as defined in Section 2(b).</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Loan Agreement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dated December 13, 2024 among the Company and J.J. Astor &amp; Co.</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San Jose, California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 w:name="page6"/>
    <w:bookmarkEnd w:id="5"/>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shall have the meaning as that term is defined in the Loan Agreement,</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Stock Transfer &amp; Trust Company, the current transfer agent of the Company, with a mailing address of 1 State Street, 30th Floor, New York, NY 10004, and any successor transfer agent of the Company.</w:t>
      </w:r>
    </w:p>
    <w:p>
      <w:pPr>
        <w:spacing w:after="0" w:line="162"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4" w:firstLine="644"/>
        <w:spacing w:after="0" w:line="257"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but no later than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6" w:lineRule="exact"/>
        <w:rPr>
          <w:rFonts w:ascii="Times New Roman" w:cs="Times New Roman" w:eastAsia="Times New Roman" w:hAnsi="Times New Roman"/>
          <w:sz w:val="18"/>
          <w:szCs w:val="18"/>
          <w:color w:val="auto"/>
        </w:rPr>
      </w:pPr>
    </w:p>
    <w:p>
      <w:pPr>
        <w:ind w:left="4" w:firstLine="644"/>
        <w:spacing w:after="0" w:line="28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$5.92</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 w:name="page7"/>
    <w:bookmarkEnd w:id="6"/>
    <w:p>
      <w:pPr>
        <w:jc w:val="both"/>
        <w:ind w:firstLine="644"/>
        <w:spacing w:after="0" w:line="261"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after ninety (90) after the Issue Date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140" w:hanging="496"/>
        <w:spacing w:after="0" w:line="253" w:lineRule="auto"/>
        <w:tabs>
          <w:tab w:leader="none" w:pos="9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140" w:hanging="496"/>
        <w:spacing w:after="0" w:line="282" w:lineRule="auto"/>
        <w:tabs>
          <w:tab w:leader="none" w:pos="9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are then listed or quoted on a Trading Market, the bid price of the Common Stock for the time in question (or the nearest preceding date) on the Trading Market on which the Common Stock are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an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3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are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ind w:left="1300" w:hanging="656"/>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5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after the delivery to the Company by the Holder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3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 w:name="page9"/>
    <w:bookmarkEnd w:id="8"/>
    <w:p>
      <w:pPr>
        <w:jc w:val="both"/>
        <w:ind w:left="840" w:firstLine="559"/>
        <w:spacing w:after="0" w:line="261" w:lineRule="auto"/>
        <w:tabs>
          <w:tab w:leader="none" w:pos="21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21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1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21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21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 w:name="page10"/>
    <w:bookmarkEnd w:id="9"/>
    <w:p>
      <w:pPr>
        <w:jc w:val="both"/>
        <w:ind w:left="180" w:firstLine="4"/>
        <w:spacing w:after="0" w:line="247"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 w:name="page11"/>
    <w:bookmarkEnd w:id="10"/>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4"/>
        <w:spacing w:after="0" w:line="220" w:lineRule="exact"/>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Common Stock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the Reverse Split contemplated by the Loan Agreement)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If the Company shall at any time or from time to time, while this Warrant is outstanding, issue any shares of Common Stock or Common Stock Equivalents, other than Excluded Securities, without consideration or for a consideration per share that is less than the Exercise Price then in effect (the “</w:t>
      </w:r>
      <w:r>
        <w:rPr>
          <w:rFonts w:ascii="Times New Roman" w:cs="Times New Roman" w:eastAsia="Times New Roman" w:hAnsi="Times New Roman"/>
          <w:sz w:val="18"/>
          <w:szCs w:val="18"/>
          <w:u w:val="single" w:color="auto"/>
          <w:color w:val="auto"/>
        </w:rPr>
        <w:t>Lower Priced Securities</w:t>
      </w:r>
      <w:r>
        <w:rPr>
          <w:rFonts w:ascii="Times New Roman" w:cs="Times New Roman" w:eastAsia="Times New Roman" w:hAnsi="Times New Roman"/>
          <w:sz w:val="18"/>
          <w:szCs w:val="18"/>
          <w:color w:val="auto"/>
        </w:rPr>
        <w:t>”) then in such event the Exercise Price of the Warrant shall be lowered to the same as the Lower Priced Securities.</w:t>
      </w:r>
    </w:p>
    <w:p>
      <w:pPr>
        <w:spacing w:after="0" w:line="17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1" w:name="page12"/>
    <w:bookmarkEnd w:id="11"/>
    <w:p>
      <w:pPr>
        <w:jc w:val="both"/>
        <w:ind w:left="-460" w:firstLine="644"/>
        <w:spacing w:after="0" w:line="250" w:lineRule="auto"/>
        <w:tabs>
          <w:tab w:leader="none" w:pos="8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ectPr>
          <w:pgSz w:w="11900" w:h="16838" w:orient="portrait"/>
          <w:cols w:equalWidth="0" w:num="1">
            <w:col w:w="10120"/>
          </w:cols>
          <w:pgMar w:left="1440" w:top="121" w:right="339" w:bottom="1105" w:gutter="0" w:footer="0" w:header="0"/>
        </w:sectPr>
      </w:pPr>
    </w:p>
    <w:p>
      <w:pPr>
        <w:spacing w:after="0" w:line="200" w:lineRule="exact"/>
        <w:rPr>
          <w:sz w:val="20"/>
          <w:szCs w:val="20"/>
          <w:color w:val="auto"/>
        </w:rPr>
      </w:pPr>
    </w:p>
    <w:p>
      <w:pPr>
        <w:spacing w:after="0" w:line="2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105" w:gutter="0" w:footer="0" w:header="0"/>
          <w:type w:val="continuous"/>
        </w:sectPr>
      </w:pPr>
    </w:p>
    <w:bookmarkStart w:id="12" w:name="page13"/>
    <w:bookmarkEnd w:id="12"/>
    <w:p>
      <w:pPr>
        <w:jc w:val="both"/>
        <w:ind w:left="-460" w:firstLine="644"/>
        <w:spacing w:after="0" w:line="266"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1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21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3" w:name="page14"/>
    <w:bookmarkEnd w:id="13"/>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44"/>
        <w:spacing w:after="0" w:line="253"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the Loan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35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4" w:name="page15"/>
    <w:bookmarkEnd w:id="14"/>
    <w:p>
      <w:pPr>
        <w:jc w:val="both"/>
        <w:ind w:firstLine="644"/>
        <w:spacing w:after="0" w:line="258"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the Loan Agreement and Registration Rights Agreement.</w:t>
      </w:r>
    </w:p>
    <w:p>
      <w:pPr>
        <w:spacing w:after="0" w:line="183" w:lineRule="exact"/>
        <w:rPr>
          <w:rFonts w:ascii="Times New Roman" w:cs="Times New Roman" w:eastAsia="Times New Roman" w:hAnsi="Times New Roman"/>
          <w:sz w:val="18"/>
          <w:szCs w:val="18"/>
          <w:color w:val="auto"/>
        </w:rPr>
      </w:pPr>
    </w:p>
    <w:p>
      <w:pPr>
        <w:ind w:right="280" w:firstLine="644"/>
        <w:spacing w:after="0" w:line="261"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4"/>
        <w:spacing w:after="0" w:line="258"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644"/>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5" w:name="page16"/>
    <w:bookmarkEnd w:id="15"/>
    <w:p>
      <w:pPr>
        <w:ind w:left="840" w:hanging="656"/>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8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Loan Agreement.</w:t>
      </w:r>
    </w:p>
    <w:p>
      <w:pPr>
        <w:spacing w:after="0" w:line="3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6" w:name="page17"/>
    <w:bookmarkEnd w:id="16"/>
    <w:p>
      <w:pPr>
        <w:ind w:left="-460" w:right="20" w:firstLine="644"/>
        <w:spacing w:after="0" w:line="282"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56"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Loan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Loan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ind w:left="-460" w:right="40" w:firstLine="644"/>
        <w:spacing w:after="0" w:line="261"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89" w:lineRule="auto"/>
        <w:tabs>
          <w:tab w:leader="none" w:pos="8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7" w:lineRule="exact"/>
        <w:rPr>
          <w:rFonts w:ascii="Times New Roman" w:cs="Times New Roman" w:eastAsia="Times New Roman" w:hAnsi="Times New Roman"/>
          <w:sz w:val="17"/>
          <w:szCs w:val="17"/>
          <w:color w:val="auto"/>
        </w:rPr>
      </w:pPr>
    </w:p>
    <w:p>
      <w:pPr>
        <w:ind w:left="-460" w:right="580" w:firstLine="644"/>
        <w:spacing w:after="0" w:line="282"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460" w:right="220" w:firstLine="644"/>
        <w:spacing w:after="0" w:line="256"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Notwithstanding anything to the contrary contained in this Warrant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w:t>
      </w:r>
    </w:p>
    <w:p>
      <w:pPr>
        <w:spacing w:after="0" w:line="18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7" w:name="page18"/>
    <w:bookmarkEnd w:id="1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John Rood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Rood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firstLine="1304"/>
        <w:spacing w:after="0" w:line="282" w:lineRule="auto"/>
        <w:tabs>
          <w:tab w:leader="none" w:pos="19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960" w:right="5340" w:hanging="656"/>
        <w:spacing w:after="0" w:line="500"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 [ ] in lawful money of the United States; or</w:t>
      </w:r>
    </w:p>
    <w:p>
      <w:pPr>
        <w:spacing w:after="0" w:line="1" w:lineRule="exact"/>
        <w:rPr>
          <w:rFonts w:ascii="Times New Roman" w:cs="Times New Roman" w:eastAsia="Times New Roman" w:hAnsi="Times New Roman"/>
          <w:sz w:val="18"/>
          <w:szCs w:val="18"/>
          <w:color w:val="auto"/>
        </w:rPr>
      </w:pPr>
    </w:p>
    <w:p>
      <w:pPr>
        <w:jc w:val="both"/>
        <w:ind w:left="1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hanging="656"/>
        <w:spacing w:after="0"/>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of 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34290</wp:posOffset>
            </wp:positionV>
            <wp:extent cx="5786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35560</wp:posOffset>
            </wp:positionV>
            <wp:extent cx="45516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34290</wp:posOffset>
            </wp:positionV>
            <wp:extent cx="5374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34290</wp:posOffset>
            </wp:positionV>
            <wp:extent cx="5374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34290</wp:posOffset>
            </wp:positionV>
            <wp:extent cx="6814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186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34290</wp:posOffset>
            </wp:positionV>
            <wp:extent cx="3068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34290</wp:posOffset>
            </wp:positionV>
            <wp:extent cx="248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34290</wp:posOffset>
            </wp:positionV>
            <wp:extent cx="248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dated as of December 13, 2024, and is made and entered into between </w:t>
      </w:r>
      <w:r>
        <w:rPr>
          <w:rFonts w:ascii="Times New Roman" w:cs="Times New Roman" w:eastAsia="Times New Roman" w:hAnsi="Times New Roman"/>
          <w:sz w:val="18"/>
          <w:szCs w:val="18"/>
          <w:b w:val="1"/>
          <w:bCs w:val="1"/>
          <w:color w:val="auto"/>
        </w:rPr>
        <w:t>Momentus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J.J. Astor &amp; Co.</w:t>
      </w:r>
      <w:r>
        <w:rPr>
          <w:rFonts w:ascii="Times New Roman" w:cs="Times New Roman" w:eastAsia="Times New Roman" w:hAnsi="Times New Roman"/>
          <w:sz w:val="18"/>
          <w:szCs w:val="18"/>
          <w:color w:val="auto"/>
        </w:rPr>
        <w:t>, a Utah corporation (including its successors and assigns,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wishes to borrow the sum of $2,000,000, and the Company wishes to enter into this Agreement and the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and issue to the Lender, the promissory note in the form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its Subsidiary have agreed to further perfect and secure the Lender’s junior priority Lien on all of the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of the Company and its Subsidiary pursuant to the Security Agreement and Subsidiary Guarantees to be entered into on the Closing Date;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Loan and as an inducement to the Lender entering into this Agreement and the other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Company has agreed to issue the Warrant to the Lender on the Closing Date; and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Lender are executing and delivering this Agreement in reliance upon an exemption from securities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afforded by the provisions of Section 4(a)(2) and/or Rule 506(b) of Regulation D promulgated thereunder by the U.S. Securities and Exchange Commission.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in this Agreement,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adequacy of which are hereby acknowledged, the Company and the Lender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(a) capitalized terms that are not otherwise defined herein have the meanings given to such terms in the Note (as defined herein), and (b) the following terms have the meanings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3.01(k).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AGP</w:t>
      </w:r>
      <w:r>
        <w:rPr>
          <w:rFonts w:ascii="Times New Roman" w:cs="Times New Roman" w:eastAsia="Times New Roman" w:hAnsi="Times New Roman"/>
          <w:sz w:val="18"/>
          <w:szCs w:val="18"/>
          <w:color w:val="auto"/>
        </w:rPr>
        <w:t>” means A.G.P./Alliance Global Partners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AGP Agreement</w:t>
      </w:r>
      <w:r>
        <w:rPr>
          <w:rFonts w:ascii="Times New Roman" w:cs="Times New Roman" w:eastAsia="Times New Roman" w:hAnsi="Times New Roman"/>
          <w:sz w:val="18"/>
          <w:szCs w:val="18"/>
          <w:color w:val="auto"/>
        </w:rPr>
        <w:t xml:space="preserve">” means, after any financing of Common Stock or Common Stock Equivalents that is underwritten or otherwise arranged by AGP, an agreement in the form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hereto among the Company, AGP and Lender that provides that the Lender will be added as a payee to any flow of funds or related agreement listing the application of net proceeds and be paid directly out of the net proceeds of such financing in accordance with Section 4.01(a).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Subsidiary of the Company, as the context may require or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any day which is a federal legal holiday in the United States or any day on which banking institutions in the State of Utah are authorized or required by law or other governmental action to close.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transactions contemplated by this Agreement pursuant to Section 2.01.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Business Day when all of the Transaction Documents have been executed and delivered by the applicable parties thereto, and conditions precedent to: (i) the Lender’s obligations to pay professional fees and Closing costs and provide working capital to the Company, and (ii) the Company’s obligations to deliver the Note and the other Transaction Documents have been satisfied or waived.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$0.00001 per share, of the Company and any other class of securities into which such securities may hereafter be reclassified or changed; it being understood that the Company will consummate a one-for-fourteen reverse split of the outstanding shares of Common Stock on December 12, 2024 (the “</w:t>
      </w:r>
      <w:r>
        <w:rPr>
          <w:rFonts w:ascii="Times New Roman" w:cs="Times New Roman" w:eastAsia="Times New Roman" w:hAnsi="Times New Roman"/>
          <w:sz w:val="18"/>
          <w:szCs w:val="18"/>
          <w:u w:val="single" w:color="auto"/>
          <w:color w:val="auto"/>
        </w:rPr>
        <w:t>Reverse Split</w:t>
      </w:r>
      <w:r>
        <w:rPr>
          <w:rFonts w:ascii="Times New Roman" w:cs="Times New Roman" w:eastAsia="Times New Roman" w:hAnsi="Times New Roman"/>
          <w:sz w:val="18"/>
          <w:szCs w:val="18"/>
          <w:color w:val="auto"/>
        </w:rPr>
        <w:t>”). As a result of the Reverse Split, there will be approximately 2,182,814 shares of Common Stock outstanding, subject to. adjustment due to the effect of rounding fractional shares into whole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w:t>
      </w:r>
      <w:r>
        <w:rPr>
          <w:rFonts w:ascii="Times New Roman" w:cs="Times New Roman" w:eastAsia="Times New Roman" w:hAnsi="Times New Roman"/>
          <w:sz w:val="18"/>
          <w:szCs w:val="18"/>
          <w:color w:val="auto"/>
        </w:rPr>
        <w:t>” means any convertible note, convertible preferred stock, warrant, option or other right to receive or subscribe for or purchase any additional shares of Common Stock or any Common Stock Equivalent.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submitted by the Company to the Lender as exceptions to or disclosures in respect of the representations and warranties of the Company set forth in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if any Event of Default shall occur and be continuing prior to May 5, 2025, the closing price of the Common Stock, as traded on Nasdaq as of the Closing Date; provided, that if an Event of Default under the Note shall occur and shall be continuing on or after May 5, 2025, the conversion price shall be reduced to 80% of the average of the four lowest volume weighted average closing prices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of Company Common Stock, as traded on the applicable Trading Market during the twenty (20) trading days immediately prior to each permitted conversion of the Note (the “</w:t>
      </w:r>
      <w:r>
        <w:rPr>
          <w:rFonts w:ascii="Times New Roman" w:cs="Times New Roman" w:eastAsia="Times New Roman" w:hAnsi="Times New Roman"/>
          <w:sz w:val="18"/>
          <w:szCs w:val="18"/>
          <w:u w:val="single" w:color="auto"/>
          <w:color w:val="auto"/>
        </w:rPr>
        <w:t>Conversion Price Formula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provided, however</w:t>
      </w:r>
      <w:r>
        <w:rPr>
          <w:rFonts w:ascii="Times New Roman" w:cs="Times New Roman" w:eastAsia="Times New Roman" w:hAnsi="Times New Roman"/>
          <w:sz w:val="18"/>
          <w:szCs w:val="18"/>
          <w:color w:val="auto"/>
        </w:rPr>
        <w:t>, that</w:t>
      </w:r>
    </w:p>
    <w:p>
      <w:pPr>
        <w:spacing w:after="0" w:line="183"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and the Conversion Price Formula shall be subject to Nasdaq Rule 5635(d),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issues any securities, including convertible notes or debentures, Common Stock or Common Stock Equivalents at a conversion price, exercise price or per share price that is less than such Conversion Price Formula, the Conversion Price shall be reduced to the lowest conversion price, exercise price or per share price issued by the Company and the Maximum Conversion Shares shall subject to appropriate increase as a result thereof,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 a result of the application of Nasdaq Rule 5635(d), the Conversion Price then in effect shall be greater than the closing price of the Common Stock at the time of conversion of the Note, the Company shall issue to the Lender additional Conversion Shares so that the total number of Conversion Shares shall be based on the Conversion Price Formula (the “</w:t>
      </w:r>
      <w:r>
        <w:rPr>
          <w:rFonts w:ascii="Times New Roman" w:cs="Times New Roman" w:eastAsia="Times New Roman" w:hAnsi="Times New Roman"/>
          <w:sz w:val="18"/>
          <w:szCs w:val="18"/>
          <w:u w:val="single" w:color="auto"/>
          <w:color w:val="auto"/>
        </w:rPr>
        <w:t>Make Whole Shares</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shall mean the shares of Common Stock of the Company issuable upon any full or partial permitted conversion of the Note.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Warrant</w:t>
      </w:r>
      <w:r>
        <w:rPr>
          <w:rFonts w:ascii="Times New Roman" w:cs="Times New Roman" w:eastAsia="Times New Roman" w:hAnsi="Times New Roman"/>
          <w:sz w:val="18"/>
          <w:szCs w:val="18"/>
          <w:color w:val="auto"/>
        </w:rPr>
        <w:t xml:space="preserve">” means, if an Event of Default under the Note occurs and is continuing, in addition to the Warrant, a five year warrant issuable to the Lender entitling the holder to purchase up to 285,715 Warrant Shares, which shall be at an exercise price equal to the closing price of the Common Stock as traded on Nasdaq or other Trading Market, as of the date the Event of Default occurs, (a) contain cashless exercise provisions, and (b) full-rachet anti-dilution provisions, and (c) be in the form of Default Warrant annexed as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(i) the issuance by the Company of the Note, Conversion Shares and the Warrant Shares, (ii) the issuance by the Company of Common Stock upon the exercise, exchange or conversion of any security outstanding on the date hereof as disclosed in the SEC Reports or the Company Disclosure Schedule, (iii) the issuance of Common Stock or Common Stock Equivalents to A.G.P./Alliance Global Partners, LLC (“</w:t>
      </w:r>
      <w:r>
        <w:rPr>
          <w:rFonts w:ascii="Times New Roman" w:cs="Times New Roman" w:eastAsia="Times New Roman" w:hAnsi="Times New Roman"/>
          <w:sz w:val="18"/>
          <w:szCs w:val="18"/>
          <w:u w:val="single" w:color="auto"/>
          <w:color w:val="auto"/>
        </w:rPr>
        <w:t>AGP</w:t>
      </w:r>
      <w:r>
        <w:rPr>
          <w:rFonts w:ascii="Times New Roman" w:cs="Times New Roman" w:eastAsia="Times New Roman" w:hAnsi="Times New Roman"/>
          <w:sz w:val="18"/>
          <w:szCs w:val="18"/>
          <w:color w:val="auto"/>
        </w:rPr>
        <w:t>”) or its Affiliate; (iv) the issuance by the Company of any Common Stock or standard options to purchase Common Stock to directors, officers, employees or consultants of the Company or its Subsidiary in their capacity as such pursuant to an employee benefit plan which has been approved by the Board of Directors of the Company prior to the date hereof pursuant to which Common Stock and standard options to purchase Common Stock may be issued to any employee, officer, director or consultant for services provided to the Company or its subsidiaries in their capacity as such, (v) securities issued in connection with any joint venture, commercial or collaborative relationship, or the acquisition or license by the Company of the securities, businesses, property or other assets of another person, provided that such issuance is approved by the majority of the disinterested directors of the Company; provided, further, that if an Event of Default under the Note shall occur and then be continuing, such acquisitions or transactions shall be subject to the prior written approval of the Lender, (vi) securities issued pursuant to acquisitions or strategic transactions p by a majority of the disinterested directors of the Company; provided, further, that if an Event of Default under the Note shall occur and then be continuing, such acquisitions or transactions shall be subject to the prior written approval of the Lender, and (v) issuances of shares of Common Stock upon the exercise or exchange of rights issued pursuant to any shareholder rights agreement entered into between the Company and the Company’s transfer agent.. For the avoidance of doubt, the term “Exempt Issuance” does not mean or include the issuance of any other Indebtedness or debt securities (other than the Note and related Conversion Shares and Permitted Indebtedness) or any other Common Stock or Common Stock Equivalents by the Company or the Subsidiary, unless otherwise approved and consented to in writing in advance by the Lender.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Amount</w:t>
      </w:r>
      <w:r>
        <w:rPr>
          <w:rFonts w:ascii="Times New Roman" w:cs="Times New Roman" w:eastAsia="Times New Roman" w:hAnsi="Times New Roman"/>
          <w:sz w:val="18"/>
          <w:szCs w:val="18"/>
          <w:color w:val="auto"/>
        </w:rPr>
        <w:t>” means, with respect to the Note, ninety-six percent (96%) of the Offering Amount. The Funding Amount takes into account the $80,000 Origination Fee due from the Company to the Lender, representing four percent (4%) of the Offering Amount, which shall be retained by the Lender at Closing for its own account.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and similar statements refer to the actual knowledge of any executive officer of the Company after due inquiry of those persons employed by the Company or any Subsidiary charged with administrative or operational responsibility for such matter.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has the meaning as that term is defined in the Note constituting Exhibit 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3.01(o).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mean a lien, charge, security interest, mortgage, encumbrance, right of first refusal, preemptive right or other restriction or adverse claim of a third party against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shall have the meaning ascribed to such term in Section 2.01(a).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shall have the meaning ascribed to such term in Section 3.01.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3.01(a).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Conversion Shares</w:t>
      </w:r>
      <w:r>
        <w:rPr>
          <w:rFonts w:ascii="Times New Roman" w:cs="Times New Roman" w:eastAsia="Times New Roman" w:hAnsi="Times New Roman"/>
          <w:sz w:val="18"/>
          <w:szCs w:val="18"/>
          <w:color w:val="auto"/>
        </w:rPr>
        <w:t>” means, upon the occurrence of any Event of Default (as defined in the Note) which shall not be timely cured by the Loan Parties the $2,700,000 Original Principal Amount of the Note shall automatically increase by 120% to ($3,240,000), and upon the request of the Lender, all or any portion of such increased Original Principal Amount of the Note may be converted by the Lender into that number of shares of Company Common Stock as shall be determined by (a) dividing 200% of the then increased Original Principal Amount of the Note ($6,480,000) by (b) the Conversion Price then in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the aggregate cash proceeds received by the Company or any Subsidiary in connection with the applicable transaction, net of the direct costs relating to transaction, including, without limitation, legal, accounting, consulting, printing and investment banking fees, sales commissions and underwriters’ discounts, and taxes paid or payable as a result of the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the junior secured $2,700,000 Original Principal Amount note issued by the Company to the Lender hereunder, which shall be payable in forty weekly installments of $67,500 and shall contain the other terms and conditions set forth the form of Note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Amount</w:t>
      </w:r>
      <w:r>
        <w:rPr>
          <w:rFonts w:ascii="Times New Roman" w:cs="Times New Roman" w:eastAsia="Times New Roman" w:hAnsi="Times New Roman"/>
          <w:sz w:val="18"/>
          <w:szCs w:val="18"/>
          <w:color w:val="auto"/>
        </w:rPr>
        <w:t>” means the Two Million Dollars ($2,000,000) of funding to be evidenced by the Original Principal Amount of the Note.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Principal Amount</w:t>
      </w:r>
      <w:r>
        <w:rPr>
          <w:rFonts w:ascii="Times New Roman" w:cs="Times New Roman" w:eastAsia="Times New Roman" w:hAnsi="Times New Roman"/>
          <w:sz w:val="18"/>
          <w:szCs w:val="18"/>
          <w:color w:val="auto"/>
        </w:rPr>
        <w:t>” means, with respect to the Note, Two Million Seven Hundred Thousand Dollars ($2,700,000); provided, that if the Prepayment Discount (as defined in the Note) applies, the Original Principal Amount of the Note shall be reduced to Two Million Four Hundred Thousand Dollars ($2,400,000).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Origination Fee</w:t>
      </w:r>
      <w:r>
        <w:rPr>
          <w:rFonts w:ascii="Times New Roman" w:cs="Times New Roman" w:eastAsia="Times New Roman" w:hAnsi="Times New Roman"/>
          <w:sz w:val="18"/>
          <w:szCs w:val="18"/>
          <w:color w:val="auto"/>
        </w:rPr>
        <w:t>” shall mean the sum of $80,000 which shall be deducted from the Offering Amount of the Loan at Closing and retained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 (a) the Company’s Indebtedness to the Lender; (b) Indebtedness existing on the Effective Date and disclosed in the SEC Reports; (c) unsecured Indebtedness to vendors, suppliers, service providers or other trade creditors incurred in the ordinary course of business; (d) Indebtedness junior in priority to the Company’s Indebtedness to the Lender under this Agreement and the other Transaction Documents; and (e) extensions, refinancings, modifications, amendments and restatements of any items of Permitted Indebtedness (a) through (d) above, provided that the principal amount thereof is not increased or the payment terms thereof are not modified to impose more burdensome terms upon the Company or any Subsidiary, as the case may be;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joint-venture, limited liability company, joint-stock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shall mean the registration rights agreement in the form of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hereto, under which the Company shall register for resale under the Securities Act the Maximum Conversion Shares (if issued) and the Warrant Shares .</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3.01(d).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has the meaning ascribed to such term in Section 3.01(h).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the Security Agreement, dated as of the date hereof,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Debt</w:t>
      </w:r>
      <w:r>
        <w:rPr>
          <w:rFonts w:ascii="Times New Roman" w:cs="Times New Roman" w:eastAsia="Times New Roman" w:hAnsi="Times New Roman"/>
          <w:sz w:val="18"/>
          <w:szCs w:val="18"/>
          <w:color w:val="auto"/>
        </w:rPr>
        <w:t>” means the $5,300,000 in aggregate principal amount of senior secured convertible notes issued by the Company to Space Infrastructure Ventures (the “</w:t>
      </w:r>
      <w:r>
        <w:rPr>
          <w:rFonts w:ascii="Times New Roman" w:cs="Times New Roman" w:eastAsia="Times New Roman" w:hAnsi="Times New Roman"/>
          <w:sz w:val="18"/>
          <w:szCs w:val="18"/>
          <w:u w:val="single" w:color="auto"/>
          <w:color w:val="auto"/>
        </w:rPr>
        <w:t>Senior Lender</w:t>
      </w:r>
      <w:r>
        <w:rPr>
          <w:rFonts w:ascii="Times New Roman" w:cs="Times New Roman" w:eastAsia="Times New Roman" w:hAnsi="Times New Roman"/>
          <w:sz w:val="18"/>
          <w:szCs w:val="18"/>
          <w:color w:val="auto"/>
        </w:rPr>
        <w:t>”) of which an aggregate of $4,775,125 is currently issued and outstanding, including accrued interest.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Securities Laws</w:t>
      </w:r>
      <w:r>
        <w:rPr>
          <w:rFonts w:ascii="Times New Roman" w:cs="Times New Roman" w:eastAsia="Times New Roman" w:hAnsi="Times New Roman"/>
          <w:sz w:val="18"/>
          <w:szCs w:val="18"/>
          <w:color w:val="auto"/>
        </w:rPr>
        <w:t>” means the securities (or “blue sky”) rules, regulations, or other similar laws of a particular state.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Momentus Space, LLC, a Delaware limited liability company, being the only subsidiary of the Company as set forth on Section 3.01(a) and listed in the Company Disclosure Schedule and shall, where applicable, include any other direct or indirect subsidiary of the Company formed or acquired after the date 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Guarantee</w:t>
      </w:r>
      <w:r>
        <w:rPr>
          <w:rFonts w:ascii="Times New Roman" w:cs="Times New Roman" w:eastAsia="Times New Roman" w:hAnsi="Times New Roman"/>
          <w:sz w:val="18"/>
          <w:szCs w:val="18"/>
          <w:color w:val="auto"/>
        </w:rPr>
        <w:t xml:space="preserve">” the Subsidiary Guarantee executed by the Subsidiary of the Company in the form of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attached hereto.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as applicable, the Nasdaq Capital Market, the Nasdaq Global Market, the Nasdaq Global Select Market, the New York Stock Exchange, the NYSE American, the OTC Markets (including OTCQX Market, OTCQB Market and Pink Market), any nationally recognized successor to any of the foregoing, or any other United States or foreign securities exchange where the Company’s Common Stock trades on the date in question.</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the collective reference to (a) this Agreement, (b) the Note, (c) the Subsidiary Guarantee, (d) the Security Agreement, (e) the Warrant, (f) the Registration Rights Agreement, (g) the Default Warrant, (h) the Transfer Agent Instructions, (i) the AGP Agreement and</w:t>
      </w:r>
    </w:p>
    <w:p>
      <w:pPr>
        <w:spacing w:after="0" w:line="1" w:lineRule="exact"/>
        <w:rPr>
          <w:sz w:val="20"/>
          <w:szCs w:val="20"/>
          <w:color w:val="auto"/>
        </w:rPr>
      </w:pPr>
    </w:p>
    <w:p>
      <w:pPr>
        <w:ind w:firstLine="8"/>
        <w:spacing w:after="0" w:line="260"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Flow Agreement. All other appendices, exhibits and schedules hereto and thereto and any other documents or agreements executed in connection with the transactions contemplated hereunder.</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xml:space="preserve">” means An Irrevocable Instruction letter addressed to Continental Stock Transfer Company, the Company’s transfer agent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attached hereto, with respect to the Warrant Shares under the Warrant, the Conversion Shares issuable upon any full or partial conversion of the Note and the Warrant Shares issuable under the Default Warrant, executed by an authorized officer of the Company and acknowledged and accepted by the transfer agent of the Company’s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means the five year warrant issuable to the Lender on the Closing Date, entitling the holder to purchase up to 28,572 Warrant Shares at an exercise price equal to the closing price of the Common Stock as traded on Nasdaq or other Trading Market, as of the date of issuance, which shall (a) contain cashless exercise provisions, and (b) full-rachet anti-dilution provisions, and (c) be in the form of Warrant annexed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shall mean, as applicable, the shares of Common Stock that are issuable under the Warrant and, if required, under the Default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5160"/>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THE LOAN</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upon the terms and subject to the conditions set forth herein and in the other Transaction Documents to be executed and delivered by the parties hereto and thereto, the Lender hereby agrees to make a loan of $2,000,000, less that Origination Fee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the Company hereby agrees to issue to the Lender the Note in Two Million Seven Hundred Thousand Dollars ($2,700,000) Original Principal Amount (subject to reduction upon application of the Prepayment Discount, as defined in the Note) and the Warrant, and the Lender hereby agrees to accept from the Company the Note and the Warrant.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Lender shall deliver to the Company, via wire transfer, of immediately available funds, an amount equal to approximately $1,920,000, representing the Funding Amount.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shall deliver to the Lender such Note and other Transaction Documents to be delivered as of the Closing Date and the Lender shall deliver the other items set forth in Section 2.02 deliverable at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the conditions set forth in Sections 2.02 and 2.03, the Closing shall occur at the offices of the Lender’s counsel, or such other location as the parties shall mutually agree or may be closed remotely by electronic delivery of documents.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Closing Deliverables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Lender</w:t>
      </w:r>
      <w:r>
        <w:rPr>
          <w:rFonts w:ascii="Times New Roman" w:cs="Times New Roman" w:eastAsia="Times New Roman" w:hAnsi="Times New Roman"/>
          <w:sz w:val="18"/>
          <w:szCs w:val="18"/>
          <w:color w:val="auto"/>
        </w:rPr>
        <w:t>. On or prior to the Closing Date, the Lender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Lender;</w:t>
      </w:r>
    </w:p>
    <w:p>
      <w:pPr>
        <w:spacing w:after="0" w:line="22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Agreement, the form of which is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duly executed by the Lender;</w:t>
      </w:r>
    </w:p>
    <w:p>
      <w:pPr>
        <w:spacing w:after="0" w:line="22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$1,920,000 Funding Amount, less other expenses aggregating $210,000 set forth in the Flow of Funds Agreement, by wire transfer to the Company pursuant to the wiring instructions to be provided by the Company;</w:t>
      </w:r>
    </w:p>
    <w:p>
      <w:pPr>
        <w:spacing w:after="0" w:line="15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Rights Agreement duly executed by the Lender and in the form of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Flow of Funds Agreement duly executed by the Lender and in the form of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Agent Instructions duly executed by the Lender and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attached hereto;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AGP Agreement duly executed by the Lender and in the form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attached 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1300" w:hanging="656"/>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On or prior to the Closing Date, the Company shall deliver or cause to be delivered to the Lender:</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an authorized officer of behalf of the Company;</w:t>
      </w:r>
    </w:p>
    <w:p>
      <w:pPr>
        <w:spacing w:after="0" w:line="221" w:lineRule="exact"/>
        <w:rPr>
          <w:rFonts w:ascii="Times New Roman" w:cs="Times New Roman" w:eastAsia="Times New Roman" w:hAnsi="Times New Roman"/>
          <w:sz w:val="18"/>
          <w:szCs w:val="18"/>
          <w:color w:val="auto"/>
        </w:rPr>
      </w:pPr>
    </w:p>
    <w:p>
      <w:pPr>
        <w:jc w:val="both"/>
        <w:ind w:left="1940" w:hanging="648"/>
        <w:spacing w:after="0" w:line="268" w:lineRule="auto"/>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Note, the form of which is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registered in the name of the Lender, in the $2,700,000 Original Principal Amount calculated in accordance herewith, duly executed by an authorized officer on behalf of the Company;</w:t>
      </w:r>
    </w:p>
    <w:p>
      <w:pPr>
        <w:spacing w:after="0" w:line="170" w:lineRule="exact"/>
        <w:rPr>
          <w:rFonts w:ascii="Times New Roman" w:cs="Times New Roman" w:eastAsia="Times New Roman" w:hAnsi="Times New Roman"/>
          <w:sz w:val="18"/>
          <w:szCs w:val="18"/>
          <w:color w:val="auto"/>
        </w:rPr>
      </w:pPr>
    </w:p>
    <w:p>
      <w:pPr>
        <w:ind w:left="1940" w:hanging="648"/>
        <w:spacing w:after="0" w:line="286" w:lineRule="auto"/>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Subsidiary Guarantee, the form of which is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executed by an authorized officer on behalf of the Subsidiary of the Company;</w:t>
      </w:r>
    </w:p>
    <w:p>
      <w:pPr>
        <w:spacing w:after="0" w:line="154" w:lineRule="exact"/>
        <w:rPr>
          <w:rFonts w:ascii="Times New Roman" w:cs="Times New Roman" w:eastAsia="Times New Roman" w:hAnsi="Times New Roman"/>
          <w:sz w:val="18"/>
          <w:szCs w:val="18"/>
          <w:color w:val="auto"/>
        </w:rPr>
      </w:pPr>
    </w:p>
    <w:p>
      <w:pPr>
        <w:ind w:left="1940" w:hanging="648"/>
        <w:spacing w:after="0" w:line="286" w:lineRule="auto"/>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Agreement, the form of which is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executed by an authorized officer on behalf of the Company and the Subsidiary;</w:t>
      </w:r>
    </w:p>
    <w:p>
      <w:pPr>
        <w:spacing w:after="0" w:line="154"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in the form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executed by an authorized officer of the Company;</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Rights Agreement duly executed by the Company and in the form of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Default Warrant in the form of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executed by an authorized officer of the Company;</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Flow of Funds Agreement duly executed by the Company and in the form of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AGP Agreement duly executed by the Company and AGP and in the form of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1940" w:right="20" w:hanging="648"/>
        <w:spacing w:after="0" w:line="286" w:lineRule="auto"/>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Agent Instructions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attached hereto, duly executed by the Company and the Company’s transfer agent; and</w:t>
      </w:r>
    </w:p>
    <w:p>
      <w:pPr>
        <w:spacing w:after="0" w:line="158"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Company and the Subsidiary certifying its: (A) charter (or similar formation document);</w:t>
      </w:r>
    </w:p>
    <w:p>
      <w:pPr>
        <w:spacing w:after="0" w:line="27" w:lineRule="exact"/>
        <w:rPr>
          <w:rFonts w:ascii="Times New Roman" w:cs="Times New Roman" w:eastAsia="Times New Roman" w:hAnsi="Times New Roman"/>
          <w:sz w:val="18"/>
          <w:szCs w:val="18"/>
          <w:color w:val="auto"/>
        </w:rPr>
      </w:pPr>
    </w:p>
    <w:p>
      <w:pPr>
        <w:jc w:val="both"/>
        <w:ind w:left="19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good standing certificate in its state of incorporation (or formation); (C) bylaws (or similar governing document); and (D) resolutions of its Board of Directors (or similar governing body) approving and authorizing the execution, delivery and performance of the Transaction Documents to which it is (or is to be) a party.</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56"/>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ind w:left="1940" w:right="20" w:hanging="648"/>
        <w:spacing w:after="0" w:line="282" w:lineRule="auto"/>
        <w:tabs>
          <w:tab w:leader="none" w:pos="1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on the Closing Date of the Lender’s representations and warranties contained herein;</w:t>
      </w:r>
    </w:p>
    <w:p>
      <w:pPr>
        <w:spacing w:after="0" w:line="161" w:lineRule="exact"/>
        <w:rPr>
          <w:rFonts w:ascii="Times New Roman" w:cs="Times New Roman" w:eastAsia="Times New Roman" w:hAnsi="Times New Roman"/>
          <w:sz w:val="18"/>
          <w:szCs w:val="18"/>
          <w:color w:val="auto"/>
        </w:rPr>
      </w:pPr>
    </w:p>
    <w:p>
      <w:pPr>
        <w:ind w:left="1940" w:hanging="648"/>
        <w:spacing w:after="0" w:line="282" w:lineRule="auto"/>
        <w:tabs>
          <w:tab w:leader="none" w:pos="1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Lender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Lender of the items set forth in Section 2.02(a) of this Agreement.</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7" w:name="page28"/>
    <w:bookmarkEnd w:id="27"/>
    <w:p>
      <w:pPr>
        <w:ind w:firstLine="1304"/>
        <w:spacing w:after="0" w:line="282" w:lineRule="auto"/>
        <w:tabs>
          <w:tab w:leader="none" w:pos="19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 hereunder in connection with the Closing are subject to the following conditions being met (it being understood that the Company may waive any of the conditions for any Closing hereafter):</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and its Subsidiary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and its Subsidiary of the items set forth in Section 2.02(b) of this Agreement;</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or the Subsidiary of the Company since the date hereof;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the Lender with the wiring instruction for the $1,710,000 net amount set forth in the Flow of Funds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Lender on behalf of the Company and its Subsidiary (together with the Company,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that, except as set forth in the applicable Section of the Company Disclosure Schedule the Company Disclosure Schedule, the following representations are true and complete as of the date of the date hereof.</w:t>
      </w:r>
    </w:p>
    <w:p>
      <w:pPr>
        <w:spacing w:after="0" w:line="176" w:lineRule="exact"/>
        <w:rPr>
          <w:sz w:val="20"/>
          <w:szCs w:val="20"/>
          <w:color w:val="auto"/>
        </w:rPr>
      </w:pPr>
    </w:p>
    <w:p>
      <w:pPr>
        <w:jc w:val="both"/>
        <w:ind w:firstLine="1407"/>
        <w:spacing w:after="0" w:line="252" w:lineRule="auto"/>
        <w:tabs>
          <w:tab w:leader="none" w:pos="1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the Subsidiary are each duly incorporated or otherwise organized, validly existing and in good standing under the laws of Delaware, with the requisite power and authority to own and use its properties and assets and to carry on its business as currently conducted. Neither the Company nor the Subsidiary is in violation or default of any of the provisions of its certificates of incorporation or bylaws, each, as amended and in effect. A complete and correct copy of the Company’s certificate of incorporation and bylaws, with respect to the Company, or certificate of formation and LLC agreement, with respect to the Subsidiary, each as amended and in effect on the date of this Agreement and as they will be in effect on the Closing Date, is attached to the officer’s certificate referenced in Section 2.02(b)(xi). There are no other organizational or charter documents of the Company or the Subsidiary. The Company and the Subsidiary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financial condition of the Company and the Subsidiary taken as a whole; or (iii) a material adverse effect on the Company’s or the Subsidiary’ ability to perform in any material respect on a timely basis its obligations under any Transaction Document (any of (i), (ii) or (iii),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and no Proceeding has been instituted in any such jurisdiction revoking, limiting or curtailing or seeking to revoke, limit or curtail such power and authority or qualification;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“Material Adverse Effect” shall not include any event, occurrence, fact, condition or change, directly or indirectly, arising out of or attributable to: (i) general economic or political conditions, (ii) conditions generally affecting the industry in which the Company or the Subsidiary operates, (iii) any changes in financial or securities markets in general, (iv) acts of war (whether or not declared), armed hostilities or terrorism, or the escalation or worsening thereof, (v) any pandemic, epidemics or human health crises (including COVID-19), (vi) any changes in applicable laws or accounting rules, (vii) the announcement, pendency or completion of the transactions contemplated by the Transaction Documents, or (viii) any action required or permitted by the Transaction Documents or any action taken (or omitted to be taken) with the written consent of or at the written request of the Lender.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1407"/>
        <w:spacing w:after="0" w:line="253" w:lineRule="auto"/>
        <w:tabs>
          <w:tab w:leader="none" w:pos="19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Each of the Company and the Subsidiary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the Subsidiary and no further action is required by the Company, the Subsidiary or the Board of Directors or stockholders thereof in connection therewith (other than the Required Approvals). Each Transaction Document to which the Company or the Subsidiary is a party has been (or upon delivery will have been) duly executed by the Company and the Subsidiary and, when delivered in accordance with the terms hereof and thereof, will constitute the valid and binding obligation of the Company and the Subsidiary enforceable against the Company and the Subsidiary in accordance with their respective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1407"/>
        <w:spacing w:after="0" w:line="253" w:lineRule="auto"/>
        <w:tabs>
          <w:tab w:leader="none" w:pos="19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and the Subsidiary of the Transaction Documents to which it is (or is to be) a party and the consummation by the Company and of its Subsidiary of the other transactions contemplated hereby and thereby do not and will not: (i) conflict with or violate any provision of the Company’s or the Subsidiary’ certificate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agreement or other instrument (evidencing Indebtedness of the Company or the Subsidiary, or otherwise) or other understanding to which the Company or the Subsidiary is a party or by which any property or asset of the Company or the Subsidiary is bound or affected; or (iii) subject to the Required Approvals, conflict with or result in a violation of any law, rule, regulation, order, judgment, injunction, decree or other restriction of any court or governmental authority to which the Company or the Subsidiary is subject (including federal and State Securities Laws and regulations), or by which any property or asset of the Company or the Subsidiary is bound or affected; except in the case of each of clauses (ii) and (iii), such as would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1407"/>
        <w:spacing w:after="0" w:line="258" w:lineRule="auto"/>
        <w:tabs>
          <w:tab w:leader="none" w:pos="19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and its Subsidiary are not required to obtain any consent, waiver, authorization or order of, give any notice to, or make any filing or registration with, any court or other federal, state, local or other governmental authority or other Person in connection with their execution, delivery and performance of the Transaction Documents, other than: (i) such consents, waivers, or authorizations as have been obtained before the Closing; and (ii) the filing of Form D with the Commission and such filings as are required to be made under applicable State Securities Laws (collectively, the “</w:t>
      </w:r>
      <w:r>
        <w:rPr>
          <w:rFonts w:ascii="Times New Roman" w:cs="Times New Roman" w:eastAsia="Times New Roman" w:hAnsi="Times New Roman"/>
          <w:sz w:val="18"/>
          <w:szCs w:val="18"/>
          <w:b w:val="1"/>
          <w:bCs w:val="1"/>
          <w:color w:val="auto"/>
        </w:rPr>
        <w:t>Required Approvals</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407"/>
        <w:spacing w:after="0" w:line="266" w:lineRule="auto"/>
        <w:tabs>
          <w:tab w:leader="none" w:pos="19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The Company has reserved from its duly authorized Common Stock a number of shares of Common Stock, up to the sum of (i) the Warrant Shares to be issued at Closing under the Warrant, plus (ii) the Maximum Conversion Shares for issuance to the Lender or its Affiliates in the event of the full permitted conversion of the Note, and (iii) the Warrant Shares issuable under the Default Warrant.</w:t>
      </w:r>
    </w:p>
    <w:p>
      <w:pPr>
        <w:spacing w:after="0" w:line="175" w:lineRule="exact"/>
        <w:rPr>
          <w:rFonts w:ascii="Times New Roman" w:cs="Times New Roman" w:eastAsia="Times New Roman" w:hAnsi="Times New Roman"/>
          <w:sz w:val="18"/>
          <w:szCs w:val="18"/>
          <w:color w:val="auto"/>
        </w:rPr>
      </w:pPr>
    </w:p>
    <w:p>
      <w:pPr>
        <w:jc w:val="both"/>
        <w:ind w:firstLine="1407"/>
        <w:spacing w:after="0" w:line="252" w:lineRule="auto"/>
        <w:tabs>
          <w:tab w:leader="none" w:pos="19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most recent SEC Reports and as further modified in Section 3.01(f) of the Company Disclosure Schedule. The Company has no Indebtedness, except for the Senior Debt or as otherwise disclosed in the most recent SEC Reports and in Section 3.01(f) of the Company Disclosure Schedule. Since the date of the most recently filed SEC Report, the Company has not issued any Common Stock, Common Stock Equivalents or other equity interests (other than Exempt Issuances) or (without duplication) pursuant to the conversion and/or exercise of Common Stock Equivalents outstanding as of the date hereof. Except in instances where valid waivers have been obtained, no Person has any right of first refusal, preemptive right, right of participation, or any similar right to participate in the transactions contemplated by the Transaction Documents. Except as set forth in the SEC Reports and further modified in Section 3.01(f) of the Company Disclosure Schedule,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the capital stock of the Subsidiary, or contracts, commitments, understandings or arrangements by which the Company or the Subsidiary is or may become bound to issue additional Common Stock or Common Stock Equivalents or capital stock of the Subsidiary. The issuance and sale of the Note will not obligate the Company or the Subsidiary to issue any securities to any Person (other than the Lender)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and waivers that have heretofore been obtained, no further approval or authorization of any stockholder, Board of Directors or other Person(s) is required for the issuance and sale of the Note hereunder.</w:t>
      </w:r>
    </w:p>
    <w:p>
      <w:pPr>
        <w:spacing w:after="0" w:line="193" w:lineRule="exact"/>
        <w:rPr>
          <w:rFonts w:ascii="Times New Roman" w:cs="Times New Roman" w:eastAsia="Times New Roman" w:hAnsi="Times New Roman"/>
          <w:sz w:val="18"/>
          <w:szCs w:val="18"/>
          <w:color w:val="auto"/>
        </w:rPr>
      </w:pPr>
    </w:p>
    <w:p>
      <w:pPr>
        <w:jc w:val="both"/>
        <w:ind w:firstLine="1407"/>
        <w:spacing w:after="0" w:line="253" w:lineRule="auto"/>
        <w:tabs>
          <w:tab w:leader="none" w:pos="19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Subsidiary as of and for the dates thereof and the results of operations and cash flows for the periods then ended, subject, in the case of unaudited statements, to normal year-end audit adjustments.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407"/>
        <w:spacing w:after="0" w:line="257" w:lineRule="auto"/>
        <w:tabs>
          <w:tab w:leader="none" w:pos="19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The Company has no liability, indebtedness, obligation, expense, claim, deficiency or guaranty of any type, whether accrued, absolute, contingent, matured, unmatured or otherwise, required to be reflected in financial statements in accordance with GAAP, which individually or in the aggregate: (A) has not been reflected in the latest balance sheet included in the financial statements referenced hereinabove;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arisen: (i) in the ordinary course of business, consistent with past practices, since the date of the latest balance sheet included in such financial statements in an amount that does not exceed $250,000 in any one case or $500,000 in the aggregate, (ii) pursuant to or in connection with this Agreement or other Transaction Document, or (c) are executory performance obligations to be performed after the date hereof in the ordinary course of business pursuant to agreement(s) entered into in the ordinary course of business, consistent with past practices. The Company is not in default with respect to any Indebtedness.</w:t>
      </w:r>
    </w:p>
    <w:p>
      <w:pPr>
        <w:spacing w:after="0" w:line="186"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Since the date of the latest financial statements made available to Lender prior to the date hereof, other than as set forth in the SEC Reports: (A) there has been no event, occurrence or development that has had or that could reasonably be expected to result in a Material Adverse Effect; (B) the Company has not incurred any liabilities (contingent or otherwise) other than (i) trade payables and accrued expenses incurred in the ordinary course of business consistent with past practice, and (ii) liabilities not required to be reflected in the Company’s financial statements pursuant to GAAP; (C) the Company has not altered their method of accounting; (D) the Company has not declared or made any dividend or distribution of cash or other property to its stockholders or purchased, redeemed or made any agreements to purchase or redeem any shares of its capital stock; and (E) the Company has not issued any equity securities except in favor of an officer, director or consultant pursuant to an existing Company equity incentive plans.</w:t>
      </w:r>
    </w:p>
    <w:p>
      <w:pPr>
        <w:spacing w:after="0" w:line="191"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the Subsidiary or any of their respective properties or assets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which: (A) adversely affects or challenges the legality, validity or enforceability of any of the Transaction Documents; or (ii) if there were an unfavorable decision, would reasonably be expected to result in a Material Adverse Effect. Except as set forth in the SEC Reports, none of the Company or any director or officer thereof is or has been the subject of any Action involving: (x) a claim of violation of or liability under the Securities Act, the Exchange Act, FINRA rules or any State Securities Laws; (y) breach of fiduciary duty; or (z) fraud (statutory or common law), embezzlement, misappropriation or conversion of property or rights, or any other crime involving deceit.</w:t>
      </w:r>
    </w:p>
    <w:p>
      <w:pPr>
        <w:spacing w:after="0" w:line="191" w:lineRule="exact"/>
        <w:rPr>
          <w:rFonts w:ascii="Times New Roman" w:cs="Times New Roman" w:eastAsia="Times New Roman" w:hAnsi="Times New Roman"/>
          <w:sz w:val="18"/>
          <w:szCs w:val="18"/>
          <w:color w:val="auto"/>
        </w:rPr>
      </w:pPr>
    </w:p>
    <w:p>
      <w:pPr>
        <w:jc w:val="both"/>
        <w:ind w:firstLine="1407"/>
        <w:spacing w:after="0" w:line="253" w:lineRule="auto"/>
        <w:tabs>
          <w:tab w:leader="none" w:pos="19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or the Subsidiary which would reasonably be expected to result in a Material Adverse Effect. None of the Company’s or the Subsidiary’ employees is a member of a union that relates to such employee’s relationship with the Company or its Subsidiary, and the Company and the Subsidiary is not a party to any collective bargaining agreement. The Company believes that its relationships with its employees are good. No executive officer, to the knowledge of the Company, is, or is now expected to be, in violation of any material term of any employment contract, confidentiality, disclosure or proprietary information agreement or non- competition agreement, or any other contract or agreement or any restrictive covenant in favor of any third party, and the continued employment of each such executive officer does not subject the Company to any liability with respect to any of the foregoing matters. To the best of the Company’s knowledge, it is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ind w:left="1960" w:hanging="553"/>
        <w:spacing w:after="0"/>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Except as disclosed set forth in Section 3.01(m) of the Company Disclosure Schedule, the Company and the</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(i) is neither in default under nor in violation of (and no event has occurred that has not been waived that, with notice or lapse of time or both, would result in a default by the Company or its Subsidiary under), nor has the Company or the Subsidiary received notice of a claim that it is in default under or that it is in violation of, any indenture, loan or credit agreement (whether or not such default or violation has been waived); (ii) is not in violation of any order of any court, arbitrator or governmental body; and (iii) is not and has not been in material violation of any statute, law, rule or regulation of any governmental authority, including without limitation all foreign, federal, state and local laws applicable to its business and all such laws that affect the environment, except as would not, individually or in the aggregate, reasonably be expected to have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1407"/>
        <w:spacing w:after="0" w:line="261"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Subsidiary possesses all certificates, authorizations and permits issued by the appropriate federal, state, local or foreign regulatory authorities necessary to conduct its business, except where the failure to possess such permits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the Company has not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1407"/>
        <w:spacing w:after="0" w:line="256"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its Subsidiary have good and marketable title in fee simple to all real property and good and marketable title in all personal property owned by it that, in each case, is material to the business of the Company and its Subsidiary, in each case free and clear of all Liens, except for Liens disclosed in Section 3.01(n) of the Company Disclosure Schedule that do not materially and adversely (x) affect the value of such property or (y) interfere with the use made and proposed to be made of such property by the Company and its Subsidiary. Any real property and facilities held under lease by the Company or a Subsidiary is held by it under valid, subsisting and enforceable leases with which the Company or such Subsidiary (as applicable) are in compliance except as disclosed in Schedule 3.1(n) of the Company Disclosure Schedule.</w:t>
      </w:r>
    </w:p>
    <w:p>
      <w:pPr>
        <w:spacing w:after="0" w:line="187"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Trademarks</w:t>
      </w:r>
      <w:r>
        <w:rPr>
          <w:rFonts w:ascii="Times New Roman" w:cs="Times New Roman" w:eastAsia="Times New Roman" w:hAnsi="Times New Roman"/>
          <w:sz w:val="18"/>
          <w:szCs w:val="18"/>
          <w:color w:val="auto"/>
        </w:rPr>
        <w:t xml:space="preserve">. (i) The Company or a Subsidiary thereof has, or has rights to use, all patents, patent applications, trademarks, trademark applications, service marks, trade names, trade secrets, inventions, copyrights, software, websites, licenses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other intellectual property rights and similar rights as necessary or material for use in connection with its business as presently conducted (collectively, the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 Rights</w:t>
      </w:r>
      <w:r>
        <w:rPr>
          <w:rFonts w:ascii="Times New Roman" w:cs="Times New Roman" w:eastAsia="Times New Roman" w:hAnsi="Times New Roman"/>
          <w:sz w:val="18"/>
          <w:szCs w:val="18"/>
          <w:color w:val="auto"/>
        </w:rPr>
        <w:t>”); (ii) the Company has not received written notice that any of the Intellectual Property Rights violates or infringes upon the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rights of any other Person; (iii) all Intellectual Property Rights are enforceable by the Company or its Subsidiary, and to the knowledge of the Company there is no existing infringement by any other Person of any of the Intellectual Property Rights, except where the failure to be so enforceable or for such infringements as would not, individually or in the aggregate, reasonably be expected to have a Material Adverse Effect; and (iv) the Company has taken reasonable security measures to protect the secrecy, confidentiality and value of all of its Intellectual Property Rights, except where failure to do so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Officers, Directors and Employees</w:t>
      </w:r>
      <w:r>
        <w:rPr>
          <w:rFonts w:ascii="Times New Roman" w:cs="Times New Roman" w:eastAsia="Times New Roman" w:hAnsi="Times New Roman"/>
          <w:sz w:val="18"/>
          <w:szCs w:val="18"/>
          <w:color w:val="auto"/>
        </w:rPr>
        <w:t>. None of the officers or directors of the Company or the Subsidiary and, to the knowledge of the Company, none of the employees of the Company or the Subsidiary, is presently a party to any transaction with the Company (other than for services as employees, officers and directors and related party notes as identified in the SEC Reports),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entity in which any such officer, director or employee has a substantial interest or is an officer, director, trustee, member or partner, in each case other than for: (x) payment of salary or fees for services rendered; (y) reimbursement for expenses incurred on behalf of the Company; and (z)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ind w:firstLine="1407"/>
        <w:spacing w:after="0" w:line="282"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Except for the Senior Debt issued to the Senior Lender, all Indebtedness owed by the Loan Parties to all other Persons disclosed in the most recent SEC Reports and in Section 3.01(g) and Section 3.01(r) of the Company Disclosure Schedule is unsecured.</w:t>
      </w:r>
    </w:p>
    <w:p>
      <w:pPr>
        <w:spacing w:after="0" w:line="162" w:lineRule="exact"/>
        <w:rPr>
          <w:sz w:val="20"/>
          <w:szCs w:val="20"/>
          <w:color w:val="auto"/>
        </w:rPr>
      </w:pPr>
    </w:p>
    <w:p>
      <w:pPr>
        <w:ind w:firstLine="1407"/>
        <w:spacing w:after="0" w:line="282" w:lineRule="auto"/>
        <w:tabs>
          <w:tab w:leader="none" w:pos="19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Lender’s representations and warranties set forth in Section 3.02, no registration under the Securities Act is required for the offer and sale of the Note by the Company to the Lender as contemplated hereby.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1407"/>
        <w:spacing w:after="0" w:line="261"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Note will not be or be an Affiliate of, an ‘investment company’ within the meaning of the Investment Company Act of 1940, as amended. The Company shall conduct its business in a manner so that it will not be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firstLine="1407"/>
        <w:spacing w:after="0" w:line="266"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described in the SEC Reports, as set forth in the Registration Rights Agreement and further modified by Section 3.01(s) of the Company Disclosure Schedule, no Person has any right to demand the Company to file a registration statement under the Securities Act covering the sale of any securities of the Company.</w:t>
      </w:r>
    </w:p>
    <w:p>
      <w:pPr>
        <w:spacing w:after="0" w:line="175"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(i) the material terms and conditions of the transactions contemplated by the Transaction Documents; and (ii) information given to the Lender, if any, which the Company hereby confirms will not constitute material non-public information, the Company confirms that neither it nor any other Person acting on its behalf has provided any of the Lender or </w:t>
      </w:r>
      <w:r>
        <w:rPr>
          <w:rFonts w:ascii="Times New Roman" w:cs="Times New Roman" w:eastAsia="Times New Roman" w:hAnsi="Times New Roman"/>
          <w:sz w:val="18"/>
          <w:szCs w:val="18"/>
          <w:u w:val="single" w:color="auto"/>
          <w:color w:val="auto"/>
        </w:rPr>
        <w:t>their</w:t>
      </w:r>
      <w:r>
        <w:rPr>
          <w:rFonts w:ascii="Times New Roman" w:cs="Times New Roman" w:eastAsia="Times New Roman" w:hAnsi="Times New Roman"/>
          <w:sz w:val="18"/>
          <w:szCs w:val="18"/>
          <w:color w:val="auto"/>
        </w:rPr>
        <w:t xml:space="preserve"> agents or counsel with any information that it believes constitutes or might constitute material, nonpublic information. The Company understands and confirms that the Lender will rely on the foregoing representation in effecting transactions in securities of the Company. All disclosure furnished by or on behalf of the Company to the Lender regarding the Company, its business and the transactions contemplated hereby, is true and correct and does not contain any untrue statement of a material fact or omit to state any material fact necessary in order to make the statements made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ind w:left="1960" w:hanging="553"/>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Lender’s representations and warranties set forth in Section 3.02, neither</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nor any of its Affiliates, nor any Person acting on its or their behalf has, directly or indirectly, made any offers or sales of any security or solicited any offers to buy any security, under circumstances that would cause this offering of the Note to be integrated with prior offerings by the Company for purposes of the Securities Act which would require the registration of any such securities under the Securities Act.</w:t>
      </w:r>
    </w:p>
    <w:p>
      <w:pPr>
        <w:spacing w:after="0" w:line="186" w:lineRule="exact"/>
        <w:rPr>
          <w:sz w:val="20"/>
          <w:szCs w:val="20"/>
          <w:color w:val="auto"/>
        </w:rPr>
      </w:pPr>
    </w:p>
    <w:p>
      <w:pPr>
        <w:ind w:left="1960" w:hanging="553"/>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407"/>
        <w:spacing w:after="0" w:line="266" w:lineRule="auto"/>
        <w:tabs>
          <w:tab w:leader="none" w:pos="19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as set forth in Section 3.01(w) of the Company Disclosure Schedule, the Company has filed all material federal, state and foreign income and franchise tax returns and has paid or accrued all material taxes shown as due thereon, and the Company has no knowledge of a material tax deficiency which has been asserted or threatened against the Company.</w:t>
      </w:r>
    </w:p>
    <w:p>
      <w:pPr>
        <w:spacing w:after="0" w:line="175" w:lineRule="exact"/>
        <w:rPr>
          <w:rFonts w:ascii="Times New Roman" w:cs="Times New Roman" w:eastAsia="Times New Roman" w:hAnsi="Times New Roman"/>
          <w:sz w:val="18"/>
          <w:szCs w:val="18"/>
          <w:color w:val="auto"/>
        </w:rPr>
      </w:pPr>
    </w:p>
    <w:p>
      <w:pPr>
        <w:ind w:left="1960" w:hanging="553"/>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the Note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form of general solicitation or general advertising. The Company has offered the Note for sale only to the  Lender.</w:t>
      </w:r>
    </w:p>
    <w:p>
      <w:pPr>
        <w:spacing w:after="0" w:line="207" w:lineRule="exact"/>
        <w:rPr>
          <w:sz w:val="20"/>
          <w:szCs w:val="20"/>
          <w:color w:val="auto"/>
        </w:rPr>
      </w:pPr>
    </w:p>
    <w:p>
      <w:pPr>
        <w:jc w:val="both"/>
        <w:ind w:firstLine="1407"/>
        <w:spacing w:after="0" w:line="258" w:lineRule="auto"/>
        <w:tabs>
          <w:tab w:leader="none" w:pos="19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As set forth in Section 3.01(y) of the Company Disclosure Schedule, the Company and the Subsidiary is insured by insurers of recognized financial responsibility against such losses and risks and in such amounts as management of the Company reasonably believes to be prudent and customary in the businesses in which the Company is engaged. The Company has never been refused any insurance coverage sought or applied for, and the Company has no reason to believe that it will not be able to renew all existing insurance coverage as and when such coverage expires or to obtain similar coverage from similar insurers.</w:t>
      </w:r>
    </w:p>
    <w:p>
      <w:pPr>
        <w:spacing w:after="0" w:line="183" w:lineRule="exact"/>
        <w:rPr>
          <w:rFonts w:ascii="Times New Roman" w:cs="Times New Roman" w:eastAsia="Times New Roman" w:hAnsi="Times New Roman"/>
          <w:sz w:val="18"/>
          <w:szCs w:val="18"/>
          <w:color w:val="auto"/>
        </w:rPr>
      </w:pPr>
    </w:p>
    <w:p>
      <w:pPr>
        <w:jc w:val="both"/>
        <w:ind w:firstLine="1407"/>
        <w:spacing w:after="0" w:line="255" w:lineRule="auto"/>
        <w:tabs>
          <w:tab w:leader="none" w:pos="19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Lender’s Purchase of the Note</w:t>
      </w:r>
      <w:r>
        <w:rPr>
          <w:rFonts w:ascii="Times New Roman" w:cs="Times New Roman" w:eastAsia="Times New Roman" w:hAnsi="Times New Roman"/>
          <w:sz w:val="18"/>
          <w:szCs w:val="18"/>
          <w:color w:val="auto"/>
        </w:rPr>
        <w:t>. The Company acknowledges and agrees that the Lender is acting solely in the capacity of an arm’s length purchaser with respect to the Transaction Documents and the transactions contemplated thereby. The Company further acknowledges that Lender is not acting as a financial advisor or fiduciary of the Company (or in any similar capacity) with respect to the Transaction Documents and the transactions contemplated thereby and any advice given by Lender or any of its representatives or agents in connection with the Transaction Documents and the transactions contemplated thereby is merely incidental to the Lender’s purchase of the Note. The Company further represents to the Lender that the Company’s decision to enter into this Agreement and the other Transaction Documents has been based solely on the independent evaluation of the transactions contemplated hereby by the Company and its representatives.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1407"/>
        <w:spacing w:after="0" w:line="254"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Note to be offered and sold hereunder in reliance on Rule 506(b) under the Securities Act (“</w:t>
      </w:r>
      <w:r>
        <w:rPr>
          <w:rFonts w:ascii="Times New Roman" w:cs="Times New Roman" w:eastAsia="Times New Roman" w:hAnsi="Times New Roman"/>
          <w:sz w:val="18"/>
          <w:szCs w:val="18"/>
          <w:b w:val="1"/>
          <w:bCs w:val="1"/>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hereunder, any beneficial owner of twenty percent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to (viii) 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Lender a copy of any disclosures provided thereunder.</w:t>
      </w:r>
    </w:p>
    <w:p>
      <w:pPr>
        <w:spacing w:after="0" w:line="188" w:lineRule="exact"/>
        <w:rPr>
          <w:rFonts w:ascii="Times New Roman" w:cs="Times New Roman" w:eastAsia="Times New Roman" w:hAnsi="Times New Roman"/>
          <w:sz w:val="18"/>
          <w:szCs w:val="18"/>
          <w:color w:val="auto"/>
        </w:rPr>
      </w:pPr>
    </w:p>
    <w:p>
      <w:pPr>
        <w:ind w:firstLine="1407"/>
        <w:spacing w:after="0" w:line="282"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Regulation D Securities.</w:t>
      </w:r>
    </w:p>
    <w:p>
      <w:pPr>
        <w:spacing w:after="0" w:line="161" w:lineRule="exact"/>
        <w:rPr>
          <w:rFonts w:ascii="Times New Roman" w:cs="Times New Roman" w:eastAsia="Times New Roman" w:hAnsi="Times New Roman"/>
          <w:sz w:val="18"/>
          <w:szCs w:val="18"/>
          <w:color w:val="auto"/>
        </w:rPr>
      </w:pPr>
    </w:p>
    <w:p>
      <w:pPr>
        <w:jc w:val="both"/>
        <w:ind w:firstLine="1407"/>
        <w:spacing w:after="0" w:line="266"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Lender in writing, prior to the Closing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jc w:val="both"/>
        <w:ind w:firstLine="1407"/>
        <w:spacing w:after="0" w:line="256"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To the knowledge of the Company, neither the Company nor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w:t>
      </w:r>
    </w:p>
    <w:p>
      <w:pPr>
        <w:spacing w:after="0" w:line="187" w:lineRule="exact"/>
        <w:rPr>
          <w:rFonts w:ascii="Times New Roman" w:cs="Times New Roman" w:eastAsia="Times New Roman" w:hAnsi="Times New Roman"/>
          <w:sz w:val="18"/>
          <w:szCs w:val="18"/>
          <w:color w:val="auto"/>
        </w:rPr>
      </w:pPr>
    </w:p>
    <w:p>
      <w:pPr>
        <w:ind w:firstLine="1407"/>
        <w:spacing w:after="0" w:line="282"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to the Company's knowledge, any director or executive officer of the Company is currently subject to any U.S. sanctions administered by the Office of Foreign Assets Control of the U.S. Treasury Department (“OFAC”).</w:t>
      </w:r>
    </w:p>
    <w:p>
      <w:pPr>
        <w:spacing w:after="0" w:line="161" w:lineRule="exact"/>
        <w:rPr>
          <w:rFonts w:ascii="Times New Roman" w:cs="Times New Roman" w:eastAsia="Times New Roman" w:hAnsi="Times New Roman"/>
          <w:sz w:val="18"/>
          <w:szCs w:val="18"/>
          <w:color w:val="auto"/>
        </w:rPr>
      </w:pPr>
    </w:p>
    <w:p>
      <w:pPr>
        <w:ind w:firstLine="1407"/>
        <w:spacing w:after="0" w:line="282"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Lender’s request.</w:t>
      </w:r>
    </w:p>
    <w:p>
      <w:pPr>
        <w:spacing w:after="0" w:line="161" w:lineRule="exact"/>
        <w:rPr>
          <w:rFonts w:ascii="Times New Roman" w:cs="Times New Roman" w:eastAsia="Times New Roman" w:hAnsi="Times New Roman"/>
          <w:sz w:val="18"/>
          <w:szCs w:val="18"/>
          <w:color w:val="auto"/>
        </w:rPr>
      </w:pPr>
    </w:p>
    <w:p>
      <w:pPr>
        <w:jc w:val="both"/>
        <w:ind w:firstLine="1407"/>
        <w:spacing w:after="0" w:line="256"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Affiliates is subject to the Bank Holding Company Act of 1956, as amended (“BHCA”) and to regulation by the Board of Governors of the Federal Reserve System (“Federal Reserve”). Neither the Company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jc w:val="both"/>
        <w:ind w:firstLine="1399"/>
        <w:spacing w:after="0" w:line="258" w:lineRule="auto"/>
        <w:rPr>
          <w:sz w:val="20"/>
          <w:szCs w:val="20"/>
          <w:color w:val="auto"/>
        </w:rPr>
      </w:pPr>
      <w:r>
        <w:rPr>
          <w:rFonts w:ascii="Times New Roman" w:cs="Times New Roman" w:eastAsia="Times New Roman" w:hAnsi="Times New Roman"/>
          <w:sz w:val="18"/>
          <w:szCs w:val="18"/>
          <w:color w:val="auto"/>
        </w:rPr>
        <w:t xml:space="preserve">(hh)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with respect to the Money Laundering Laws is pending or, to the knowledge of the Company, threatened.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1407"/>
        <w:spacing w:after="0" w:line="255" w:lineRule="auto"/>
        <w:tabs>
          <w:tab w:leader="none" w:pos="19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representations and warranties of the Company contained in this Agreement, and the certificate(s) furnished or to be furnished to the Lender at the Closing, when taken as a whole, do not contain any untrue statement of a material fact or omit to state a material fact necessary in order to make the statements contained herein or therein not misleading in light of the circumstances under which they were made. The Company acknowledges and agrees that the representations contained in section 3.02 shall not modify, amend or affect Lender’s right to rely on the Company’s representations and warranties contained in this section 3.01 or elsewhere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Lender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Lender, for itself and for no other Person,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firstLine="1407"/>
        <w:spacing w:after="0" w:line="253" w:lineRule="auto"/>
        <w:tabs>
          <w:tab w:leader="none" w:pos="19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Organization</w:t>
      </w:r>
      <w:r>
        <w:rPr>
          <w:rFonts w:ascii="Times New Roman" w:cs="Times New Roman" w:eastAsia="Times New Roman" w:hAnsi="Times New Roman"/>
          <w:sz w:val="18"/>
          <w:szCs w:val="18"/>
          <w:color w:val="auto"/>
        </w:rPr>
        <w:t>. The Lender has full power and authority to enter into this Agreement and to perform all obligations required to be performed by it hereunder. The Lender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and delivery of the Transaction Documents and performance by the Lender of the transactions contemplated by the Transaction Documents have been duly authorized by all necessary corporate or similar action on the part of the Lender. Each Transaction Document to which it is a party has been duly executed by the Lender, and when delivered by the Lender in accordance with the terms hereof, will constitute the valid and legally binding obligation of the Lender,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The Lender understands that the Note, the Warrant and the Conversion Shares are “restricted securities” and have not been registered under the Securities Act or any applicable State Securities Law and is acquiring the Note, the Warrant and Conversion Shares as principal for its own account and not with a view to or for distributing or reselling such the Note, the Warrant or Conversion Shares or any part thereof in violation of the Securities Act or any applicable State Securities Law, has no present intention of distributing any of such the Note, the Warrant or Conversion Shares in violation of the Securities Act or any applicable State Securities Law and has no direct or indirect arrangement or understandings with any other persons to distribute or regarding the distribution of such the Note (this representation and warranty not limiting the Lender’s right to sell the Note, the Warrant or Conversion Shares in compliance with applicable federal and State Securities Laws) in violation of the Securities Act or any applicable State Securities Law. The Lender is acquiring the Note hereunder in the ordinary course of its business.</w:t>
      </w:r>
    </w:p>
    <w:p>
      <w:pPr>
        <w:spacing w:after="0" w:line="191" w:lineRule="exact"/>
        <w:rPr>
          <w:rFonts w:ascii="Times New Roman" w:cs="Times New Roman" w:eastAsia="Times New Roman" w:hAnsi="Times New Roman"/>
          <w:sz w:val="18"/>
          <w:szCs w:val="18"/>
          <w:color w:val="auto"/>
        </w:rPr>
      </w:pPr>
    </w:p>
    <w:p>
      <w:pPr>
        <w:jc w:val="both"/>
        <w:ind w:firstLine="1407"/>
        <w:spacing w:after="0" w:line="256" w:lineRule="auto"/>
        <w:tabs>
          <w:tab w:leader="none" w:pos="19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Non-Transferrable</w:t>
      </w:r>
      <w:r>
        <w:rPr>
          <w:rFonts w:ascii="Times New Roman" w:cs="Times New Roman" w:eastAsia="Times New Roman" w:hAnsi="Times New Roman"/>
          <w:sz w:val="18"/>
          <w:szCs w:val="18"/>
          <w:color w:val="auto"/>
        </w:rPr>
        <w:t>. The Lender agrees: (i) that the Lender will not sell, assign, pledge, give, transfer or otherwise dispose of the Note, the Warrant or Conversion Shares or any interest therein, or make any offer or attempt to do any of the foregoing, except pursuant to a registration of the Note, the Warrant and Conversion Shares under the Securities Act and all applicable State Securities Laws, or in a transaction which is exempt from the registration provisions of the Securities Act and all applicable State Securities Laws, (ii) that the certificates representing the Note will bear a legend making reference to the foregoing restrictions, and (iii) that the Company and its Affiliates shall not be required to give effect to any purported transfer of such the Note, the Warrant and Conversion Shares except upon compliance with the foregoing restrictions.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1407"/>
        <w:spacing w:after="0" w:line="261"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Status</w:t>
      </w:r>
      <w:r>
        <w:rPr>
          <w:rFonts w:ascii="Times New Roman" w:cs="Times New Roman" w:eastAsia="Times New Roman" w:hAnsi="Times New Roman"/>
          <w:sz w:val="18"/>
          <w:szCs w:val="18"/>
          <w:color w:val="auto"/>
        </w:rPr>
        <w:t>. The Lender is an “accredited investor” as defined in Rule 501(a) under Regulation D of the Securities Act. The undersigned agrees to furnish any additional information requested by the Company or any of its Affiliates to assure compliance with applicable U.S. federal and state securities laws in connection with the purchase and sale of the Note. Any information that has been furnished or that will be furnished by the undersigned to evidence its status as an accredited investor is accurate and complete, and does not contain any misrepresentation or material omission.</w:t>
      </w:r>
    </w:p>
    <w:p>
      <w:pPr>
        <w:spacing w:after="0" w:line="179" w:lineRule="exact"/>
        <w:rPr>
          <w:rFonts w:ascii="Times New Roman" w:cs="Times New Roman" w:eastAsia="Times New Roman" w:hAnsi="Times New Roman"/>
          <w:sz w:val="18"/>
          <w:szCs w:val="18"/>
          <w:color w:val="auto"/>
        </w:rPr>
      </w:pPr>
    </w:p>
    <w:p>
      <w:pPr>
        <w:jc w:val="both"/>
        <w:ind w:firstLine="1407"/>
        <w:spacing w:after="0" w:line="261"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The Lender</w:t>
      </w:r>
      <w:r>
        <w:rPr>
          <w:rFonts w:ascii="Times New Roman" w:cs="Times New Roman" w:eastAsia="Times New Roman" w:hAnsi="Times New Roman"/>
          <w:sz w:val="18"/>
          <w:szCs w:val="18"/>
          <w:color w:val="auto"/>
        </w:rPr>
        <w:t>. The Lender, either alone or together with its representatives, has such knowledge, sophistication, and experience in business and financial matters so as to be capable of evaluating the merits and risks of the prospective investment in the Note, and has so evaluated the merits and risks of such investment. The Lender is able to bear the economic risk of an investment in the Note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ind w:left="1960" w:hanging="553"/>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Trading Market</w:t>
      </w:r>
      <w:r>
        <w:rPr>
          <w:rFonts w:ascii="Times New Roman" w:cs="Times New Roman" w:eastAsia="Times New Roman" w:hAnsi="Times New Roman"/>
          <w:sz w:val="18"/>
          <w:szCs w:val="18"/>
          <w:color w:val="auto"/>
        </w:rPr>
        <w:t>. The Lender acknowledges that there is currently no trading market for the Note and that none is expected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for the Note.</w:t>
      </w:r>
    </w:p>
    <w:p>
      <w:pPr>
        <w:spacing w:after="0" w:line="206" w:lineRule="exact"/>
        <w:rPr>
          <w:rFonts w:ascii="Times New Roman" w:cs="Times New Roman" w:eastAsia="Times New Roman" w:hAnsi="Times New Roman"/>
          <w:sz w:val="18"/>
          <w:szCs w:val="18"/>
          <w:color w:val="auto"/>
        </w:rPr>
      </w:pPr>
    </w:p>
    <w:p>
      <w:pPr>
        <w:jc w:val="both"/>
        <w:ind w:firstLine="1407"/>
        <w:spacing w:after="0" w:line="261"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Lender acknowledges that neither the Company nor any other person offered to sell the Note to it by means of any form of general solicitation or advertising, including, but not limited to: (i) any advertisement, article, notice, or other communication published in any newspaper, magazine or similar media or broadcast over television or radio, or (ii) any seminar or meeting whose attendees were invited by any general solicitation or general advertising.</w:t>
      </w:r>
    </w:p>
    <w:p>
      <w:pPr>
        <w:spacing w:after="0" w:line="179" w:lineRule="exact"/>
        <w:rPr>
          <w:rFonts w:ascii="Times New Roman" w:cs="Times New Roman" w:eastAsia="Times New Roman" w:hAnsi="Times New Roman"/>
          <w:sz w:val="18"/>
          <w:szCs w:val="18"/>
          <w:color w:val="auto"/>
        </w:rPr>
      </w:pPr>
    </w:p>
    <w:p>
      <w:pPr>
        <w:jc w:val="both"/>
        <w:ind w:firstLine="1407"/>
        <w:spacing w:after="0" w:line="266"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Other than to other Persons party to this Agreement and its advisors who have agreed to keep information confidential or have a fiduciary obligation to keep such information confidential, the Lender has maintained the confidentiality of all disclosures made to it in connection with the transaction (including the existence and terms of this transaction).</w:t>
      </w:r>
    </w:p>
    <w:p>
      <w:pPr>
        <w:spacing w:after="0" w:line="175" w:lineRule="exact"/>
        <w:rPr>
          <w:rFonts w:ascii="Times New Roman" w:cs="Times New Roman" w:eastAsia="Times New Roman" w:hAnsi="Times New Roman"/>
          <w:sz w:val="18"/>
          <w:szCs w:val="18"/>
          <w:color w:val="auto"/>
        </w:rPr>
      </w:pPr>
    </w:p>
    <w:p>
      <w:pPr>
        <w:ind w:left="1960" w:hanging="553"/>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The Lender is a United States person and not a foreign Lender.</w:t>
      </w:r>
    </w:p>
    <w:p>
      <w:pPr>
        <w:spacing w:after="0" w:line="225" w:lineRule="exact"/>
        <w:rPr>
          <w:rFonts w:ascii="Times New Roman" w:cs="Times New Roman" w:eastAsia="Times New Roman" w:hAnsi="Times New Roman"/>
          <w:sz w:val="18"/>
          <w:szCs w:val="18"/>
          <w:color w:val="auto"/>
        </w:rPr>
      </w:pPr>
    </w:p>
    <w:p>
      <w:pPr>
        <w:jc w:val="both"/>
        <w:ind w:firstLine="1407"/>
        <w:spacing w:after="0" w:line="258"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from Company</w:t>
      </w:r>
      <w:r>
        <w:rPr>
          <w:rFonts w:ascii="Times New Roman" w:cs="Times New Roman" w:eastAsia="Times New Roman" w:hAnsi="Times New Roman"/>
          <w:sz w:val="18"/>
          <w:szCs w:val="18"/>
          <w:color w:val="auto"/>
        </w:rPr>
        <w:t>. The Lender and its investment managers, if any, have been afforded the opportunity to obtain any information necessary to verify the accuracy of any representations or information presented by the Company in this Agreement and have had all inquiries to the Company answered, and have been furnished all requested materials, relating to the Company and the Offering and sale of the Note and anything set forth in the Transaction Documents. Neither the Lender nor the Lender’s investment managers, if any, have been furnished any offering literature by the Company or any of its Affiliates, associates, or agents other than the Transaction Documents, and the agreements referenced therein.</w:t>
      </w:r>
    </w:p>
    <w:p>
      <w:pPr>
        <w:spacing w:after="0" w:line="179" w:lineRule="exact"/>
        <w:rPr>
          <w:rFonts w:ascii="Times New Roman" w:cs="Times New Roman" w:eastAsia="Times New Roman" w:hAnsi="Times New Roman"/>
          <w:sz w:val="18"/>
          <w:szCs w:val="18"/>
          <w:color w:val="auto"/>
        </w:rPr>
      </w:pPr>
    </w:p>
    <w:p>
      <w:pPr>
        <w:jc w:val="both"/>
        <w:ind w:firstLine="1407"/>
        <w:spacing w:after="0" w:line="254" w:lineRule="auto"/>
        <w:tabs>
          <w:tab w:leader="none" w:pos="1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Speculative Nature of Investment;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LENDER UNDERSTANDS THAT AN INVESTMENT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NOTES INVOLVES A HIGH DEGREE OF RISK. </w:t>
      </w:r>
      <w:r>
        <w:rPr>
          <w:rFonts w:ascii="Times New Roman" w:cs="Times New Roman" w:eastAsia="Times New Roman" w:hAnsi="Times New Roman"/>
          <w:sz w:val="18"/>
          <w:szCs w:val="18"/>
          <w:color w:val="auto"/>
        </w:rPr>
        <w:t>The Lender acknowledges that: (i) any projections, forecasts or estimates as may have been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Lender are purely speculative and cannot be relied upon to indicate actual results that may be obtained through this investment; any such projections, forecasts and estimates are based upon assumptions which are subject to change and which are beyond the control of the Company or its management, (ii) the tax effects which may be expected by this investment are not susceptible to absolute prediction, and new developments and rules of the Internal Revenue Service, audit adjustment, court decisions or legislative changes may have an adverse effect on one or more of the tax consequences of this investment, and (iii) the Lender has been advised to consult with his own advisor regarding legal matters and tax consequences involving this investment. The Lender represents that the Lender’s investment objective is speculative in that the Lender seeks the maximum total return through an investment in a broad spectrum of securities, which involves a higher degree of risk than other investment styles and therefore the Lender’s risk exposure is also speculative. The Note offered hereby is highly speculative and involves a high degree of risk and Lender should only purchase these securities if Lender can afford to lose its entire investment.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1407"/>
        <w:spacing w:after="0" w:line="266" w:lineRule="auto"/>
        <w:tabs>
          <w:tab w:leader="none" w:pos="19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Lender are and have been conducted at all times in compliance with the Money Laundering Laws, and no Action or Proceeding by or before any court or governmental agency, authority or body or any arbitrator involving the Lender with respect to the Money Laundering Laws is pending or, to the knowledge of the Lender, threatened.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Section 3.02 shall not modify, amend or affect the Lender’s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Affirmative and Negative Covenants</w:t>
      </w:r>
      <w:r>
        <w:rPr>
          <w:rFonts w:ascii="Times New Roman" w:cs="Times New Roman" w:eastAsia="Times New Roman" w:hAnsi="Times New Roman"/>
          <w:sz w:val="18"/>
          <w:szCs w:val="18"/>
          <w:color w:val="auto"/>
        </w:rPr>
        <w:t>. Each of the Loan Parties hereby covenants and agrees that until all obligations owed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have been paid in full, without the prior written approval of the Lender:</w:t>
      </w:r>
    </w:p>
    <w:p>
      <w:pPr>
        <w:spacing w:after="0" w:line="207" w:lineRule="exact"/>
        <w:rPr>
          <w:sz w:val="20"/>
          <w:szCs w:val="20"/>
          <w:color w:val="auto"/>
        </w:rPr>
      </w:pPr>
    </w:p>
    <w:p>
      <w:pPr>
        <w:jc w:val="both"/>
        <w:ind w:left="2600" w:hanging="648"/>
        <w:spacing w:after="0" w:line="261" w:lineRule="auto"/>
        <w:tabs>
          <w:tab w:leader="none" w:pos="2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not incur any Indebtedness, other than Permitted Indebtedness or as otherwise expressly permitted by this Agreement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unless the net proceeds to the Company of such Additional Indebtedness shall be used to prepay 100% of the then Outstanding Principal Amount of the Note (including any Default Amount and accrued interest thereon), or such Additional Indebted shall be approved in advance by the Lender;</w:t>
      </w:r>
    </w:p>
    <w:p>
      <w:pPr>
        <w:spacing w:after="0" w:line="179"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not engage in the public or private sale of any securities, including convertible and non-convertible notes or debentures, Common Stock or Common Stock Equivalents, except for Exempt Issuances or as otherwise expressly permitted in this Agreement, the Note or other Transaction Documents, unless the entire net proceeds to the Company of such sale shall be used to prepay an amount of the Outstanding Principal Amount of the Note (including any Default Amount and accrued interest) equal to such net proceeds;</w:t>
      </w:r>
    </w:p>
    <w:p>
      <w:pPr>
        <w:spacing w:after="0" w:line="183"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of Indebtedness shall be paid to any Affiliate, other than payments of deferred compensation to members of the board of directors and employees of the Company;</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Senior Lender, the Loan Parties shall not permit any Person to have a Lien of any of the assets of any of the Loan Parties, except for Permitted Liens (as defined in the Security Agreement);</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comply with all of the additional affirmative and negative covenants set forth in the Note and the Security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407"/>
        <w:spacing w:after="0" w:line="256" w:lineRule="auto"/>
        <w:tabs>
          <w:tab w:leader="none" w:pos="19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Warrant Shares and Conversion Shares may only be disposed of in compliance with state and federal securities laws. In connection with any transfer of the Note, Warrant Shares or Conversion Shares other than pursuant to an effective registration statement or Rule 144,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the Note, Warrant Shares and Conversion Shares under the Securities Act. As a condition of such sale or transfer, any such transferee shall agree in writing to be bound by the terms of this Agreement and shall have the rights of Lender under this Agreement.</w:t>
      </w:r>
    </w:p>
    <w:p>
      <w:pPr>
        <w:spacing w:after="0" w:line="187" w:lineRule="exact"/>
        <w:rPr>
          <w:rFonts w:ascii="Times New Roman" w:cs="Times New Roman" w:eastAsia="Times New Roman" w:hAnsi="Times New Roman"/>
          <w:sz w:val="18"/>
          <w:szCs w:val="18"/>
          <w:color w:val="auto"/>
        </w:rPr>
      </w:pPr>
    </w:p>
    <w:p>
      <w:pPr>
        <w:ind w:firstLine="1407"/>
        <w:spacing w:after="0" w:line="282" w:lineRule="auto"/>
        <w:tabs>
          <w:tab w:leader="none" w:pos="19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agrees to the imprinting, so long as is required by this Section 4.01, of a legend on any of the Note, the Warrant Shares and Conversion Shares in the following form: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OR OTHER LOAN SECURED BY THIS SECURITY.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Use of Proceeds; Restrictions on Certain Payments</w:t>
      </w:r>
      <w:r>
        <w:rPr>
          <w:rFonts w:ascii="Times New Roman" w:cs="Times New Roman" w:eastAsia="Times New Roman" w:hAnsi="Times New Roman"/>
          <w:sz w:val="18"/>
          <w:szCs w:val="18"/>
          <w:color w:val="auto"/>
        </w:rPr>
        <w:t>. The Company shall use the net proceeds hereunder for general working capital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Future Subsidiary</w:t>
      </w:r>
      <w:r>
        <w:rPr>
          <w:rFonts w:ascii="Times New Roman" w:cs="Times New Roman" w:eastAsia="Times New Roman" w:hAnsi="Times New Roman"/>
          <w:sz w:val="18"/>
          <w:szCs w:val="18"/>
          <w:color w:val="auto"/>
        </w:rPr>
        <w:t>. Any direct or indirect Subsidiary of the Company (or the Subsidiary) formed or acquired after the Closing Date and before the Note shall have been repaid in full shall promptly thereafter execute and deliver (or otherwise join and agreed to be bound as a Subsidiary of the Company under) the Subsidiary Guaranty and the Security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Not later than ninety (90) days after the Agreement Date, in the event that the Note shall not have previously been paid in full, in order to comply with applicable Nasdaq Rules, the Company shall hold a special meeting of its stockholders and shall use its best efforts to cause the requisite holders of a majority of the outstanding Common Stock of the Company to obtain approval as may be required by the applicable rules and regulations of The Nasdaq Stock Market LLC (or any successor entity) from the stockholders of the Company with respect to this Agreement, the Note, the Warrant, the Default Warrant and all of the other Transaction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Note to the Lender in a manner that would require the registration under the Securities Act of the issuance and sale of the Note to the Lender.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and the Lender shall consult with each other in issuing any other press releases and SEC Reports with respect to the transactions contemplated hereby, and neither the Company nor the Lender shall issue any such press release or SEC Report nor otherwise make any such public statement without the prior consent of the Company with respect to any press release of the Lender, or without the prior consent of the Lender with respect to any press release or SEC Report of the Company mentioning the Lender, which consent shall not unreasonably be withheld or delayed, except if such disclosure is required by law, in which case the disclosing party shall promptly provide the other party with prior notice of such public statement, SEC Report or communication. The Company will publish a press release announcing this transaction approved by the Lender within 4 Business Days following the Closing Date.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Indemnification of Lender</w:t>
      </w:r>
      <w:r>
        <w:rPr>
          <w:rFonts w:ascii="Times New Roman" w:cs="Times New Roman" w:eastAsia="Times New Roman" w:hAnsi="Times New Roman"/>
          <w:sz w:val="18"/>
          <w:szCs w:val="18"/>
          <w:color w:val="auto"/>
        </w:rPr>
        <w:t>. The Company shall indemnify, reimburse and hold harmless the Lender and its partners, members, shareholders, officers, directors, employees and agents (and any other persons with other titles that have similar functions) (collectively,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the Lender by written notice to the Company if the Closing has not been consummated on or before the 3rd Business Day after the date of the execution and delivery of this Agreement by both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 will not affect the right of any party to sue for any breach by the other party.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Company shall bear the expenses of the Company and the Lender incurred in connection with the negotiation, preparation, execution, delivery and performance of the Transaction Documents, including, without limitation, reasonable attorneys’ and consultants’ fees and expenses (not to exceed $50,000), transfer agent fees, fees for stock quotation services, fees relating to any amendments or modifications of the Transaction Documents or any consents or waivers of provisions in the Transaction Documents, fees for the preparation of opinions of counsel, escrow fees, and costs of restructuring the transactions contemplated by the Transaction Documents. When possible, the Company must pay these fees directly, including, but not limited to, any and all wire fees, otherwise the Company must make immediate payment for reimbursement to the Lender for all fees and expenses immediately upon written notice by the Lender or the submission of an invoice by the Lender. In addition, the Company shall pay the origination fee of $80,000 to the Lender as specified hereinabove.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to the others shall be in writing and delivered personally or sent by registered or certified mail, postage prepaid, or by or email: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if to Lender: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 Astor &amp; Co.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S Rio Grande Street, #2072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Salt Lake City, Utah 84101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Michael Pope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michael.p@jjastor.com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Barton, LLP</w:t>
      </w:r>
    </w:p>
    <w:p>
      <w:pPr>
        <w:ind w:left="660"/>
        <w:spacing w:after="0" w:line="182" w:lineRule="auto"/>
        <w:rPr>
          <w:sz w:val="20"/>
          <w:szCs w:val="20"/>
          <w:color w:val="auto"/>
        </w:rPr>
      </w:pPr>
      <w:r>
        <w:rPr>
          <w:rFonts w:ascii="Times New Roman" w:cs="Times New Roman" w:eastAsia="Times New Roman" w:hAnsi="Times New Roman"/>
          <w:sz w:val="17"/>
          <w:szCs w:val="17"/>
          <w:color w:val="auto"/>
        </w:rPr>
        <w:t>711 Third Avenue,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if to the Company: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3901 N. First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Jose, CA 95134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John Rood, CEO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john.rood@momentusspace.com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C. Hinton, Esq.</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Bradley Arant Boult Cummings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Nashville, Tennessee 37203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(205) 521-8406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shinton@bradley.com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persons or addresses as may be designated in writing by the party to receive such notice as provided above.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Lender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Lender (other than by merger). The Lender may assign any or all of its rights under this Agreement to any Person to whom the Lender assigns or transfers the Note, and/or participate any of such rights in connection with granting of any participation of the Note, provided that such transfer or participation complies with all applicable federal and State Securities Laws and that any such transferee or participant agrees in writing by the provisions of the Transaction Documents that apply to the Lender.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7"/>
          <w:szCs w:val="17"/>
          <w:u w:val="single" w:color="auto"/>
          <w:color w:val="auto"/>
        </w:rPr>
        <w:t>Arbitration and Governing Law</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407"/>
        <w:spacing w:after="0" w:line="257" w:lineRule="auto"/>
        <w:tabs>
          <w:tab w:leader="none" w:pos="19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211D1E"/>
        </w:rPr>
        <w:t>Arbitration of Disputes</w:t>
      </w:r>
      <w:r>
        <w:rPr>
          <w:rFonts w:ascii="Times New Roman" w:cs="Times New Roman" w:eastAsia="Times New Roman" w:hAnsi="Times New Roman"/>
          <w:sz w:val="18"/>
          <w:szCs w:val="18"/>
          <w:color w:val="211D1E"/>
        </w:rPr>
        <w:t>. In the event and to the extent that a claim or dispute arises out of, or in relation to this Agreement or any other Transaction Document, including without limitation, the terms, construction, interpretation, performance, termination, breach, or enforceability of this Agreement or such Transaction Document(s), the Parties hereby each agree that the claim or dispute shall be, at the election of any Party within thirty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52" w:val="left"/>
        </w:tabs>
        <w:numPr>
          <w:ilvl w:val="0"/>
          <w:numId w:val="47"/>
        </w:numPr>
        <w:rPr>
          <w:rFonts w:ascii="Times New Roman" w:cs="Times New Roman" w:eastAsia="Times New Roman" w:hAnsi="Times New Roman"/>
          <w:sz w:val="18"/>
          <w:szCs w:val="18"/>
          <w:color w:val="211D1E"/>
        </w:rPr>
      </w:pPr>
      <w:r>
        <w:rPr>
          <w:rFonts w:ascii="Times New Roman" w:cs="Times New Roman" w:eastAsia="Times New Roman" w:hAnsi="Times New Roman"/>
          <w:sz w:val="18"/>
          <w:szCs w:val="18"/>
          <w:color w:val="211D1E"/>
        </w:rPr>
        <w:t>days after the claim or dispute arises, resolved by mandatory binding arbitration in Utah, except that Lender may, at its election, maintain any action for equitable relief in the Third Judicial District, Salt Lake County, Utah, including seeking the appointment of a receiver, judicial foreclosure, an accounting of Collateral, restraining orders or injunctions or other equitable relief without a right to compel arbitration by the Company or the Subsidiary Guarantor. To the extent that an arbitration occurs, the Parties agree that the arbitration shall be administered by JAMS and the arbitration shall be conducted in accordance with the Expedited Procedures of the JAMS Comprehensive Arbitration Rules and Procedures except as otherwise agreed in this Agreement. The arbitrator shall be chosen in accordance with the procedures of JAMS, and shall base the award on applicable Utah law, and in connection therewith each of the Loan Parties hereby expressly waive any right to seek an exemption from Utah law based on any public policies or principles of any other State. The Parties agree that the arbitration shall be conducted before a single arbitrator. Judgment on the award may be entered in any federal or state court in the State of Utah and in the federal courts of any other State. The Parties further agree that the costs of the arbitration shall be divided equally between the Company and the Lender until a prevailing Party is determined, at which time the non-prevailing Party shall be charged the prevailing Party’s share of the arbitration fees. Each Party may pursue arbitration solely in an individual capacity, and not as a representative or class member in any purported class or representative proceeding. The arbitrator may not consolidate more than one Person's claims, and may not otherwise preside over any form of a representative or class proceeding. This arbitration section is governed by the Federal Arbitration Act, 9 U.S.C. §§ 1-16.</w:t>
      </w:r>
    </w:p>
    <w:p>
      <w:pPr>
        <w:spacing w:after="0" w:line="191" w:lineRule="exact"/>
        <w:rPr>
          <w:rFonts w:ascii="Times New Roman" w:cs="Times New Roman" w:eastAsia="Times New Roman" w:hAnsi="Times New Roman"/>
          <w:sz w:val="18"/>
          <w:szCs w:val="18"/>
          <w:color w:val="211D1E"/>
        </w:rPr>
      </w:pPr>
    </w:p>
    <w:p>
      <w:pPr>
        <w:jc w:val="both"/>
        <w:ind w:firstLine="1407"/>
        <w:spacing w:after="0" w:line="252" w:lineRule="auto"/>
        <w:tabs>
          <w:tab w:leader="none" w:pos="19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including, without limitation, the enforcement of any award by the arbitrator, shall be governed by and construed and enforced in accordance with the internal laws of the State of Utah,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that is not initially submitted to arbitration in accordance with Section 5.08(a) above, shall be commenced exclusively in the federal and state courts sitting in Salt Lake County, Salt Lake City, Utah (the “</w:t>
      </w:r>
      <w:r>
        <w:rPr>
          <w:rFonts w:ascii="Times New Roman" w:cs="Times New Roman" w:eastAsia="Times New Roman" w:hAnsi="Times New Roman"/>
          <w:sz w:val="18"/>
          <w:szCs w:val="18"/>
          <w:b w:val="1"/>
          <w:bCs w:val="1"/>
          <w:color w:val="auto"/>
        </w:rPr>
        <w:t>Utah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Courts</w:t>
      </w:r>
      <w:r>
        <w:rPr>
          <w:rFonts w:ascii="Times New Roman" w:cs="Times New Roman" w:eastAsia="Times New Roman" w:hAnsi="Times New Roman"/>
          <w:sz w:val="18"/>
          <w:szCs w:val="18"/>
          <w:color w:val="auto"/>
        </w:rPr>
        <w:t>”). Each Party hereto hereby irrevocably submits to the exclusive jurisdiction of the Utah Courts for the enforcement of any arbitration award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Utah Courts, or that such Utah Courts are improper or inconvenient venue for such proceeding or that such Party may obtain </w:t>
      </w:r>
      <w:r>
        <w:rPr>
          <w:rFonts w:ascii="Times New Roman" w:cs="Times New Roman" w:eastAsia="Times New Roman" w:hAnsi="Times New Roman"/>
          <w:sz w:val="18"/>
          <w:szCs w:val="18"/>
          <w:color w:val="211D1E"/>
        </w:rPr>
        <w:t>an exemption from Utah law based on any public policies or principles of any other State or jurisdiction</w:t>
      </w:r>
      <w:r>
        <w:rPr>
          <w:rFonts w:ascii="Times New Roman" w:cs="Times New Roman" w:eastAsia="Times New Roman" w:hAnsi="Times New Roman"/>
          <w:sz w:val="18"/>
          <w:szCs w:val="18"/>
          <w:color w:val="auto"/>
        </w:rPr>
        <w: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the Transaction Documents or the transactions contemplated hereby. If any Party shall commence an Action or Proceeding to enforce any provisions of the Transaction Documents, then the prevailing Party in such Action or Proceeding shall be reimbursed by the other Party for its attorney’s fees and other costs and expenses incurred in the investigation, preparation and prosecution of such Action or Proceeding.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and the delivery of the Note.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the Lender exercises a right, election, demand or option under a Transaction Document and the Company does not timely perform its related obligations within the periods therein provided, then the Lender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Replacement of the Note</w:t>
      </w:r>
      <w:r>
        <w:rPr>
          <w:rFonts w:ascii="Times New Roman" w:cs="Times New Roman" w:eastAsia="Times New Roman" w:hAnsi="Times New Roman"/>
          <w:sz w:val="18"/>
          <w:szCs w:val="18"/>
          <w:color w:val="auto"/>
        </w:rPr>
        <w:t>. If any certificate or instrument evidencing the Note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the Note.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Lender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the Lender pursuant to any Transaction Document or the Lender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TRIAL</w:t>
            </w:r>
          </w:p>
        </w:tc>
        <w:tc>
          <w:tcPr>
            <w:tcW w:w="10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JURY.</w:t>
            </w:r>
          </w:p>
        </w:tc>
      </w:tr>
      <w:tr>
        <w:trPr>
          <w:trHeight w:val="414"/>
        </w:trPr>
        <w:tc>
          <w:tcPr>
            <w:tcW w:w="760" w:type="dxa"/>
            <w:vAlign w:val="bottom"/>
          </w:tcPr>
          <w:p>
            <w:pPr>
              <w:spacing w:after="0"/>
              <w:rPr>
                <w:sz w:val="24"/>
                <w:szCs w:val="24"/>
                <w:color w:val="auto"/>
              </w:rPr>
            </w:pPr>
          </w:p>
        </w:tc>
        <w:tc>
          <w:tcPr>
            <w:tcW w:w="104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SIGNATURE PAGE FOLLOWS</w:t>
            </w:r>
            <w:r>
              <w:rPr>
                <w:rFonts w:ascii="Times New Roman" w:cs="Times New Roman" w:eastAsia="Times New Roman" w:hAnsi="Times New Roman"/>
                <w:sz w:val="18"/>
                <w:szCs w:val="18"/>
                <w:color w:val="auto"/>
                <w:w w:val="98"/>
              </w:rPr>
              <w:t>]</w:t>
            </w:r>
          </w:p>
        </w:tc>
      </w:tr>
      <w:tr>
        <w:trPr>
          <w:trHeight w:val="608"/>
        </w:trPr>
        <w:tc>
          <w:tcPr>
            <w:tcW w:w="760" w:type="dxa"/>
            <w:vAlign w:val="bottom"/>
          </w:tcPr>
          <w:p>
            <w:pPr>
              <w:spacing w:after="0"/>
              <w:rPr>
                <w:sz w:val="24"/>
                <w:szCs w:val="24"/>
                <w:color w:val="auto"/>
              </w:rPr>
            </w:pPr>
          </w:p>
        </w:tc>
        <w:tc>
          <w:tcPr>
            <w:tcW w:w="104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23</w:t>
            </w:r>
          </w:p>
        </w:tc>
      </w:tr>
      <w:tr>
        <w:trPr>
          <w:trHeight w:val="61"/>
        </w:trPr>
        <w:tc>
          <w:tcPr>
            <w:tcW w:w="760" w:type="dxa"/>
            <w:vAlign w:val="bottom"/>
            <w:tcBorders>
              <w:bottom w:val="single" w:sz="8" w:color="auto"/>
            </w:tcBorders>
          </w:tcPr>
          <w:p>
            <w:pPr>
              <w:spacing w:after="0"/>
              <w:rPr>
                <w:sz w:val="5"/>
                <w:szCs w:val="5"/>
                <w:color w:val="auto"/>
              </w:rPr>
            </w:pPr>
          </w:p>
        </w:tc>
        <w:tc>
          <w:tcPr>
            <w:tcW w:w="104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Loan Agreement to be duly executed by their respective authorized signatories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below.</w:t>
      </w:r>
    </w:p>
    <w:p>
      <w:pPr>
        <w:spacing w:after="0" w:line="3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Rood</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u w:val="single" w:color="auto"/>
          <w:color w:val="auto"/>
        </w:rPr>
        <w:t>Lender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J.J. ASTOR &amp; CO.</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Pope</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4"/>
    </w:lvl>
  </w:abstractNum>
  <w:abstractNum w:abstractNumId="2">
    <w:nsid w:val="79838CB2"/>
    <w:multiLevelType w:val="hybridMultilevel"/>
    <w:lvl w:ilvl="0">
      <w:lvlJc w:val="left"/>
      <w:lvlText w:val="%1"/>
      <w:numFmt w:val="lowerRoman"/>
      <w:start w:val="1"/>
    </w:lvl>
    <w:lvl w:ilvl="1">
      <w:lvlJc w:val="left"/>
      <w:lvlText w:val="%2)"/>
      <w:numFmt w:val="lowerLetter"/>
      <w:start w:val="1"/>
    </w:lvl>
  </w:abstractNum>
  <w:abstractNum w:abstractNumId="3">
    <w:nsid w:val="4353D0CD"/>
    <w:multiLevelType w:val="hybridMultilevel"/>
    <w:lvl w:ilvl="0">
      <w:lvlJc w:val="left"/>
      <w:lvlText w:val="(%1)"/>
      <w:numFmt w:val="lowerRoman"/>
      <w:start w:val="1"/>
    </w:lvl>
    <w:lvl w:ilvl="1">
      <w:lvlJc w:val="left"/>
      <w:lvlText w:val="%2)"/>
      <w:numFmt w:val="lowerLetter"/>
      <w:start w:val="2"/>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1)"/>
      <w:numFmt w:val="upperLetter"/>
      <w:start w:val="1"/>
    </w:lvl>
  </w:abstractNum>
  <w:abstractNum w:abstractNumId="6">
    <w:nsid w:val="54E49EB4"/>
    <w:multiLevelType w:val="hybridMultilevel"/>
    <w:lvl w:ilvl="0">
      <w:lvlJc w:val="left"/>
      <w:lvlText w:val="(%1)"/>
      <w:numFmt w:val="upperLetter"/>
      <w:start w:val="24"/>
    </w:lvl>
  </w:abstractNum>
  <w:abstractNum w:abstractNumId="7">
    <w:nsid w:val="71F32454"/>
    <w:multiLevelType w:val="hybridMultilevel"/>
    <w:lvl w:ilvl="0">
      <w:lvlJc w:val="left"/>
      <w:lvlText w:val="%1)"/>
      <w:numFmt w:val="lowerLetter"/>
      <w:start w:val="4"/>
    </w:lvl>
    <w:lvl w:ilvl="1">
      <w:lvlJc w:val="left"/>
      <w:lvlText w:val="%2."/>
      <w:numFmt w:val="lowerRoman"/>
      <w:start w:val="1"/>
    </w:lvl>
  </w:abstractNum>
  <w:abstractNum w:abstractNumId="8">
    <w:nsid w:val="2CA88611"/>
    <w:multiLevelType w:val="hybridMultilevel"/>
    <w:lvl w:ilvl="0">
      <w:lvlJc w:val="left"/>
      <w:lvlText w:val="%1."/>
      <w:numFmt w:val="lowerRoman"/>
      <w:start w:val="2"/>
    </w:lvl>
    <w:lvl w:ilvl="1">
      <w:lvlJc w:val="left"/>
      <w:lvlText w:val="%2."/>
      <w:numFmt w:val="lowerRoman"/>
      <w:start w:val="3"/>
    </w:lvl>
  </w:abstractNum>
  <w:abstractNum w:abstractNumId="9">
    <w:nsid w:val="836C40E"/>
    <w:multiLevelType w:val="hybridMultilevel"/>
    <w:lvl w:ilvl="0">
      <w:lvlJc w:val="left"/>
      <w:lvlText w:val="%1)"/>
      <w:numFmt w:val="lowerLetter"/>
      <w:start w:val="5"/>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5"/>
    </w:lvl>
  </w:abstractNum>
  <w:abstractNum w:abstractNumId="12">
    <w:nsid w:val="8138641"/>
    <w:multiLevelType w:val="hybridMultilevel"/>
    <w:lvl w:ilvl="0">
      <w:lvlJc w:val="left"/>
      <w:lvlText w:val="%1)"/>
      <w:numFmt w:val="lowerLetter"/>
      <w:start w:val="6"/>
    </w:lvl>
    <w:lvl w:ilvl="1">
      <w:lvlJc w:val="left"/>
      <w:lvlText w:val="%2."/>
      <w:numFmt w:val="lowerRoman"/>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4"/>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4"/>
    </w:lvl>
  </w:abstractNum>
  <w:abstractNum w:abstractNumId="17">
    <w:nsid w:val="22221A70"/>
    <w:multiLevelType w:val="hybridMultilevel"/>
    <w:lvl w:ilvl="0">
      <w:lvlJc w:val="left"/>
      <w:lvlText w:val="%1)"/>
      <w:numFmt w:val="lowerLetter"/>
      <w:start w:val="5"/>
    </w:lvl>
  </w:abstractNum>
  <w:abstractNum w:abstractNumId="18">
    <w:nsid w:val="4516DDE9"/>
    <w:multiLevelType w:val="hybridMultilevel"/>
    <w:lvl w:ilvl="0">
      <w:lvlJc w:val="left"/>
      <w:lvlText w:val="%1)"/>
      <w:numFmt w:val="lowerLetter"/>
      <w:start w:val="6"/>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4"/>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10"/>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1"/>
    </w:lvl>
    <w:lvl w:ilvl="1">
      <w:lvlJc w:val="left"/>
      <w:lvlText w:val="(%2)"/>
      <w:numFmt w:val="lowerRoman"/>
      <w:start w:val="1"/>
    </w:lvl>
  </w:abstractNum>
  <w:abstractNum w:abstractNumId="25">
    <w:nsid w:val="3804823E"/>
    <w:multiLevelType w:val="hybridMultilevel"/>
    <w:lvl w:ilvl="0">
      <w:lvlJc w:val="left"/>
      <w:lvlText w:val="(%1)"/>
      <w:numFmt w:val="lowerLetter"/>
      <w:start w:val="2"/>
    </w:lvl>
    <w:lvl w:ilvl="1">
      <w:lvlJc w:val="left"/>
      <w:lvlText w:val="(%2)"/>
      <w:numFmt w:val="lowerRoman"/>
      <w:start w:val="1"/>
    </w:lvl>
  </w:abstractNum>
  <w:abstractNum w:abstractNumId="26">
    <w:nsid w:val="77465F01"/>
    <w:multiLevelType w:val="hybridMultilevel"/>
    <w:lvl w:ilvl="0">
      <w:lvlJc w:val="left"/>
      <w:lvlText w:val="(%1)"/>
      <w:numFmt w:val="lowerLetter"/>
      <w:start w:val="1"/>
    </w:lvl>
    <w:lvl w:ilvl="1">
      <w:lvlJc w:val="left"/>
      <w:lvlText w:val="(%2)"/>
      <w:numFmt w:val="lowerRoman"/>
      <w:start w:val="1"/>
    </w:lvl>
  </w:abstractNum>
  <w:abstractNum w:abstractNumId="27">
    <w:nsid w:val="7724C67E"/>
    <w:multiLevelType w:val="hybridMultilevel"/>
    <w:lvl w:ilvl="0">
      <w:lvlJc w:val="left"/>
      <w:lvlText w:val="(%1)"/>
      <w:numFmt w:val="lowerLetter"/>
      <w:start w:val="2"/>
    </w:lvl>
    <w:lvl w:ilvl="1">
      <w:lvlJc w:val="left"/>
      <w:lvlText w:val="(%2)"/>
      <w:numFmt w:val="lowerRoman"/>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lowerLetter"/>
      <w:start w:val="5"/>
    </w:lvl>
  </w:abstractNum>
  <w:abstractNum w:abstractNumId="31">
    <w:nsid w:val="51EAD36B"/>
    <w:multiLevelType w:val="hybridMultilevel"/>
    <w:lvl w:ilvl="0">
      <w:lvlJc w:val="left"/>
      <w:lvlText w:val="%1"/>
      <w:numFmt w:val="upperLetter"/>
      <w:start w:val="1"/>
    </w:lvl>
    <w:lvl w:ilvl="1">
      <w:lvlJc w:val="left"/>
      <w:lvlText w:val="(%2)"/>
      <w:numFmt w:val="lowerLetter"/>
      <w:start w:val="8"/>
    </w:lvl>
  </w:abstractNum>
  <w:abstractNum w:abstractNumId="32">
    <w:nsid w:val="2D517796"/>
    <w:multiLevelType w:val="hybridMultilevel"/>
    <w:lvl w:ilvl="0">
      <w:lvlJc w:val="left"/>
      <w:lvlText w:val="(%1)"/>
      <w:numFmt w:val="upperLetter"/>
      <w:start w:val="2"/>
    </w:lvl>
    <w:lvl w:ilvl="1">
      <w:lvlJc w:val="left"/>
      <w:lvlText w:val="(%2)"/>
      <w:numFmt w:val="lowerLetter"/>
      <w:start w:val="9"/>
    </w:lvl>
  </w:abstractNum>
  <w:abstractNum w:abstractNumId="33">
    <w:nsid w:val="580BD78F"/>
    <w:multiLevelType w:val="hybridMultilevel"/>
    <w:lvl w:ilvl="0">
      <w:lvlJc w:val="left"/>
      <w:lvlText w:val="(%1)"/>
      <w:numFmt w:val="lowerLetter"/>
      <w:start w:val="13"/>
    </w:lvl>
  </w:abstractNum>
  <w:abstractNum w:abstractNumId="34">
    <w:nsid w:val="153EA438"/>
    <w:multiLevelType w:val="hybridMultilevel"/>
    <w:lvl w:ilvl="0">
      <w:lvlJc w:val="left"/>
      <w:lvlText w:val="(%1)"/>
      <w:numFmt w:val="lowerLetter"/>
      <w:start w:val="17"/>
    </w:lvl>
  </w:abstractNum>
  <w:abstractNum w:abstractNumId="35">
    <w:nsid w:val="3855585C"/>
    <w:multiLevelType w:val="hybridMultilevel"/>
    <w:lvl w:ilvl="0">
      <w:lvlJc w:val="left"/>
      <w:lvlText w:val="(%1)"/>
      <w:numFmt w:val="lowerLetter"/>
      <w:start w:val="18"/>
    </w:lvl>
  </w:abstractNum>
  <w:abstractNum w:abstractNumId="36">
    <w:nsid w:val="70A64E2A"/>
    <w:multiLevelType w:val="hybridMultilevel"/>
    <w:lvl w:ilvl="0">
      <w:lvlJc w:val="left"/>
      <w:lvlText w:val="(%1)"/>
      <w:numFmt w:val="lowerLetter"/>
      <w:start w:val="22"/>
    </w:lvl>
  </w:abstractNum>
  <w:abstractNum w:abstractNumId="37">
    <w:nsid w:val="6A2342EC"/>
    <w:multiLevelType w:val="hybridMultilevel"/>
    <w:lvl w:ilvl="0">
      <w:lvlJc w:val="left"/>
      <w:lvlText w:val="(%1)"/>
      <w:numFmt w:val="lowerLetter"/>
      <w:start w:val="25"/>
    </w:lvl>
  </w:abstractNum>
  <w:abstractNum w:abstractNumId="38">
    <w:nsid w:val="2A487CB0"/>
    <w:multiLevelType w:val="hybridMultilevel"/>
    <w:lvl w:ilvl="0">
      <w:lvlJc w:val="left"/>
      <w:lvlText w:val="(%1)"/>
      <w:numFmt w:val="lowerLetter"/>
      <w:start w:val="27"/>
    </w:lvl>
  </w:abstractNum>
  <w:abstractNum w:abstractNumId="39">
    <w:nsid w:val="1D4ED43B"/>
    <w:multiLevelType w:val="hybridMultilevel"/>
    <w:lvl w:ilvl="0">
      <w:lvlJc w:val="left"/>
      <w:lvlText w:val="(%1)"/>
      <w:numFmt w:val="lowerRoman"/>
      <w:start w:val="2"/>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4"/>
    </w:lvl>
  </w:abstractNum>
  <w:abstractNum w:abstractNumId="42">
    <w:nsid w:val="57E4CCAF"/>
    <w:multiLevelType w:val="hybridMultilevel"/>
    <w:lvl w:ilvl="0">
      <w:lvlJc w:val="left"/>
      <w:lvlText w:val="(%1)"/>
      <w:numFmt w:val="lowerLetter"/>
      <w:start w:val="12"/>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30"/>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2024-12-16T07:07:41Z</dcterms:created>
  <dcterms:modified xsi:type="dcterms:W3CDTF">2024-12-16T07:07:41Z</dcterms:modified>
</cp:coreProperties>
</file>